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333-281192</w:t>
      </w:r>
    </w:p>
    <w:p>
      <w:pPr>
        <w:spacing w:after="0" w:line="28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June 1, 2026</w:t>
      </w:r>
    </w:p>
    <w:p>
      <w:pPr>
        <w:sectPr>
          <w:pgSz w:w="11900" w:h="16838" w:orient="portrait"/>
          <w:cols w:equalWidth="0" w:num="1">
            <w:col w:w="11140"/>
          </w:cols>
          <w:pgMar w:left="320" w:top="225" w:right="439" w:bottom="1440" w:gutter="0" w:footer="0" w:header="0"/>
        </w:sectPr>
      </w:pPr>
    </w:p>
    <w:p>
      <w:pPr>
        <w:spacing w:after="0" w:line="276" w:lineRule="exact"/>
        <w:rPr>
          <w:sz w:val="24"/>
          <w:szCs w:val="24"/>
          <w:color w:val="auto"/>
        </w:rPr>
      </w:pPr>
    </w:p>
    <w:tbl>
      <w:tblPr>
        <w:tblLayout w:type="fixed"/>
        <w:tblInd w:w="120" w:type="dxa"/>
        <w:tblCellMar>
          <w:top w:w="0" w:type="dxa"/>
          <w:left w:w="0" w:type="dxa"/>
          <w:bottom w:w="0" w:type="dxa"/>
          <w:right w:w="0" w:type="dxa"/>
        </w:tblCellMar>
      </w:tblPr>
      <w:tr>
        <w:trPr>
          <w:trHeight w:val="1032"/>
        </w:trPr>
        <w:tc>
          <w:tcPr>
            <w:tcW w:w="180" w:type="dxa"/>
            <w:vAlign w:val="bottom"/>
            <w:textDirection w:val="btLr"/>
          </w:tcPr>
          <w:p>
            <w:pPr>
              <w:spacing w:after="0"/>
              <w:rPr>
                <w:sz w:val="20"/>
                <w:szCs w:val="20"/>
                <w:color w:val="auto"/>
              </w:rPr>
            </w:pPr>
            <w:r>
              <w:rPr>
                <w:rFonts w:ascii="Times New Roman" w:cs="Times New Roman" w:eastAsia="Times New Roman" w:hAnsi="Times New Roman"/>
                <w:sz w:val="16"/>
                <w:szCs w:val="16"/>
                <w:b w:val="1"/>
                <w:bCs w:val="1"/>
                <w:color w:val="FF4338"/>
              </w:rPr>
              <w:t>accompanying</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6"/>
                <w:szCs w:val="16"/>
                <w:b w:val="1"/>
                <w:bCs w:val="1"/>
                <w:color w:val="FF4338"/>
              </w:rPr>
              <w:t>not permitted.</w:t>
            </w:r>
          </w:p>
        </w:tc>
      </w:tr>
      <w:tr>
        <w:trPr>
          <w:trHeight w:val="3025"/>
        </w:trPr>
        <w:tc>
          <w:tcPr>
            <w:tcW w:w="180" w:type="dxa"/>
            <w:vAlign w:val="bottom"/>
            <w:textDirection w:val="btLr"/>
          </w:tcPr>
          <w:p>
            <w:pPr>
              <w:spacing w:after="0"/>
              <w:rPr>
                <w:sz w:val="20"/>
                <w:szCs w:val="20"/>
                <w:color w:val="auto"/>
              </w:rPr>
            </w:pPr>
            <w:r>
              <w:rPr>
                <w:rFonts w:ascii="Times New Roman" w:cs="Times New Roman" w:eastAsia="Times New Roman" w:hAnsi="Times New Roman"/>
                <w:sz w:val="16"/>
                <w:szCs w:val="16"/>
                <w:b w:val="1"/>
                <w:bCs w:val="1"/>
                <w:color w:val="FF4338"/>
              </w:rPr>
              <w:t>preliminary prospectus supplement and the</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6"/>
                <w:szCs w:val="16"/>
                <w:b w:val="1"/>
                <w:bCs w:val="1"/>
                <w:color w:val="FF4338"/>
              </w:rPr>
              <w:t>in any jurisdiction where the offer of sale is</w:t>
            </w:r>
          </w:p>
        </w:tc>
      </w:tr>
      <w:tr>
        <w:trPr>
          <w:trHeight w:val="1557"/>
        </w:trPr>
        <w:tc>
          <w:tcPr>
            <w:tcW w:w="180" w:type="dxa"/>
            <w:vAlign w:val="bottom"/>
            <w:textDirection w:val="btLr"/>
          </w:tcPr>
          <w:p>
            <w:pPr>
              <w:spacing w:after="0"/>
              <w:rPr>
                <w:sz w:val="20"/>
                <w:szCs w:val="20"/>
                <w:color w:val="auto"/>
              </w:rPr>
            </w:pPr>
            <w:r>
              <w:rPr>
                <w:rFonts w:ascii="Times New Roman" w:cs="Times New Roman" w:eastAsia="Times New Roman" w:hAnsi="Times New Roman"/>
                <w:sz w:val="16"/>
                <w:szCs w:val="16"/>
                <w:b w:val="1"/>
                <w:bCs w:val="1"/>
                <w:color w:val="FF4338"/>
              </w:rPr>
              <w:t>may be changed. This</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6"/>
                <w:szCs w:val="16"/>
                <w:b w:val="1"/>
                <w:bCs w:val="1"/>
                <w:color w:val="FF4338"/>
              </w:rPr>
              <w:t>to buy these securities</w:t>
            </w:r>
          </w:p>
        </w:tc>
      </w:tr>
      <w:tr>
        <w:trPr>
          <w:trHeight w:val="1246"/>
        </w:trPr>
        <w:tc>
          <w:tcPr>
            <w:tcW w:w="180" w:type="dxa"/>
            <w:vAlign w:val="bottom"/>
            <w:textDirection w:val="btLr"/>
          </w:tcPr>
          <w:p>
            <w:pPr>
              <w:spacing w:after="0"/>
              <w:rPr>
                <w:sz w:val="20"/>
                <w:szCs w:val="20"/>
                <w:color w:val="auto"/>
              </w:rPr>
            </w:pPr>
            <w:r>
              <w:rPr>
                <w:rFonts w:ascii="Times New Roman" w:cs="Times New Roman" w:eastAsia="Times New Roman" w:hAnsi="Times New Roman"/>
                <w:sz w:val="16"/>
                <w:szCs w:val="16"/>
                <w:b w:val="1"/>
                <w:bCs w:val="1"/>
                <w:color w:val="FF4338"/>
              </w:rPr>
              <w:t>not complete and</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6"/>
                <w:szCs w:val="16"/>
                <w:b w:val="1"/>
                <w:bCs w:val="1"/>
                <w:color w:val="FF4338"/>
              </w:rPr>
              <w:t>soliciting an offer</w:t>
            </w:r>
          </w:p>
        </w:tc>
      </w:tr>
      <w:tr>
        <w:trPr>
          <w:trHeight w:val="4248"/>
        </w:trPr>
        <w:tc>
          <w:tcPr>
            <w:tcW w:w="180" w:type="dxa"/>
            <w:vAlign w:val="bottom"/>
            <w:textDirection w:val="btLr"/>
          </w:tcPr>
          <w:p>
            <w:pPr>
              <w:spacing w:after="0"/>
              <w:rPr>
                <w:sz w:val="20"/>
                <w:szCs w:val="20"/>
                <w:color w:val="auto"/>
              </w:rPr>
            </w:pPr>
            <w:r>
              <w:rPr>
                <w:rFonts w:ascii="Times New Roman" w:cs="Times New Roman" w:eastAsia="Times New Roman" w:hAnsi="Times New Roman"/>
                <w:sz w:val="16"/>
                <w:szCs w:val="16"/>
                <w:b w:val="1"/>
                <w:bCs w:val="1"/>
                <w:color w:val="FF4338"/>
              </w:rPr>
              <w:t>The information in this preliminary prospectus supplement is</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6"/>
                <w:szCs w:val="16"/>
                <w:b w:val="1"/>
                <w:bCs w:val="1"/>
                <w:color w:val="FF4338"/>
              </w:rPr>
              <w:t>prospectus are not an offer to sell these securities and are not</w:t>
            </w:r>
          </w:p>
        </w:tc>
      </w:tr>
    </w:tbl>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August 1, 2024)</w:t>
      </w:r>
    </w:p>
    <w:p>
      <w:pPr>
        <w:spacing w:after="0" w:line="1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 xml:space="preserve">$             </w:t>
      </w:r>
    </w:p>
    <w:p>
      <w:pPr>
        <w:spacing w:after="0" w:line="210"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38"/>
          <w:szCs w:val="38"/>
          <w:b w:val="1"/>
          <w:bCs w:val="1"/>
          <w:color w:val="auto"/>
        </w:rPr>
        <w:t>Consolidated Edison Company of New York, Inc.</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297"/>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60" w:type="dxa"/>
            <w:vAlign w:val="bottom"/>
          </w:tcPr>
          <w:p>
            <w:pPr>
              <w:jc w:val="right"/>
              <w:ind w:right="6"/>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80" w:type="dxa"/>
            <w:vAlign w:val="bottom"/>
          </w:tcPr>
          <w:p>
            <w:pPr>
              <w:jc w:val="right"/>
              <w:ind w:right="26"/>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5420" w:type="dxa"/>
            <w:vAlign w:val="bottom"/>
            <w:gridSpan w:val="3"/>
          </w:tcPr>
          <w:p>
            <w:pPr>
              <w:ind w:left="60"/>
              <w:spacing w:after="0"/>
              <w:rPr>
                <w:sz w:val="20"/>
                <w:szCs w:val="20"/>
                <w:color w:val="auto"/>
              </w:rPr>
            </w:pPr>
            <w:r>
              <w:rPr>
                <w:rFonts w:ascii="Times New Roman" w:cs="Times New Roman" w:eastAsia="Times New Roman" w:hAnsi="Times New Roman"/>
                <w:sz w:val="25"/>
                <w:szCs w:val="25"/>
                <w:b w:val="1"/>
                <w:bCs w:val="1"/>
                <w:color w:val="auto"/>
              </w:rPr>
              <w:t>% Debentures, Series 2026 A due</w:t>
            </w:r>
          </w:p>
        </w:tc>
      </w:tr>
      <w:tr>
        <w:trPr>
          <w:trHeight w:val="334"/>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60" w:type="dxa"/>
            <w:vAlign w:val="bottom"/>
          </w:tcPr>
          <w:p>
            <w:pPr>
              <w:jc w:val="right"/>
              <w:ind w:right="6"/>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280" w:type="dxa"/>
            <w:vAlign w:val="bottom"/>
          </w:tcPr>
          <w:p>
            <w:pPr>
              <w:jc w:val="right"/>
              <w:ind w:right="26"/>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5420" w:type="dxa"/>
            <w:vAlign w:val="bottom"/>
            <w:gridSpan w:val="3"/>
          </w:tcPr>
          <w:p>
            <w:pPr>
              <w:ind w:left="80"/>
              <w:spacing w:after="0"/>
              <w:rPr>
                <w:sz w:val="20"/>
                <w:szCs w:val="20"/>
                <w:color w:val="auto"/>
              </w:rPr>
            </w:pPr>
            <w:r>
              <w:rPr>
                <w:rFonts w:ascii="Times New Roman" w:cs="Times New Roman" w:eastAsia="Times New Roman" w:hAnsi="Times New Roman"/>
                <w:sz w:val="25"/>
                <w:szCs w:val="25"/>
                <w:b w:val="1"/>
                <w:bCs w:val="1"/>
                <w:color w:val="auto"/>
              </w:rPr>
              <w:t>% Debentures, Series 2026 B due</w:t>
            </w:r>
          </w:p>
        </w:tc>
      </w:tr>
      <w:tr>
        <w:trPr>
          <w:trHeight w:val="356"/>
        </w:trPr>
        <w:tc>
          <w:tcPr>
            <w:tcW w:w="340" w:type="dxa"/>
            <w:vAlign w:val="bottom"/>
          </w:tcPr>
          <w:p>
            <w:pPr>
              <w:spacing w:after="0"/>
              <w:rPr>
                <w:sz w:val="24"/>
                <w:szCs w:val="24"/>
                <w:color w:val="auto"/>
              </w:rPr>
            </w:pPr>
          </w:p>
        </w:tc>
        <w:tc>
          <w:tcPr>
            <w:tcW w:w="3340" w:type="dxa"/>
            <w:vAlign w:val="bottom"/>
            <w:gridSpan w:val="7"/>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280" w:type="dxa"/>
            <w:vAlign w:val="bottom"/>
          </w:tcPr>
          <w:p>
            <w:pPr>
              <w:spacing w:after="0"/>
              <w:rPr>
                <w:sz w:val="24"/>
                <w:szCs w:val="24"/>
                <w:color w:val="auto"/>
              </w:rPr>
            </w:pPr>
          </w:p>
        </w:tc>
      </w:tr>
      <w:tr>
        <w:trPr>
          <w:trHeight w:val="407"/>
        </w:trPr>
        <w:tc>
          <w:tcPr>
            <w:tcW w:w="340" w:type="dxa"/>
            <w:vAlign w:val="bottom"/>
          </w:tcPr>
          <w:p>
            <w:pPr>
              <w:spacing w:after="0"/>
              <w:rPr>
                <w:sz w:val="24"/>
                <w:szCs w:val="24"/>
                <w:color w:val="auto"/>
              </w:rPr>
            </w:pPr>
          </w:p>
        </w:tc>
        <w:tc>
          <w:tcPr>
            <w:tcW w:w="856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This is a public offering by Consolidated Edison Company of New York, Inc. of $         of Series 2026 A Debentures</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72"/>
              </w:rPr>
              <w:t>due </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2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(the “2026 A Debentures”) and $ </w:t>
            </w:r>
          </w:p>
        </w:tc>
        <w:tc>
          <w:tcPr>
            <w:tcW w:w="5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of Series 2026 B Debentures due (the “2026 B Debentures” and,</w:t>
            </w:r>
          </w:p>
        </w:tc>
      </w:tr>
      <w:tr>
        <w:trPr>
          <w:trHeight w:val="216"/>
        </w:trPr>
        <w:tc>
          <w:tcPr>
            <w:tcW w:w="8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together with the 2026 A Debentures, the “Debentures”). Interest on the Debentures of each series is payable initially</w:t>
            </w: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88"/>
              </w:rPr>
              <w:t>on </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2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93"/>
              </w:rPr>
              <w:t>      and thereafter semi-annually on </w:t>
            </w:r>
          </w:p>
        </w:tc>
        <w:tc>
          <w:tcPr>
            <w:tcW w:w="5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and            in each year. We may redeem some or all of the</w:t>
            </w:r>
          </w:p>
        </w:tc>
      </w:tr>
    </w:tbl>
    <w:p>
      <w:pPr>
        <w:spacing w:after="0"/>
        <w:rPr>
          <w:sz w:val="20"/>
          <w:szCs w:val="20"/>
          <w:color w:val="auto"/>
        </w:rPr>
      </w:pPr>
      <w:r>
        <w:rPr>
          <w:rFonts w:ascii="Times New Roman" w:cs="Times New Roman" w:eastAsia="Times New Roman" w:hAnsi="Times New Roman"/>
          <w:sz w:val="18"/>
          <w:szCs w:val="18"/>
          <w:color w:val="auto"/>
        </w:rPr>
        <w:t>Debentures at our option at any time as described in this prospectus supplement.</w:t>
      </w:r>
    </w:p>
    <w:p>
      <w:pPr>
        <w:spacing w:after="0" w:line="207" w:lineRule="exact"/>
        <w:rPr>
          <w:sz w:val="24"/>
          <w:szCs w:val="24"/>
          <w:color w:val="auto"/>
        </w:rPr>
      </w:pPr>
    </w:p>
    <w:p>
      <w:pPr>
        <w:ind w:right="880" w:firstLine="371"/>
        <w:spacing w:after="0" w:line="266" w:lineRule="auto"/>
        <w:rPr>
          <w:sz w:val="20"/>
          <w:szCs w:val="20"/>
          <w:color w:val="auto"/>
        </w:rPr>
      </w:pPr>
      <w:r>
        <w:rPr>
          <w:rFonts w:ascii="Times New Roman" w:cs="Times New Roman" w:eastAsia="Times New Roman" w:hAnsi="Times New Roman"/>
          <w:sz w:val="18"/>
          <w:szCs w:val="18"/>
          <w:color w:val="auto"/>
        </w:rPr>
        <w:t>The Debentures will be unsecured obligations and rank equally with our other unsecured debt securities that are not subordinated obligations. The Debentures of each series will be issued only in registered form in denominations of $2,000 and in integral multiples of $1,000 in excess thereof.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208915</wp:posOffset>
            </wp:positionV>
            <wp:extent cx="1234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right="1300" w:firstLine="371"/>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the Debentures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S-1 of this prospectus supplement.</w:t>
      </w:r>
    </w:p>
    <w:p>
      <w:pPr>
        <w:spacing w:after="0" w:line="159" w:lineRule="exact"/>
        <w:rPr>
          <w:sz w:val="24"/>
          <w:szCs w:val="24"/>
          <w:color w:val="auto"/>
        </w:rPr>
      </w:pPr>
    </w:p>
    <w:p>
      <w:pPr>
        <w:jc w:val="both"/>
        <w:ind w:right="960" w:firstLine="371"/>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83" w:lineRule="exact"/>
        <w:rPr>
          <w:sz w:val="24"/>
          <w:szCs w:val="24"/>
          <w:color w:val="auto"/>
        </w:rPr>
      </w:pPr>
    </w:p>
    <w:tbl>
      <w:tblPr>
        <w:tblLayout w:type="fixed"/>
        <w:tblInd w:w="38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Total Per 2026</w:t>
            </w:r>
          </w:p>
        </w:tc>
        <w:tc>
          <w:tcPr>
            <w:tcW w:w="180" w:type="dxa"/>
            <w:vAlign w:val="bottom"/>
          </w:tcPr>
          <w:p>
            <w:pPr>
              <w:spacing w:after="0"/>
              <w:rPr>
                <w:sz w:val="13"/>
                <w:szCs w:val="13"/>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 Per 2026</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64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2026 A</w:t>
            </w:r>
          </w:p>
        </w:tc>
        <w:tc>
          <w:tcPr>
            <w:tcW w:w="5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6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2026 B</w:t>
            </w:r>
          </w:p>
        </w:tc>
        <w:tc>
          <w:tcPr>
            <w:tcW w:w="5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Debenture</w:t>
            </w:r>
          </w:p>
        </w:tc>
        <w:tc>
          <w:tcPr>
            <w:tcW w:w="540" w:type="dxa"/>
            <w:vAlign w:val="bottom"/>
          </w:tcPr>
          <w:p>
            <w:pPr>
              <w:spacing w:after="0"/>
              <w:rPr>
                <w:sz w:val="15"/>
                <w:szCs w:val="15"/>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 Debenture</w:t>
            </w: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Debenture</w:t>
            </w:r>
          </w:p>
        </w:tc>
        <w:tc>
          <w:tcPr>
            <w:tcW w:w="540" w:type="dxa"/>
            <w:vAlign w:val="bottom"/>
          </w:tcPr>
          <w:p>
            <w:pPr>
              <w:spacing w:after="0"/>
              <w:rPr>
                <w:sz w:val="15"/>
                <w:szCs w:val="15"/>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 Debenture</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tcBorders>
              <w:top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tcBorders>
              <w:top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79"/>
              </w:rPr>
              <w:t>%</w:t>
            </w: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79"/>
              </w:rPr>
              <w:t>%</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before expenses, to Consolidated</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Edison Company of New York, Inc.</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79"/>
              </w:rPr>
              <w:t>%</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1020" w:firstLine="371"/>
        <w:spacing w:after="0" w:line="282" w:lineRule="auto"/>
        <w:rPr>
          <w:sz w:val="20"/>
          <w:szCs w:val="20"/>
          <w:color w:val="auto"/>
        </w:rPr>
      </w:pPr>
      <w:r>
        <w:rPr>
          <w:rFonts w:ascii="Times New Roman" w:cs="Times New Roman" w:eastAsia="Times New Roman" w:hAnsi="Times New Roman"/>
          <w:sz w:val="18"/>
          <w:szCs w:val="18"/>
          <w:color w:val="auto"/>
        </w:rPr>
        <w:t>The initial public offering prices set forth above do not include accrued interest, if any. Interest on the Debentures will accrue from June        , 2026 and must be paid by the purchaser if the Debentures are delivered after June        , 2026.</w:t>
      </w:r>
    </w:p>
    <w:p>
      <w:pPr>
        <w:spacing w:after="0" w:line="162"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The underwriters expect to deliver the Debentures to purchasers through The Depository Trust Company for the account of</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20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8"/>
              </w:rPr>
              <w:t>its participants, including Clearstream Banking S.A. and Euroclear Bank SA/NV, on or about June </w:t>
            </w:r>
          </w:p>
        </w:tc>
        <w:tc>
          <w:tcPr>
            <w:tcW w:w="1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2026.</w:t>
            </w:r>
          </w:p>
        </w:tc>
      </w:tr>
      <w:tr>
        <w:trPr>
          <w:trHeight w:val="333"/>
        </w:trPr>
        <w:tc>
          <w:tcPr>
            <w:tcW w:w="1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25"/>
        </w:trPr>
        <w:tc>
          <w:tcPr>
            <w:tcW w:w="1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3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98"/>
        </w:trPr>
        <w:tc>
          <w:tcPr>
            <w:tcW w:w="16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 xml:space="preserve">J.P. Morgan    </w:t>
            </w:r>
          </w:p>
        </w:tc>
        <w:tc>
          <w:tcPr>
            <w:tcW w:w="17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 xml:space="preserve">      Mizuho    </w:t>
            </w:r>
          </w:p>
        </w:tc>
        <w:tc>
          <w:tcPr>
            <w:tcW w:w="300" w:type="dxa"/>
            <w:vAlign w:val="bottom"/>
          </w:tcPr>
          <w:p>
            <w:pPr>
              <w:spacing w:after="0"/>
              <w:rPr>
                <w:sz w:val="24"/>
                <w:szCs w:val="24"/>
                <w:color w:val="auto"/>
              </w:rPr>
            </w:pPr>
          </w:p>
        </w:tc>
        <w:tc>
          <w:tcPr>
            <w:tcW w:w="30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w w:val="95"/>
              </w:rPr>
              <w:t>    PNC Capital Markets LLC </w:t>
            </w:r>
          </w:p>
        </w:tc>
        <w:tc>
          <w:tcPr>
            <w:tcW w:w="218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w w:val="99"/>
              </w:rPr>
              <w:t>Wells Fargo Securities</w:t>
            </w:r>
          </w:p>
        </w:tc>
      </w:tr>
      <w:tr>
        <w:trPr>
          <w:trHeight w:val="310"/>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KeyBanc Capital Markets</w:t>
            </w:r>
          </w:p>
        </w:tc>
        <w:tc>
          <w:tcPr>
            <w:tcW w:w="300" w:type="dxa"/>
            <w:vAlign w:val="bottom"/>
          </w:tcPr>
          <w:p>
            <w:pPr>
              <w:spacing w:after="0"/>
              <w:rPr>
                <w:sz w:val="24"/>
                <w:szCs w:val="24"/>
                <w:color w:val="auto"/>
              </w:rPr>
            </w:pPr>
          </w:p>
        </w:tc>
        <w:tc>
          <w:tcPr>
            <w:tcW w:w="3080" w:type="dxa"/>
            <w:vAlign w:val="bottom"/>
            <w:gridSpan w:val="2"/>
          </w:tcPr>
          <w:p>
            <w:pPr>
              <w:ind w:left="420"/>
              <w:spacing w:after="0"/>
              <w:rPr>
                <w:sz w:val="20"/>
                <w:szCs w:val="20"/>
                <w:color w:val="auto"/>
              </w:rPr>
            </w:pPr>
            <w:r>
              <w:rPr>
                <w:rFonts w:ascii="Times New Roman" w:cs="Times New Roman" w:eastAsia="Times New Roman" w:hAnsi="Times New Roman"/>
                <w:sz w:val="22"/>
                <w:szCs w:val="22"/>
                <w:b w:val="1"/>
                <w:bCs w:val="1"/>
                <w:color w:val="auto"/>
              </w:rPr>
              <w:t xml:space="preserve">            Scotiabank          </w:t>
            </w:r>
          </w:p>
        </w:tc>
        <w:tc>
          <w:tcPr>
            <w:tcW w:w="44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    </w:t>
            </w:r>
          </w:p>
        </w:tc>
        <w:tc>
          <w:tcPr>
            <w:tcW w:w="174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w w:val="93"/>
              </w:rPr>
              <w:t>        US Bancorp</w:t>
            </w:r>
          </w:p>
        </w:tc>
      </w:tr>
    </w:tbl>
    <w:p>
      <w:pPr>
        <w:spacing w:after="0" w:line="182"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i w:val="1"/>
          <w:iCs w:val="1"/>
          <w:color w:val="auto"/>
        </w:rPr>
        <w:t>Co-Managers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 2026</w:t>
      </w:r>
    </w:p>
    <w:p>
      <w:pPr>
        <w:sectPr>
          <w:pgSz w:w="11900" w:h="16838" w:orient="portrait"/>
          <w:cols w:equalWidth="0" w:num="2">
            <w:col w:w="460" w:space="520"/>
            <w:col w:w="1016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IN THIS PROSPECTUS SUPPLEMENT, THE “COMPANY,” “CON EDISON OF NEW YORK,” “WE,” “US” AND “OUR” REFER TO CONSOLIDATED EDISON COMPANY OF NEW YORK, INC. IN ADDITION, WE REFER TO THE        % DEBENTURES, SERIES 2026 A DUE         AS THE “2026 A DEBENTURES” AND THE        % DEBENTURES, SERIES 2026 B DUE       AS THE “2026 B DEBENTURES.” THE TERM “DEBENTURES” REFERS TO BOTH THE 2026 A DEBENTURES AND THE 2026 B DEBENTURES.</w:t>
      </w:r>
    </w:p>
    <w:p>
      <w:pPr>
        <w:spacing w:after="0" w:line="180"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This document is in two parts. The first part is the prospectus supplement, which describes the specific terms of the Debentures subject to the offering and certain other matters relating to us and our financial condition. The second part, the accompanying prospectus, gives more general information about securities we may offer from time to time, some of which does not apply to the Debentures subject to the offering. Generally, when we refer to the prospectus, we are referring to both parts of this document combined. To the extent information in this prospectus supplement differs from information in the accompanying prospectus, you should rely on the information in this prospectus supplement.</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and the accompanying prospectus (together, the “prospectus”) and in any written communication from us or the underwriters specifying the final terms of the offering. We have not, and the underwriters have not, authorized anyone else to provide you with different information. If anyone provides you with different or inconsistent information, you should not rely on it. We are not, and the underwriters are not, making an offer to sell securities in any jurisdiction where the offer or sale is not permitted. You should not assume that the information contained in or incorporated by reference in this prospectus supplement, the accompanying prospectus or any free writing prospectus authorized by us is accurate as of any date other than the date of the document containing the information or such other date as may be specified therein. Our business, financial condition, results of operations and cash flows may have changed since those dates.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980" w:type="dxa"/>
            <w:vAlign w:val="bottom"/>
            <w:gridSpan w:val="2"/>
          </w:tcPr>
          <w:p>
            <w:pPr>
              <w:jc w:val="center"/>
              <w:ind w:right="30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980" w:type="dxa"/>
            <w:vAlign w:val="bottom"/>
          </w:tcPr>
          <w:p>
            <w:pPr>
              <w:jc w:val="center"/>
              <w:ind w:right="405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5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560" w:type="dxa"/>
            <w:vAlign w:val="bottom"/>
            <w:gridSpan w:val="17"/>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Incorporation By Reference</w:t>
            </w: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200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The Company</w:t>
            </w:r>
          </w:p>
        </w:tc>
        <w:tc>
          <w:tcPr>
            <w:tcW w:w="856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Debentures</w:t>
            </w:r>
          </w:p>
        </w:tc>
        <w:tc>
          <w:tcPr>
            <w:tcW w:w="866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Book-Entry System</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U.S. Federal Income Tax Considerations</w:t>
            </w:r>
          </w:p>
        </w:tc>
        <w:tc>
          <w:tcPr>
            <w:tcW w:w="69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Underwriting (Conflicts of Interest)</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Notices to Investors</w:t>
            </w:r>
          </w:p>
        </w:tc>
        <w:tc>
          <w:tcPr>
            <w:tcW w:w="1120" w:type="dxa"/>
            <w:vAlign w:val="bottom"/>
            <w:tcBorders>
              <w:top w:val="single" w:sz="8" w:color="0000EE"/>
            </w:tcBorders>
            <w:gridSpan w:val="6"/>
          </w:tcPr>
          <w:p>
            <w:pPr>
              <w:spacing w:after="0"/>
              <w:rPr>
                <w:sz w:val="17"/>
                <w:szCs w:val="17"/>
                <w:color w:val="auto"/>
              </w:rPr>
            </w:pPr>
          </w:p>
        </w:tc>
        <w:tc>
          <w:tcPr>
            <w:tcW w:w="800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9540" w:type="dxa"/>
            <w:vAlign w:val="bottom"/>
            <w:gridSpan w:val="1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669"/>
        </w:trPr>
        <w:tc>
          <w:tcPr>
            <w:tcW w:w="5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980" w:type="dxa"/>
            <w:vAlign w:val="bottom"/>
          </w:tcPr>
          <w:p>
            <w:pPr>
              <w:jc w:val="center"/>
              <w:ind w:right="405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5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0560" w:type="dxa"/>
            <w:vAlign w:val="bottom"/>
            <w:gridSpan w:val="17"/>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Cautionary Statement Regarding Forward-Looking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2940" w:type="dxa"/>
            <w:vAlign w:val="bottom"/>
            <w:tcBorders>
              <w:top w:val="single" w:sz="8" w:color="0000EE"/>
            </w:tcBorders>
            <w:gridSpan w:val="9"/>
          </w:tcPr>
          <w:p>
            <w:pPr>
              <w:spacing w:after="0"/>
              <w:rPr>
                <w:sz w:val="17"/>
                <w:szCs w:val="17"/>
                <w:color w:val="auto"/>
              </w:rPr>
            </w:pPr>
          </w:p>
        </w:tc>
        <w:tc>
          <w:tcPr>
            <w:tcW w:w="598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770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8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Con Edison of New York</w:t>
            </w:r>
          </w:p>
        </w:tc>
        <w:tc>
          <w:tcPr>
            <w:tcW w:w="180" w:type="dxa"/>
            <w:vAlign w:val="bottom"/>
            <w:tcBorders>
              <w:top w:val="single" w:sz="8" w:color="0000EE"/>
            </w:tcBorders>
            <w:gridSpan w:val="2"/>
          </w:tcPr>
          <w:p>
            <w:pPr>
              <w:spacing w:after="0"/>
              <w:rPr>
                <w:sz w:val="17"/>
                <w:szCs w:val="17"/>
                <w:color w:val="auto"/>
              </w:rPr>
            </w:pPr>
          </w:p>
        </w:tc>
        <w:tc>
          <w:tcPr>
            <w:tcW w:w="8560" w:type="dxa"/>
            <w:vAlign w:val="bottom"/>
            <w:gridSpan w:val="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8380" w:type="dxa"/>
            <w:vAlign w:val="bottom"/>
            <w:gridSpan w:val="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Cumulative Preferred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30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7480" w:type="dxa"/>
            <w:vAlign w:val="bottom"/>
            <w:gridSpan w:val="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9140" w:type="dxa"/>
            <w:vAlign w:val="bottom"/>
            <w:gridSpan w:val="1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9540" w:type="dxa"/>
            <w:vAlign w:val="bottom"/>
            <w:gridSpan w:val="1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under “Risk Factors” in Item 1A of our Annual Report on Form 10-K for the year ended December 31, 2025 (which description is incorporated by reference herein), as well as the other information contained or incorporated by reference herein before making a decision to invest in our debt securities. See “Incorporation by Reference,” below. Our business is influenced by many factors that are difficult to predict, that may be beyond our control and that involve uncertainties that may materially affect our actual operating results, cash flows and financial condition.</w:t>
      </w:r>
    </w:p>
    <w:p>
      <w:pPr>
        <w:spacing w:after="0" w:line="1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Securities and Exchange Commission (the “Commission”) allows the “incorporation by reference” herein of the information we file with the Commission. This means that we can disclose important information to you by referring you to documents that we have previously filed with the Commission or documents that we will file with the Commission in the future. The information we incorporate by reference is considered to be an important part of this prospectus. Information that we file later with the Commission that is incorporated by reference herein will automatically update and supersede this information.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incorporating by reference herein the following Con Edison of New York documents that we have filed with the Commission:</w:t>
      </w:r>
    </w:p>
    <w:p>
      <w:pPr>
        <w:spacing w:after="0" w:line="131"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1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w:t>
      </w:r>
      <w:hyperlink r:id="rId13">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March 31, 2026;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 on </w:t>
      </w:r>
      <w:hyperlink r:id="rId14">
        <w:r>
          <w:rPr>
            <w:rFonts w:ascii="Times New Roman" w:cs="Times New Roman" w:eastAsia="Times New Roman" w:hAnsi="Times New Roman"/>
            <w:sz w:val="18"/>
            <w:szCs w:val="18"/>
            <w:u w:val="single" w:color="auto"/>
            <w:color w:val="0000EE"/>
          </w:rPr>
          <w:t>Form 8-K</w:t>
        </w:r>
      </w:hyperlink>
      <w:r>
        <w:rPr>
          <w:rFonts w:ascii="Times New Roman" w:cs="Times New Roman" w:eastAsia="Times New Roman" w:hAnsi="Times New Roman"/>
          <w:sz w:val="18"/>
          <w:szCs w:val="18"/>
          <w:color w:val="auto"/>
        </w:rPr>
        <w:t>, dated March 11, 2026.</w:t>
      </w:r>
    </w:p>
    <w:p>
      <w:pPr>
        <w:spacing w:after="0" w:line="225" w:lineRule="exact"/>
        <w:rPr>
          <w:rFonts w:ascii="Times New Roman" w:cs="Times New Roman" w:eastAsia="Times New Roman" w:hAnsi="Times New Roman"/>
          <w:sz w:val="18"/>
          <w:szCs w:val="18"/>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We are also incorporating by reference herein any additional documents that we may file with the Commission under Section 13(a), 13(c), 14 or 15(d) of the Securities Exchange Act of 1934, as amended (other than those “furnished” pursuant to Item 2.02 or Item 7.01 in any Current Report on Form 8-K or other information deemed to have been “furnished” rather than filed in accordance with the Commission’s rules) until the termination of the offering of the securities.</w:t>
      </w:r>
    </w:p>
    <w:p>
      <w:pPr>
        <w:spacing w:after="0" w:line="176"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rFonts w:ascii="Times New Roman" w:cs="Times New Roman" w:eastAsia="Times New Roman" w:hAnsi="Times New Roman"/>
          <w:sz w:val="18"/>
          <w:szCs w:val="18"/>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Company, incorporated in New York State in 1884, is a subsidiary of Consolidated Edison, Inc. Our principal executive offices are located at 4 Irving Place, New York, New York 10003. Our telephone number is (212) 460-4600.</w:t>
      </w:r>
    </w:p>
    <w:p>
      <w:pPr>
        <w:spacing w:after="0" w:line="162" w:lineRule="exact"/>
        <w:rPr>
          <w:rFonts w:ascii="Times New Roman" w:cs="Times New Roman" w:eastAsia="Times New Roman" w:hAnsi="Times New Roman"/>
          <w:sz w:val="18"/>
          <w:szCs w:val="18"/>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The Company provides electric service to approximately 3.7 million customers in all of New York City (except a part of Queens) and most of Westchester County, an approximately 660 square mile service area with a population of more than nine million. The Company delivers gas to approximately 1.1 million customers in Manhattan, the Bronx, parts of Queens and most of Westchester County. The Company operates the largest steam distribution system in the United States by producing and delivering approximately 16,975 million pounds of steam annually to approximately 1,485 customers in parts of Manhattan.</w:t>
      </w:r>
    </w:p>
    <w:p>
      <w:pPr>
        <w:spacing w:after="0" w:line="116"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aggregate net proceeds received by us from the sale of the Debentures (after deducting the respective underwriting discounts) are expected to be approximately $        . We anticipate using such aggregate net proceeds for general corporate purposes, including repayment of short-term debt bearing interest at variable rates. At April 30, 2026, the weighted average annualized yield for our commercial paper that was outstanding was 3.85 percent.</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040"/>
          </w:cols>
          <w:pgMar w:left="320" w:top="455"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DEBENTURES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2026 A Debentures and the 2026 B Debentures each will be a new series of debt securities. The 2026 A Debentures will be issued in an initial aggregate principal amount of $      . We may at any time, without the consent of the holders of the 2026 A Debentures, issue additional 2026 A Debentures that will be part of the same series of debt securities as, rank equally and ratably with, and have the same interest rate, maturity and other terms (except for the issue date, the issue price and, if applicable, the initial interest accrual date and the first interest payment date) as, the then outstanding 2026 A Debentures. The 2026 B Debentures will be issued in an initial aggregate principal amount of $      . We may at any time, without the consent of the holders of the 2026 B Debentures, issue additional 2026 B Debentures that will be part of the same series of debt securities as, rank equally and ratably with, and have the same interest rate, maturity and other terms (except for the issue date, the issue price and, if applicable, the initial interest accrual date and the first interest payment date) as, the then outstanding 2026 B Debentures. If any such additional Debentures of a particular series are not fungible for U.S. federal income tax purposes with the Debentures of that series being offered hereby, such additional Debentures will be issued under a different CUSIP number than the Debentures of that series offered hereby.</w:t>
      </w:r>
    </w:p>
    <w:p>
      <w:pPr>
        <w:spacing w:after="0" w:line="19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2026 A Debentures will mature on        . The 2026 B Debentures will mature on        . We may redeem each series of the Debentures prior to maturity as set forth below.</w:t>
      </w:r>
    </w:p>
    <w:p>
      <w:pPr>
        <w:spacing w:after="0" w:line="162"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Additional information describing the Debentures and the Indenture under which they are to be issued is included in “Description of Debt Securities” in the accompanying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will pay interest on the Debentures at the rate per annum stated on the first page of this prospectus supplement in the title of each particular series. Interest on the Debentures will accrue from June          , 2026 or from the most recent interest payment date to which interest has been paid. Interest on the Debentures of a particular series is payable initially on        and thereafter semi-annually on        and        each year to holders of record at the close of business on the record date for the applicable interest payment date, which will be (i) the business day immediately preceding such interest payment date so long as all of the Debentures of such particular series remain in book-entry form or (ii) the fifteenth day, whether or not such day is a business day, of the calendar month next preceding such interest payment date if any of the Debentures of such particular series do not remain in book-entry form, in each case, except as otherwise provided in the Indenture.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at Our Option</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Prior to      (      month(s) prior to the maturity date of the 2026 A Debentures) (the “2026 A Par Call Date”) , we may redeem the 2026 A Debentures at our option, in whole or in part, at any time and from time to time, at a redemption price (expressed as a percentage of principal amount and rounded to three decimal places) equal to the greater of:</w:t>
      </w:r>
    </w:p>
    <w:p>
      <w:pPr>
        <w:spacing w:after="0" w:line="8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(1)(a) the sum of the present values of the remaining scheduled payments of principal and interest thereon discounted to the redemption</w:t>
      </w:r>
    </w:p>
    <w:p>
      <w:pPr>
        <w:spacing w:after="0" w:line="27" w:lineRule="exact"/>
        <w:rPr>
          <w:sz w:val="20"/>
          <w:szCs w:val="20"/>
          <w:color w:val="auto"/>
        </w:rPr>
      </w:pPr>
    </w:p>
    <w:p>
      <w:pPr>
        <w:ind w:left="1080" w:right="100"/>
        <w:spacing w:after="0" w:line="255" w:lineRule="auto"/>
        <w:rPr>
          <w:sz w:val="20"/>
          <w:szCs w:val="20"/>
          <w:color w:val="auto"/>
        </w:rPr>
      </w:pPr>
      <w:r>
        <w:rPr>
          <w:rFonts w:ascii="Times New Roman" w:cs="Times New Roman" w:eastAsia="Times New Roman" w:hAnsi="Times New Roman"/>
          <w:sz w:val="18"/>
          <w:szCs w:val="18"/>
          <w:color w:val="auto"/>
        </w:rPr>
        <w:t>date (assuming the 2026 A Debentures matured on the 2026 A Par Call Date) on a semi-annual basis (assuming a 360-day year consisting of twelve 30-day months) at the Treasury Rate (as defined below) plus        basis points, less (b) interest accrued to the date of redemption; and</w:t>
      </w:r>
    </w:p>
    <w:p>
      <w:pPr>
        <w:spacing w:after="0" w:line="9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100% of the principal amount of the 2026 A Debentures to be redeemed,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but not including, the redemption date.</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or after the 2026 A Par Call Date, we may redeem the 2026 A Debentures, in whole or in part, at any time and from time to time, at a redemption price equal to 100% of the principal amount of the 2026 A Debentures being redeemed plus accrued and unpaid interest thereon to, but not including, the redemption date.</w:t>
      </w:r>
    </w:p>
    <w:p>
      <w:pPr>
        <w:spacing w:after="0" w:line="176"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Prior to      (      month(s) prior to the maturity date of the 2026 B Debentures) (the “2026 B Par Call Date”), we may redeem the 2026 B Debentures at our option, in whole or in part, at any time and from time to time, at a redemption price (expressed as a percentage of principal amount and rounded to three decimal places) equal to the greater of:</w:t>
      </w:r>
    </w:p>
    <w:p>
      <w:pPr>
        <w:spacing w:after="0" w:line="81" w:lineRule="exact"/>
        <w:rPr>
          <w:sz w:val="20"/>
          <w:szCs w:val="20"/>
          <w:color w:val="auto"/>
        </w:rPr>
      </w:pPr>
    </w:p>
    <w:p>
      <w:pPr>
        <w:ind w:left="1080" w:right="120" w:hanging="424"/>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(1)(a) the sum of the present values of the remaining scheduled payments of principal and interest thereon discounted to the redemption date (assuming the 2026 B Debentures matured on the 2026 B Par Call Date) on a semi-annual basis (assuming a 360-day year consisting</w:t>
      </w:r>
    </w:p>
    <w:p>
      <w:pPr>
        <w:ind w:left="1080"/>
        <w:spacing w:after="0"/>
        <w:tabs>
          <w:tab w:leader="none" w:pos="5520" w:val="left"/>
        </w:tabs>
        <w:rPr>
          <w:sz w:val="20"/>
          <w:szCs w:val="20"/>
          <w:color w:val="auto"/>
        </w:rPr>
      </w:pPr>
      <w:r>
        <w:rPr>
          <w:rFonts w:ascii="Times New Roman" w:cs="Times New Roman" w:eastAsia="Times New Roman" w:hAnsi="Times New Roman"/>
          <w:sz w:val="18"/>
          <w:szCs w:val="18"/>
          <w:color w:val="auto"/>
        </w:rPr>
        <w:t xml:space="preserve">of twelve 30-day months) at the Treasury Rate plus          </w:t>
        <w:tab/>
        <w:t>basis points, less (b) interest accrued to the date of redemption; and</w:t>
      </w:r>
    </w:p>
    <w:p>
      <w:pPr>
        <w:spacing w:after="0" w:line="112"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100% of the principal amount of the 2026 B Debentures to be redeemed,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but not including, the redemption date.</w:t>
      </w:r>
    </w:p>
    <w:p>
      <w:pPr>
        <w:spacing w:after="0" w:line="22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On or after the 2026 B Par Call Date, we may redeem the 2026 B Debentures, in whole or in part, at any time and from time to time, at a redemption price equal to 100% of the principal amount of the 2026 B Debentures being redeemed plus accrued and unpaid interest thereon to, but not including, the redemption date.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us in accordance with the following two paragraphs.</w:t>
      </w:r>
    </w:p>
    <w:p>
      <w:pPr>
        <w:spacing w:after="0" w:line="22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each business day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2026 A Par Call Date or the 2026 B Par Call Date, as applicable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2026 A Par Call Date or the 2026 B Par Call Date, as applicable,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9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2026 A Par Call Date or the 2026 B Par Call Date, as applicable. If there is no United States Treasury security maturing on the 2026 A Par Call Date or the 2026 B Par Call Date, as applicable, but there are two or more United States Treasury securities with a maturity date equally distant from the 2026 A Par Call Date or the 2026 B Par Call Date, as applicable, one with a maturity date preceding the 2026 A Par Call Date or the 2026 B Par Call Date, as applicable, and one with a maturity date following the 2026 A Par Call Date or the 2026 B Par Call Date, as applicable, we shall select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United States Treasury security with a maturity date preceding the 2026 A Par Call Date or the 2026 B Par Call Date, as applicable. If there are two or more United States Treasury securities maturing on the 2026 A Par Call Date or the 2026 B Par Call Date, as applicable,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 We will notify The Bank of New York Mellon (the “Trustee”) of the redemption price promptly after the calculation thereof, and the Trustee may rely upon the redemption price contained in any such notice and the Trustee shall not be responsible for, or be liable in connection with, the calculation of such redemption price (or any component thereof) or for determining whether manifest error has occurred.</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We will mail notice of any redemption at least 10 days but not more than 60 days before the redemption date to each registered holder of Debentures to be redeemed.</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Unless we default in payment of the redemption price, on or after the redemption date interest will cease to accrue on the Debentures or portions thereof called for redemption.</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020"/>
          </w:cols>
          <w:pgMar w:left="320" w:top="455" w:right="5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BOOK-ENTRY SYSTEM</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Depository Trust Company (the “Depositary”), New York, New York, will act as securities depository for the Debentures. The Debentures will be issued as fully-registered securities registered in the name of Cede &amp; Co. (the Depositary’s partnership nominee) or such other name as may be requested by an authorized representative of the Depositary. One or more fully-registered global certificates (each a “Global Security”) will be issued for each series of the Debentures, in the aggregate principal amount of such series of Debentures, and will be deposited with the Trustee on behalf of the Depositary.</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Investors may elect to hold interests in a Global Security through either the Depositary in the United States or Clearstream Banking, S.A. (“Clearstream”) or the Euroclear Bank SA/NV, as operator of the Euroclear System (the “Euroclear System”) in Europe if they are participants of such systems, or indirectly through organizations which are participants in such systems. Clearstream and the Euroclear System will hold interests on behalf of their participants through customers’ securities accounts in Clearstream’s and the Euroclear System’s names on the books of their respective depositaries, which in turn will hold such interests in customers’ securities accounts in the depositaries’ names on the books of the Depositary. Citibank, N.A. will act as depositary for Clearstream and JPMorgan Chase Bank, N.A. will act as depositary for the Euroclear System (in such capacities, the “U.S. Depositaries”).</w:t>
      </w:r>
    </w:p>
    <w:p>
      <w:pPr>
        <w:spacing w:after="0" w:line="189"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Depositary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as amended.</w:t>
      </w:r>
    </w:p>
    <w:p>
      <w:pPr>
        <w:spacing w:after="0" w:line="180"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The Depositary holds and provides asset servicing for over 3.5 million issues of U.S. and non-U.S. equity issues, corporate and municipal debt issues, and money market instruments from over 100 countries that the Depositary’s participants (“Direct Participants”) deposit with the Depositary. The Depositary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The Depositary is a wholly-owned subsidiary of The Depository Trust &amp; Clearing Corporation (“DTCC”). DTCC is the holding company for the Depositary, National Securities Clearing Corporation and Fixed Income Clearing Corporation, all of which are registered clearing agencies. DTCC is owned by the users of its regulated subsidiaries. Access to the Depositary system is also available to others such as both U.S. and non-U.S. securities brokers and dealers, banks, trust companies and clearing corporations that clear through or maintain a custodial relationship with a Direct Participant, either directly or indirectly (“Indirect Participants”). The Depositary’s Rules applicable to its participants are on file with the Commission. More information about the Depositary can be found at www.dtcc.com, but this information is not incorporated herein by reference.</w:t>
      </w:r>
    </w:p>
    <w:p>
      <w:pPr>
        <w:spacing w:after="0" w:line="18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Purchases of the Debentures under the Depositary’s system must be made by or through Direct Participants, which will receive a credit for the Debentures on the Depositary’s records. The ownership interest of each actual purchaser of each Debenture, or beneficial owner, is in turn to be recorded on the Direct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or Indirect Participant through which the beneficial owner entered into the transaction. Transfers of ownership interests in the Debentures are to be accomplished by entries made on the books of Direct and Indirect Participants acting on behalf of beneficial owners. Beneficial owners will not receive certificates representing their ownership interests in the Debentures, except in the event that use of the book-entry system for the Debentures is discontinued.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To facilitate subsequent transfers, all Debentures deposited by Direct Participants with the Depositary are registered in the name of the Depositary’s partnership nominee, Cede &amp; Co. or such other name as may be requested by an authorized representative of the Depositary. The deposit of the Debentures with the Depositary and their registration in the name of Cede &amp; Co. or such other Depositary nominee effect no change in beneficial ownership. The Depositary has no knowledge of the actual beneficial owners of the Debentures; the Depositary’s records reflect only the identity of the Direct Participants to whose accounts such Debentures are credited, which may or may not be the beneficial owners. The Direct and Indirect Participants will remain responsible for keeping account of their holdings on behalf of their customers.</w:t>
      </w:r>
    </w:p>
    <w:p>
      <w:pPr>
        <w:spacing w:after="0" w:line="18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the Depositary to its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Redemption notices shall be sent to the Depositary. If less than all of the Debentures are being redeemed, the Depositary’s practice is to determine by lot the amount of each Direct Participant’s interest in the issue to be redeemed.</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Neither the Depositary nor Cede &amp; Co. (nor any other Depositary nominee) will consent or vote with respect to the Debentures unless authorized by a Direct Participant in accordance with the Depositary’s applicable procedures. Under its usual procedures, the Depositary mails an omnibus proxy to the Company as soon as possible after the record date. The omnibus proxy assigns Cede &amp; Co.’s consenting or voting rights to those Direct Participants to whose accounts the Debentures are credited on the record date (identified in a listing attached to the omnibus proxy).</w:t>
      </w:r>
    </w:p>
    <w:p>
      <w:pPr>
        <w:spacing w:after="0" w:line="180"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Payments on the Debentures will be made to Cede &amp; Co. or such other nominee as may be requested by an authorized representative of the Depositary. The Depositary’s practice is to credit Direct Participants’ accounts upon the Depositary’s receipt of funds and corresponding detailed information from the Company, the Trustee or any paying agent or the registrar for the Debentures, on the payable date in accordance with their respective holdings shown on the Depositary’s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participants and not of the Depositary or the Company, subject to any statutory or regulatory requirements as may be in effect from time to time. Payment to Cede &amp; Co. (or such other nominee as may be requested by an authorized representative of the Depositary) is the responsibility of the Company, disbursement of such payments to Direct Participants will be the responsibility of the Depositary, and disbursement of such payments to the beneficial owners will be the responsibility of Direct and Indirect Participants.</w:t>
      </w:r>
    </w:p>
    <w:p>
      <w:pPr>
        <w:spacing w:after="0" w:line="188"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If the Depositary is at any time unwilling or unable to continue as depositary and a successor depositary is not appointed by the Company, the Company will issue Debentures in definitive form in exchange for each Global Security representing such Debentures. In such event, an owner of a beneficial interest in such Global Security will be entitled to physical delivery in definitive form of Debentures represented by such Global Security equal in principal amount to such beneficial interest and to have such Debentures registered in its name. Debentures so issued in definitive form will be issued as registered Debentures in denominations of $2,000 and in integral multiples of $1,000 in excess thereof.</w:t>
      </w:r>
    </w:p>
    <w:p>
      <w:pPr>
        <w:spacing w:after="0" w:line="183"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the Depositary and the Depositary’s book-entry has been obtained from sources that the Company believes to be reliable, but none of the Company or the underwriters take any responsibility for the accuracy thereof.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Clearance and Settlement Procedures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Initial settlement for the Debentures will be made in immediately available funds. Secondary market trading between the Depositary participants will occur in the ordinary way in accordance with the Depositary’s rules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will be settled in immediately available funds using the Depositary’s Same-Day Funds Settlement System. Secondary market trading between Clearstream participants and/or Euroclear System participants will occur in the ordinary way in accordance with the applicable rules and operating procedures of Clearstream and the Euroclear System, as applicable.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Cross-market transfers between persons holding directly or indirectly through the Depositary on the one hand, and directly or indirectly through Clearstream participants or Euroclear System participants on the other, will be effected through the Depositary in accordance with the Depositary’s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securities in the Depositary, and making or receiving payment in accordance with normal procedures for same-day funds settlement applicable to the Depositary. Clearstream participants and Euroclear System participants may not deliver instructions directly to their respective U.S. Depositaries.</w:t>
      </w:r>
    </w:p>
    <w:p>
      <w:pPr>
        <w:spacing w:after="0" w:line="192"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Because of time-zone differences, credits of Debentures received in Clearstream or the Euroclear System as a result of a transaction with a Depositary participant will be made during subsequent securities settlement processing and dated the business day following the Depositary settlement date. Such credits or any transactions in such Debentures settled during such processing will be reported to the relevant Euroclear System participant or Clearstream participant on such business day. Cash received in Clearstream or the Euroclear System as a result of sales of the Debentures by or through a Clearstream participant or a Euroclear System participant to a Depositary participant will be received with value on the Depositary settlement date but will be available in the relevant Clearstream or the Euroclear System cash account only as of the business day following settlement in the Depositary.</w:t>
      </w:r>
    </w:p>
    <w:p>
      <w:pPr>
        <w:spacing w:after="0" w:line="17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Although the Depositary, Clearstream and the Euroclear System have agreed to the foregoing procedures in order to facilitate transfers of Debentures among participants of the Depositary, Clearstream and the Euroclear System, they are under no obligation to perform or continue to perform such procedures and such procedures may be discontinued or changed at any time.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following, subject to the limitations set forth below, describes the material U.S. federal income tax considerations of ownership and disposition of the Debentures. This discussion applies only to Debentures held as capital assets (generally, assets held for investment) by those initial holders who purchase Debentures at their “issue price,” which will equal the first price at which a substantial amount of the Debentures is sold for money to the public (not including bond houses, brokers or similar persons or organizations acting in the capacity of underwriters, placement agents or wholesalers). This summary is based on the Internal Revenue Code of 1986, as amended to the date hereof (the “Code”), administrative pronouncements, judicial decisions and final, temporary and proposed Treasury regulations, changes to any of which subsequent to the date of this prospectus supplement may affect the tax consequences described herein. This discussion does not describe all of the U.S. federal income tax consequences that may be relevant to holders in light of their particular circumstances or to holders subject to special rules, such as certain financial institutions, tax-exempt organizations, insurance companies, dealers in securities or foreign currencies, traders in securities that have elected the mark-to-market method of accounting, certain former citizens or long-term residents of the United States, persons holding Debentures as part of a straddle, hedge or other integrated transaction, U.S. Holders (as defined below) whose functional currency is not the U.S. dollar, pass-through entities, partnerships or other entities or arrangements classified as partnerships for U.S. federal income tax purposes, or persons subject to the alternative minimum tax or the Medicare tax imposed on certain net investment income.</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Debentures, the U.S. federal income tax treatment of a partner generally will depend upon the status of the partner and the activities of the partnership. Partnerships and partners of partnerships considering an investment in Debentures are urged to consult their tax advisers as to the particular U.S. federal income tax consequences to them of holding and disposing of the Debentures. Further, this discussion does not address the U.S. federal estate and gift tax or the state, local and foreign tax consequences of holding and disposing of the Debentures.</w:t>
      </w:r>
    </w:p>
    <w:p>
      <w:pPr>
        <w:spacing w:after="0" w:line="179"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Prospective investors are urged to consult their tax advisers with regard to the application of the U.S. federal income tax laws to their particular situations as well as any tax consequences arising under the laws of any state, local or foreign taxing jurisdiction, or any applicable income tax treaties.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used herein, the term “U.S. Holder” means, for U.S. federal income tax purposes, a beneficial owner of Debentures that is: (i) an individual citizen or resident of the United States; (ii) a corporation, or other entity taxable as a corporation for U.S. federal income tax purposes, created or organized in or under the laws of the United States, a state thereof or the District of Columbia; (iii) an estate the income of which is subject to U.S. federal income taxation regardless of its source; or (iv) a trust if (1) a United States court can exercise primary supervision over the administration of the trust and one or more “United States persons” within the meaning of section 7701(a)(30) of the Code can control all substantial decisions of the trust or (2) the trust was in existence on August 20, 1996 and has elected to continue to be treated as a United States person.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Payments of Interest</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Stated interest paid on Debentures generally will be taxable to a U.S. Holder as ordinary interest income at the time it accrues or is received in accordance with the U.S. Holder’s regular method of accounting for U.S. federal income tax purposes. If, as anticipated, the Debentures are sold in this offering at par, or at a de minimis discount from par, then the Debentures will not bear original issue discount for U.S. federal income tax purposes. For this purpose, discount is considered de minimis if it is less than 0.25% of the stated redemption price at maturity of the Debentures (generally, their principal amount) multiplied by the number of complete years to maturity from their original issue date.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 Exchange, Retirement or Other Taxable Disposition of the Debentures</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Upon the sale, exchange, retirement or other taxable disposition of Debentures, a U.S. Holder will recognize taxable gain or loss equal to the difference, if any, between the amount realized on the sale, exchange, retirement or other taxable disposition and the U.S. Holder’s tax basis in the Debentures at that time. For these purposes, the amount realized generally will include the sum of the cash and the fair market value of any property received in exchange for Debentures. However, the amount realized does not include any amount attributable to accrued but unpaid interest, which will be treated as ordinary interest income, as described above in “Payments of Interest”, to the extent not previously included in income by the U.S. Holder. A U.S. Holder’s tax basis in Debentures generally will equal the cost of the Debentures to the U.S. Holder. Gain or loss realized on the sale, exchange, retirement or other taxable disposition of Debentures generally will be capital gain or loss and will be long-term capital gain or loss if at the time of sale, exchange, retirement or other taxable disposition Debentures have been held for more than one year. Under current law, long-term capital gains of certain non-corporate holders generally are taxed at preferential rates. The deductibility of capital losses is subject to limitations.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Information returns generally will be filed with the Internal Revenue Service (the “IRS”) in connection with payments on the Debentures and the proceeds from a sale or other disposition of the Debentures. A U.S. Holder generally will be subject to backup withholding on these payments if the U.S. Holder fails to provide its taxpayer identification number to the paying agent and comply with certain certification procedures or otherwise establish an exemption from backup withholding. Backup withholding is not an additional tax. The amount of any backup withholding from a payment to a U.S. Holder will be allowed as a credit against the U.S. Holder’s U.S. federal income tax liability and may entitle the U.S. Holder to a refund of any excess amounts withheld, provided that the required information is timely furnished to the IRS.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As used herein, the term “Non-U.S. Holder” means, for U.S. federal income tax purposes, a beneficial owner of Debentures that is an individual, corporation, estate or trust that is not a U.S. Holder (as defined above).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Payments of Interest</w:t>
      </w:r>
    </w:p>
    <w:p>
      <w:pPr>
        <w:spacing w:after="0" w:line="11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Subject to the discussions below concerning income of a Non-U.S. Holder that is effectively connected with the conduct of a trade or business in the United States, backup withholding and the Foreign Account Tax Compliance Act provisions of the Hiring Incentives to Restore Employment Act and Treasury regulations thereunder, commonly referred to as “FATCA,” payments of interest on the Debentures by the Company or any applicable withholding agent to any Non-U.S. Holder generally will not be subject to U.S. federal income tax or withholding tax, provided, among other things, that: (a) the Non-U.S. Holder does not own, actually or constructively, 10% or more of the total combined voting power of all classes of stock of the Company that are entitled to vote; (b) the Non-U.S. Holder is not a controlled foreign corporation related, directly or indirectly, to the Company through stock ownership; and (c) the Non-U.S. Holder either (x) certifies on IRS Form W-8BEN or IRS Form W-8BEN-E (or applicable successor form), under penalties of perjury, that it is not a United States person or (y) holds the Debentures through certain foreign intermediaries and satisfies the certification requirements of the applicable Treasury regulations.</w:t>
      </w:r>
    </w:p>
    <w:p>
      <w:pPr>
        <w:spacing w:after="0" w:line="188"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Subject to the discussion below concerning income of a Non-U.S. Holder that is effectively connected with the conduct of a trade or business in the United States, a Non-U.S. Holder that does not qualify for exemption from withholding as described above generally will be subject to U.S. federal withholding tax at a rate of 30% on payments of interest on the Debentures. A Non-U.S. Holder may be entitled to the benefits of an income tax treaty under which interest on the Debentures is subject to an exemption from, or reduced rate of, U.S. federal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withholding tax, provided such holder provides to the applicable withholding agent a properly executed IRS Form W-8BEN or IRS Form W-8BEN-E (or applicable successor form) claiming the exemption or reduction and complies with any other applicable procedures.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 Exchange, Retirement or Other Taxable Disposition of the Debentures</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below of backup withholding, a Non-U.S. Holder of Debentures generally will not be subject to U.S. federal income tax or withholding tax on gain realized on the sale, exchange, retirement or other taxable disposition of Debentures, unless:</w:t>
      </w:r>
    </w:p>
    <w:p>
      <w:pPr>
        <w:spacing w:after="0" w:line="54" w:lineRule="exact"/>
        <w:rPr>
          <w:sz w:val="20"/>
          <w:szCs w:val="20"/>
          <w:color w:val="auto"/>
        </w:rPr>
      </w:pPr>
    </w:p>
    <w:p>
      <w:pPr>
        <w:ind w:left="120" w:right="200" w:firstLine="436"/>
        <w:spacing w:after="0" w:line="282" w:lineRule="auto"/>
        <w:tabs>
          <w:tab w:leader="none" w:pos="7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in the United States, subject to an applicable income tax treaty providing otherwise; or</w:t>
      </w:r>
    </w:p>
    <w:p>
      <w:pPr>
        <w:spacing w:after="0" w:line="161" w:lineRule="exact"/>
        <w:rPr>
          <w:rFonts w:ascii="Times New Roman" w:cs="Times New Roman" w:eastAsia="Times New Roman" w:hAnsi="Times New Roman"/>
          <w:sz w:val="18"/>
          <w:szCs w:val="18"/>
          <w:color w:val="auto"/>
        </w:rPr>
      </w:pPr>
    </w:p>
    <w:p>
      <w:pPr>
        <w:ind w:left="120" w:right="40" w:firstLine="436"/>
        <w:spacing w:after="0" w:line="282" w:lineRule="auto"/>
        <w:tabs>
          <w:tab w:leader="none" w:pos="8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or more days in the taxable year of the disposition and certain other requirements are met.</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you are a Non-U.S. Holder described in (i) above, you generally will be subject to tax as described below in “—U.S. Trade or Business”. If you are a Non-U.S. Holder described in (ii) above, you generally will be subject to a flat 30% (or lower applicable treaty rate) U.S. federal income tax on the gain derived from the sale, exchange, retirement or other taxable disposition, which may be offset by certain U.S. source capital losses.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Trade or Business</w:t>
      </w:r>
    </w:p>
    <w:p>
      <w:pPr>
        <w:spacing w:after="0" w:line="11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If a Non-U.S. Holder of Debentures is engaged in a trade or business in the United States and if income or gain on Debentures is effectively connected with the conduct of this trade or business, the Non-U.S. Holder, although exempt from the withholding tax on interest discussed above, generally will be taxed on such income or gain in the same manner as a U.S. Holder (see “Tax Consequences to U.S. Holders” above), subject to an applicable income tax treaty providing otherwise. The Non-U.S. Holder will be required to provide to the applicable withholding agent a properly executed IRS Form W-8ECI in order to claim an exemption from withholding tax on interest. In addition to regular U.S. federal income tax, Non-U.S. Holders that are corporations may be subject to a U.S. branch profits tax on their effectively connected earnings and profits, subject to adjustments, at a 30% rate (or a lower treaty rate, if any). Non-U.S. Holders engaged in a trade or business in the United States should consult their tax advisers with respect to other U.S. tax consequences of the ownership and disposition of Debentures.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Information returns generally will be filed with the IRS in connection with payments of interest on the Debentures. Copies of the information returns reporting such interest payments and any withholding may also be made available to the tax authorities in the country in which the Non-U.S. Holder resides under the provisions of an applicable income tax treaty or other agreement. Unless the Non-U.S. Holder complies with certification procedures to establish that it is not a United States person, information returns may be filed with the IRS in connection with the proceeds from a sale or other disposition of the Debentures, and the Non-U.S. Holder may be subject to U.S. backup withholding on payments on the Debentures or on the proceeds from a sale or other disposition of the Debentures. Compliance with the certification procedures required as to non-U.S. status in order to claim the exemption from withholding tax on interest described above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of any excess amounts withheld, provided that the required information is timely furnished to the IRS.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FATCA</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FATCA, when applicable, will impose a U.S. federal withholding tax of 30% on certain types of U.S. source payments, including payments of interest on debt obligations such as the Debentures made to (i) “foreign financial institutions” unless they agree to collect and disclose to the IRS information regarding their direct and indirect U.S. account holders or (ii) certain “non-financial foreign entities” unless they certify that they do not have any “substantial United States owners” (as defined in the Code) or furnish identifying information regarding each substantial United States owner (generally by providing an IRS Form W-8BEN-E). In certain circumstances, the relevant foreign financial institution or non-financial foreign entity may qualify for an exemption from these rules, which exemption is typically evidenced by providing appropriate documentation (such as an IRS Form W-8BEN-E). In addition, an intergovernmental agreement between the United States and the jurisdiction of a foreign financial institution may modify these rules.</w:t>
      </w:r>
    </w:p>
    <w:p>
      <w:pPr>
        <w:spacing w:after="0" w:line="192" w:lineRule="exact"/>
        <w:rPr>
          <w:sz w:val="20"/>
          <w:szCs w:val="20"/>
          <w:color w:val="auto"/>
        </w:rPr>
      </w:pPr>
    </w:p>
    <w:p>
      <w:pPr>
        <w:jc w:val="center"/>
        <w:ind w:left="820" w:right="60"/>
        <w:spacing w:after="0" w:line="454" w:lineRule="auto"/>
        <w:rPr>
          <w:sz w:val="20"/>
          <w:szCs w:val="20"/>
          <w:color w:val="auto"/>
        </w:rPr>
      </w:pPr>
      <w:r>
        <w:rPr>
          <w:rFonts w:ascii="Times New Roman" w:cs="Times New Roman" w:eastAsia="Times New Roman" w:hAnsi="Times New Roman"/>
          <w:sz w:val="18"/>
          <w:szCs w:val="18"/>
          <w:color w:val="auto"/>
        </w:rPr>
        <w:t>You are urged to consult your own tax advisers regarding FATCA and the application of these requirements to your investment in the Debentures. S-12</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J.P. Morgan Securities LLC, Mizuho Securities USA LLC, PNC Capital Markets LLC and Wells Fargo Securities, LLC are acting as joint book-running managers of the offering and as representatives (the “representatives”) of the underwriters named below (the “underwriters”). Subject to the terms and conditions contained in the underwriting agreement between us and the underwriters, we have agreed to sell the Debentures to the underwriters, and the underwriters have severally, and not jointly, agreed to purchase the Debentures, in the respective principal amounts of the Debentures set forth after their names below. The underwriting agreement provides that the obligations of the underwriters are subject to certain conditions precedent and that the underwriters will be obligated to purchase all of the Debentures if any are purchased.</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620" w:type="dxa"/>
            <w:vAlign w:val="bottom"/>
          </w:tcPr>
          <w:p>
            <w:pPr>
              <w:spacing w:after="0"/>
              <w:rPr>
                <w:sz w:val="13"/>
                <w:szCs w:val="13"/>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5440" w:type="dxa"/>
            <w:vAlign w:val="bottom"/>
            <w:vMerge w:val="restart"/>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2026 A</w:t>
            </w:r>
          </w:p>
        </w:tc>
        <w:tc>
          <w:tcPr>
            <w:tcW w:w="62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 2026 B</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5440" w:type="dxa"/>
            <w:vAlign w:val="bottom"/>
            <w:vMerge w:val="continue"/>
          </w:tcPr>
          <w:p>
            <w:pPr>
              <w:spacing w:after="0"/>
              <w:rPr>
                <w:sz w:val="15"/>
                <w:szCs w:val="15"/>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Debentures</w:t>
            </w:r>
          </w:p>
        </w:tc>
        <w:tc>
          <w:tcPr>
            <w:tcW w:w="620" w:type="dxa"/>
            <w:vAlign w:val="bottom"/>
          </w:tcPr>
          <w:p>
            <w:pPr>
              <w:spacing w:after="0"/>
              <w:rPr>
                <w:sz w:val="15"/>
                <w:szCs w:val="15"/>
                <w:color w:val="auto"/>
              </w:rPr>
            </w:pPr>
          </w:p>
        </w:tc>
        <w:tc>
          <w:tcPr>
            <w:tcW w:w="74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Debentures</w:t>
            </w:r>
          </w:p>
        </w:tc>
        <w:tc>
          <w:tcPr>
            <w:tcW w:w="0" w:type="dxa"/>
            <w:vAlign w:val="bottom"/>
          </w:tcPr>
          <w:p>
            <w:pPr>
              <w:spacing w:after="0"/>
              <w:rPr>
                <w:sz w:val="1"/>
                <w:szCs w:val="1"/>
                <w:color w:val="auto"/>
              </w:rPr>
            </w:pPr>
          </w:p>
        </w:tc>
      </w:tr>
      <w:tr>
        <w:trPr>
          <w:trHeight w:val="189"/>
        </w:trPr>
        <w:tc>
          <w:tcPr>
            <w:tcW w:w="62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J.P. Morgan Securities LLC</w:t>
            </w:r>
          </w:p>
        </w:tc>
        <w:tc>
          <w:tcPr>
            <w:tcW w:w="7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7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KeyBanc Capital Markets Inc. </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Scotia Capital (USA) Inc. </w:t>
            </w: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 </w:t>
            </w:r>
          </w:p>
        </w:tc>
        <w:tc>
          <w:tcPr>
            <w:tcW w:w="720" w:type="dxa"/>
            <w:vAlign w:val="bottom"/>
            <w:tcBorders>
              <w:bottom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tcPr>
          <w:p>
            <w:pPr>
              <w:spacing w:after="0"/>
              <w:rPr>
                <w:sz w:val="19"/>
                <w:szCs w:val="19"/>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Debentures, subject to prior sale, when, as and if issued to and accepted by them, subject to approval of legal matters by counsel, including the validity of the Debentures,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underwriters have advised the Company that they propose to offer the Debentures directly to the public at the applicable public offering price set forth on the cover page of this prospectus supplement, and may offer the Debentures to certain securities dealers at such price less a concession not to exceed       % of the principal amount of the 2026 A Debentures and       % of the principal amount of the 2026 B Debentures. The underwriters may allow, and such dealers may reallow, a concession not to exceed       % of the principal amount of the 2026 A Debentures and       % of the principal amount of the 2026 B Debentures to certain brokers and dealers. After the Debentures are released for sale to the public, the offering prices and other selling terms may from time to time be varied by the underwriters.</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Debentures are new issues of securities with no established trading market. We do not intend to apply for the listing of the Debentures on any securities exchange or for quotation of the Debentures on any automated dealer quotation system. We have been advised by the underwriters that they presently intend to make a market in each series of the Debentures after completion of this offering. However, the underwriters are under no obligation to do so and may discontinue any market-making activities at any time without any notice. We cannot assure the liquidity of the trading market for the Debentures or that an active public trading market for the Debentures will develop. If an active public trading market for the Debentures does not develop, the market prices and liquidity of the Debentures may be adversely affected.</w:t>
      </w:r>
    </w:p>
    <w:p>
      <w:pPr>
        <w:spacing w:after="0" w:line="187"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In connection with this offering, the representatives, on behalf of the underwriters, may purchase and sell Debentures in the open market. These transactions may include short sales, stabilizing transactions and purchases to cover positions created by short sales. Short sales involve the sale by the underwriters of a greater total principal amount of Debentures than they are required to purchase in this offering. Stabilizing transactions consist of certain bids or purchases made for the purpose of preventing or retarding a decline in the market prices of Debentures while this offering is in progress.</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also may impose a penalty bid. This may occur when a particular underwriter repays to the underwriters a portion of the underwriting discount because the underwriters have repurchased Debentures sold by or for the account of that underwriter in stabilizing or short covering transactions.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These activities by the underwriters may stabilize, maintain or otherwise affect the market prices of the Debentures. As a result, the prices of the Debentures may be higher than the prices that otherwise might exist in the open market. If these activities are commenced, they may be discontinued by the underwriters at any time.</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Company has agreed to indemnify the several underwriters against certain liabilities, including liabilities under the Securities Act of 1933, as amended, or to contribute to payments the underwriters may be required to make in respect thereof.</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 expects to have an estimated $3.45 million of expenses (excluding the respective underwriting discounts)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21"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It is expected that delivery of the Debentures will be made against payment for the Debentures on or about the date specified on the cover page of this prospectus supplement, which is the second business day following the date of this prospectus supplement (such settlement cycle being referred to as “T+2”). Under Rule 15c6-1 under the Securities Exchange Act of 1934, as amended, trades in the secondary market generally are required to settle in one business day unless the parties to any such trade expressly agree otherwise. Accordingly, purchasers of the Debentures who wish to trade the Debentures prior to the first business day preceding the settlement date will be required, by virtue of the fact that the Debentures initially will settle in T+2, to specify an alternative settlement cycle at the time of any such trade to prevent a failed settlement. Purchasers who wish to trade the Debentures prior to the first business day preceding the settlement date should consult their own advisors.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among other activities, securities trading and underwriting, commercial and investment banking, financial advisory, corporate trust, investment management, investment research, principal investment, hedging, financing and brokerage activities. In the ordinary course of their respective businesses, the underwriters and/or their respective affiliates have in the past and may in the future provide us and our affiliates with financial advisory and other services for which they have and in the future will receive customary fees. The underwriters or their affiliates have a lending relationship with us. In particular, certain affiliates of the underwriters participate in our revolving credit arrangements.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these underwriters or their affiliates routinely hedge, and certain other of these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Debentures offered hereby. Any such credit default swaps or short positions could adversely affect future trading prices of the Debentures offered hereby. The underwriters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Certain of the underwriters or their affiliates may hold a portion of our commercial paper that we anticipate repaying using a portion of the aggregate net proceeds received by us from the sale of the Debentures. See “Use of Proceeds,” above. We understand that if an underwriter or its affiliate were to receive 5% or more of the net proceeds, such underwriter would be required to conduct its distribution of the Debentures in accordance with Rule 5121 (Public Offerings of Securities with Conflicts of Interest) of the Financial Industry Regulatory Authority, Inc.</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020"/>
          </w:cols>
          <w:pgMar w:left="320" w:top="455" w:right="5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NOTICES TO INVESTORS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Public Offering Outside the United States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that would permit a public offering of the Debentures offered by this prospectus in any jurisdiction where action for that purpose is required. The Debentures offered by this prospectus may not be offered or sold, directly or indirectly, nor may this prospectus or any other offering material or advertisements in connection with the offer and sale of any such Debentures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Debentures offered by this prospectus in any jurisdiction in which such an offer or a solicitation is unlawful.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Debentures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Debentures or otherwise making them available to retail investors in the EEA has been prepared and therefore offering or selling the Debentures or otherwise making them available to any retail investor in the EEA may be unlawful under the PRIIPs Regulation. This prospectus supplement and accompanying prospectus have been prepared on the basis that any offer of the Debentures in any member state of the EEA will be made pursuant to an exemption under the Prospectus Regulation from the requirement to publish a prospectus for offers of the Debentures. This prospectus supplement and the accompanying prospectus are not a prospectus for the purposes of the Prospectus Regulation.</w:t>
      </w:r>
    </w:p>
    <w:p>
      <w:pPr>
        <w:spacing w:after="0" w:line="192" w:lineRule="exact"/>
        <w:rPr>
          <w:sz w:val="20"/>
          <w:szCs w:val="20"/>
          <w:color w:val="auto"/>
        </w:rPr>
      </w:pPr>
    </w:p>
    <w:p>
      <w:pPr>
        <w:jc w:val="both"/>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Each person in a member state of the EEA to whom any offer of Debentures is made or who receives any communication in respect of, or who initially acquires any Debentures under, the offers to the public contemplated in this prospectus supplement, or to whom the Debentures are otherwise made available will be deemed to have represented, warranted and agreed to and with each of the underwriters and us that it and any person on whose behalf it acquires Debentures as a financial intermediary, as that term is defined in Article 3(2) of the Prospectus Directive, is: (i) a “qualified investor” within the meaning of the law in that member state implementing Article 2(1)(e) of the Prospectus Directive; and (ii) not a “retail investor” as defined above.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Debentures are not intended to be offered, sold, distributed or otherwise made available to and should not be offered, sold, distributed or otherwise made available to any retail investor in the United Kingdom (“UK”). For these purposes, a retail investor means a person who is either one (or both) of the following: (i) not a professional client, as defined in point (8) of Article 2(1) of Regulation (EU) No 600/2014 as it forms part of domestic law by virtue of the European Union (Withdrawal) Act 2018 (“EUWA”); or (ii) not a qualified investor as defined in paragraph 15 of Schedule 1 to the Public Offers and Admissions to Trading Regulations 2024 (“POATRs”). Consequently no disclosure document required by the U.K. Financial Conduct Authority’s (“FCA”) Product Disclosure Sourcebook (“DISC”) for offering, selling or distributing the Debentures or otherwise making them available to retail investors in the UK has been prepared and therefore offering, selling or distributing the Debentures or otherwise making them available to any retail investor in the UK may be unlawful under DISC and the Consumer Composite Investments (Designated Activities) Regulations 2024. This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prospectus supplement and the accompanying prospectus have been prepared on the basis that any offer of Debentures in the UK will be made pursuant to one of the exceptions specified in Part 1 of Schedule 1 of the POATRs. Unless this prospectus supplement indicates otherwise, the Debentures will not be “admitted to trading” on a “regulated market” in the UK within the meaning of Section 1.4.1R of the FCA Prospectus Rules: Admission to Trading on a Regulated Market sourcebook (“PRM”) and, accordingly, no document will be required to be published as a prospectus as approved by the FCA in accordance with the PRM. This prospectus supplement and the accompanying prospectus are not prospectuses for the purposes of the PRM.</w:t>
      </w:r>
    </w:p>
    <w:p>
      <w:pPr>
        <w:spacing w:after="0" w:line="18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Debentures in the United Kingdom means the communication in any form and by any means of sufficient information on the terms of the offer and any Debentures to be offered so as to enable an investor to decide to purchase any Debentures.</w:t>
      </w:r>
    </w:p>
    <w:p>
      <w:pPr>
        <w:spacing w:after="0" w:line="176"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approved by an authorized person for the purposes of section 21 of the Financial Services and Markets Act 2000 (as amended, the “FSMA”) and accordingly, are only being distributed to, and must not be passed on to, the general public in the UK. In the UK, such documents are only directed at, persons who are (i) investment professionals falling within Article 19 (5) of the Financial Services and Markets Act 2000 (Financial Promotion) Order 2005 (the “Order”), (ii) high net worth entities or other persons falling within Article 49(2)(a) to (d) of the Order, or (iii) other persons to whom they may otherwise lawfully be communicated (each such person being referred to as a “relevant person”). This prospectus supplement, the accompanying prospectus and their contents are confidential and should not be distributed, published or reproduced (in whole or in part) or disclosed by recipients to any other persons in the United Kingdom. Any investment or investment activity to which this prospectus supplement and the accompanying prospectus relate is available only to and will be engaged in only with relevant persons. Any person in the United Kingdom who is not a relevant person should not act or rely on this prospectus supplement and the accompanying prospectus or any of their contents.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121"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The Debentures have not been and will not be registered under the Financial Instruments and Exchange Law of Japan (Law No. 25 of 1948, as amended) and, accordingly, will not be offered or sold, directly or indirectly, in Japan, or for the account or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supplement and accompanying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Any offer in Australia of the Debentures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Debentures without disclosure to investors under Chapter 6D of the Corporations Act.</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060"/>
          </w:cols>
          <w:pgMar w:left="320" w:top="455" w:right="5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Debentures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Debentures must observe such Australian on-sale restrictions. 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121"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The Debentures may be sold in Canada only to purchasers purchasing, or deemed to be purchasing, as principal that are accredited investors, as defined in National Instrument 45-106 Prospectus Exemptions or subsection 73.3(1) of the Securities Act (Ontario), and that are permitted clients, as defined in National Instrument 31-103 Registration Requirements, Exemptions and Ongoing Registrant Obligations. Any resale of the Debentures must be made in accordance with an exemption from, or in a transaction not subject to, the prospectus requirements of applicable Canadian securities laws.</w:t>
      </w:r>
    </w:p>
    <w:p>
      <w:pPr>
        <w:spacing w:after="0" w:line="164"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w:t>
      </w:r>
    </w:p>
    <w:p>
      <w:pPr>
        <w:spacing w:after="0" w:line="158"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purchaser should refer to any applicable provisions of the securities legislation of the purchaser’s province or territory for particulars of these rights or consult with a legal advisor.</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Taiwan</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Debentures have not been and will not be registered with the Financial Supervisory Commission of Taiwan, the Republic of China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 No person or entity in Taiwan has been authorized to offer, sell, give advice regarding or otherwise intermediate the offering or sale of the Debentures in Taiwan.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Each of the prospectus supplement and the accompanying prospectus has not been registered as a prospectus with the Monetary Authority of Singapore. Accordingly, the prospectus supplement and the accompanying prospectus and any other document or material in connection with the offer or sale, or invitation for subscription or purchase, of the Debentures may not be circulated or distributed, nor may the Debentures be offered or sold, or be made the subject of an invitation for subscription or purchase,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any person pursuant to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provision of the SFA.</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Where the Debentures are subscribed or purchased under Section 275 of the SFA by a relevant person which is:</w:t>
      </w:r>
    </w:p>
    <w:p>
      <w:pPr>
        <w:spacing w:after="0" w:line="131" w:lineRule="exact"/>
        <w:rPr>
          <w:sz w:val="20"/>
          <w:szCs w:val="20"/>
          <w:color w:val="auto"/>
        </w:rPr>
      </w:pPr>
    </w:p>
    <w:p>
      <w:pPr>
        <w:ind w:left="540" w:right="40" w:hanging="424"/>
        <w:spacing w:after="0" w:line="28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540" w:right="40" w:hanging="424"/>
        <w:spacing w:after="0" w:line="261"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Debentures pursuant to an offer made under Section 275 of the SFA except:</w:t>
      </w:r>
    </w:p>
    <w:p>
      <w:pPr>
        <w:spacing w:after="0" w:line="85" w:lineRule="exact"/>
        <w:rPr>
          <w:rFonts w:ascii="Times New Roman" w:cs="Times New Roman" w:eastAsia="Times New Roman" w:hAnsi="Times New Roman"/>
          <w:sz w:val="18"/>
          <w:szCs w:val="18"/>
          <w:color w:val="auto"/>
        </w:rPr>
      </w:pPr>
    </w:p>
    <w:p>
      <w:pPr>
        <w:ind w:left="1540" w:right="800" w:hanging="439"/>
        <w:spacing w:after="0" w:line="282"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(iii) where the transfer is by operation of law;</w:t>
      </w:r>
    </w:p>
    <w:p>
      <w:pPr>
        <w:spacing w:after="0" w:line="131" w:lineRule="exact"/>
        <w:rPr>
          <w:sz w:val="20"/>
          <w:szCs w:val="20"/>
          <w:color w:val="auto"/>
        </w:rPr>
      </w:pPr>
    </w:p>
    <w:p>
      <w:pPr>
        <w:ind w:left="1540" w:hanging="439"/>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540" w:right="280" w:hanging="439"/>
        <w:spacing w:after="0" w:line="282"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58"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309B Notification </w:t>
      </w:r>
      <w:r>
        <w:rPr>
          <w:rFonts w:ascii="Times New Roman" w:cs="Times New Roman" w:eastAsia="Times New Roman" w:hAnsi="Times New Roman"/>
          <w:sz w:val="18"/>
          <w:szCs w:val="18"/>
          <w:color w:val="auto"/>
        </w:rPr>
        <w:t>– In connection with Section 309B of the SFA and the Securities and Futures (Capital Markets Products) Regulations 2018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Singapore (the “CMP Regulations 2018”), we have determined the classification of the Debentures as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080"/>
          </w:cols>
          <w:pgMar w:left="320" w:top="45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The validity of the Debentures and certain other related legal matters will be passed upon for Con Edison of New York by Deneen Donnley, Esq., Senior Vice President and General Counsel, and by Cleary Gottlieb Steen &amp; Hamilton LLP, One Liberty Plaza, New York, New York 10006. Certain legal matters in connection with the Debentures will be passed upon for the underwriters by Hunton Andrews Kurth LLP, 200 Park Avenue, New York, New York 10166. Hunton Andrews Kurth LLP has from time to time performed and may perform legal services for the Company or its affiliates.</w:t>
      </w:r>
    </w:p>
    <w:p>
      <w:pPr>
        <w:spacing w:after="0" w:line="3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the Report of Management on Internal Control over Financial Reporting) incorporated in this prospectus supplement by reference to the Company’s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38"/>
          <w:szCs w:val="38"/>
          <w:b w:val="1"/>
          <w:bCs w:val="1"/>
          <w:color w:val="auto"/>
        </w:rPr>
        <w:t>Consolidated Edison Company of New York, Inc.</w:t>
      </w:r>
    </w:p>
    <w:p>
      <w:pPr>
        <w:spacing w:after="0" w:line="2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Cumulative Preferred Stock ($100 Par Value)</w:t>
      </w:r>
    </w:p>
    <w:p>
      <w:pPr>
        <w:spacing w:after="0" w:line="12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offer and sell from time to time our unsecured debt securities and our Cumulative Preferred Stock ($100 par value). We will establish the specific terms of each series of our debt securities and Cumulative Preferred Stock (collectively, the “Securities”) we offer, their offering prices and how they will be offered at the time we offer them, and we will describe them in one or more supplements to this prospectus. This prospectus may not be used to offer and sell the Securities unless accompanied by a prospectus supplement. You should read this prospectus and the related prospectus supplement before you invest in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213995</wp:posOffset>
            </wp:positionV>
            <wp:extent cx="1474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Investing in the Securities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1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216535</wp:posOffset>
            </wp:positionV>
            <wp:extent cx="1474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may sell the Securities on a continuous or delayed basis directly, through agents, dealers or underwriters as designated from time to time, or through a combination of these methods. We reserve the sole right to accept, and together with any agents, dealers and underwriters, reserve the right to reject, in whole or in part, any proposed purchase of Securities. If any agents, dealers or underwriters are involved in the sale of any Securities, the applicable prospectus supplement will set forth any applicable commissions or discounts. Our net proceeds from the sale of any Securities also will be set forth in the applicable prospectus supplement.</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1, 2024.</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THIS PROSPECTUS, THE “COMPANY,” THE “REGISTRANT,” “CON EDISON OF NEW YORK,” “WE,” “US” AND “OUR” REFER TO CONSOLIDATED EDISON COMPANY OF NEW YORK,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762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Risk Factors</w:t>
            </w:r>
          </w:p>
        </w:tc>
        <w:tc>
          <w:tcPr>
            <w:tcW w:w="3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76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Cautionary Statement Regarding Forward-Looking Information</w:t>
            </w:r>
          </w:p>
        </w:tc>
        <w:tc>
          <w:tcPr>
            <w:tcW w:w="3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6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2940" w:type="dxa"/>
            <w:vAlign w:val="bottom"/>
            <w:tcBorders>
              <w:top w:val="single" w:sz="8" w:color="0000EE"/>
            </w:tcBorders>
            <w:gridSpan w:val="6"/>
          </w:tcPr>
          <w:p>
            <w:pPr>
              <w:spacing w:after="0"/>
              <w:rPr>
                <w:sz w:val="17"/>
                <w:szCs w:val="17"/>
                <w:color w:val="auto"/>
              </w:rPr>
            </w:pPr>
          </w:p>
        </w:tc>
        <w:tc>
          <w:tcPr>
            <w:tcW w:w="3040" w:type="dxa"/>
            <w:vAlign w:val="bottom"/>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76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28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4760" w:type="dxa"/>
            <w:vAlign w:val="bottom"/>
            <w:gridSpan w:val="3"/>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8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Con Edison of New York</w:t>
            </w:r>
          </w:p>
        </w:tc>
        <w:tc>
          <w:tcPr>
            <w:tcW w:w="180" w:type="dxa"/>
            <w:vAlign w:val="bottom"/>
            <w:tcBorders>
              <w:top w:val="single" w:sz="8" w:color="0000EE"/>
            </w:tcBorders>
          </w:tcPr>
          <w:p>
            <w:pPr>
              <w:spacing w:after="0"/>
              <w:rPr>
                <w:sz w:val="17"/>
                <w:szCs w:val="17"/>
                <w:color w:val="auto"/>
              </w:rPr>
            </w:pPr>
          </w:p>
        </w:tc>
        <w:tc>
          <w:tcPr>
            <w:tcW w:w="5620" w:type="dxa"/>
            <w:vAlign w:val="bottom"/>
            <w:gridSpan w:val="5"/>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76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3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5440" w:type="dxa"/>
            <w:vAlign w:val="bottom"/>
            <w:gridSpan w:val="4"/>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76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Cumulative Preferred Stock</w:t>
            </w:r>
          </w:p>
        </w:tc>
        <w:tc>
          <w:tcPr>
            <w:tcW w:w="3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308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540" w:type="dxa"/>
            <w:vAlign w:val="bottom"/>
            <w:gridSpan w:val="2"/>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4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6200" w:type="dxa"/>
            <w:vAlign w:val="bottom"/>
            <w:gridSpan w:val="8"/>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620" w:type="dxa"/>
            <w:vAlign w:val="bottom"/>
            <w:gridSpan w:val="10"/>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businesses are influenced by many factors that are difficult to predict, that are often beyond our control and that involve uncertainties that may materially affect our actual operating results, cash flows and financial condition. These risk factors include those described in the documents that are incorporated by reference in this prospectus (see “Incorporation by Reference,” below), and could include additional uncertainties not presently known to us or that we currently do not consider to be material. Before making an investment decision, you should carefully consider these risks as well as any other information we include or incorporate by reference in this prospectus or include in any applicable prospectus supplement.</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herein contain forward-looking statements that are intended to qualify for the safe-harbor provisions of Section 27A of the Securities Act of 1933, as amended (the “Securities Act”), and Section 21E of the Securities Exchange Act of 1934, as amended (the “Exchange Act”). Forward-looking statements are statements of future expectations and not facts. Words such as “forecasts,” “expects,” “estimates,” “anticipates,” “intends,” “believes,” “plans,” “will,” “target,” “guidance,” “potential,” “goal,” “consider” and similar expressions identify forward-looking statements. The forward-looking statements reflect information available and assumptions at the time the statements are made, and accordingly speak only as of that time. Actual results or developments might differ materially from those included in the forward-looking statements because of various factors such as those identified in reports Con Edison of New York has filed with the Securities and Exchange Commission (the “Commission”), including, but not limited to:</w:t>
      </w:r>
    </w:p>
    <w:p>
      <w:pPr>
        <w:spacing w:after="0" w:line="9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extensively regulated and is subject to substantial penalties;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rate plans may not provide a reasonable return;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adversely affected by changes to its rate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or damage to, its facilities could adversely affect it;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attack could adversely affect it;</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processes and systems, the failure to retain and attract employees and contractors, and their negative performance could adversely affect 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exposed to risks from the environmental consequences of its operations, including increased costs related to climate 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tax laws could adversely affect it: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requires access to capital markets to satisfy funding requirements;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the wholesale energy markets, increased commodity costs or failure by an energy supplier or customer could adversely affect 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faces risks related to health epidemics and other outbreaks;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strategies may not be effective to address changes in the external business environment;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faces risks related to supply chain disruptions and inflation;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also faces other risks that are beyond its control.</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list of factors is not all-inclusive because it is not possible to predict all factors. You should also consider the information under the heading “Risk Factors” in this prospectus, any prospectus supplement, and in Con Edison of New York’s other filings with the Commission. Con Edison of New York assumes no obligation to update or revise any forward-looking statements, whether as a result of new information, future events or otherwise, except as required by law.</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for the Securities that we have filed with the Commission using a “shelf” registration process. We may use this prospectus to offer and sell from time to time any of the Securities in one or more offerings. This prospectus provides you with a general description of the Securities. Each time we offer Securities, we will file with the Commission a supplement to this prospectus that will describe the specific terms of that offering. The specific terms of the offered Securities may vary from the general terms of the Securities described in this prospectus, and accordingly the description of the Securities contained in this prospectus is subject to, and qualified by reference to, the specific terms of the offered Securities contained in the applicable prospectus supplement. The prospectus supplement may also add, update or change the information contained in this prospectus, including information about us. If there is any inconsistency between this prospectus and the applicable prospectus supplement, you should rely on the information in the prospectus supplement. Before you invest, you should carefully read this prospectus, the applicable prospectus supplement and the information contained in the documents we refer to in this prospectus under “Where You Can Find More Information.”</w:t>
      </w:r>
    </w:p>
    <w:p>
      <w:pPr>
        <w:spacing w:after="0" w:line="194"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contain and incorporate by reference information that you should consider when making your investment decision. We have not, and the underwriters have not, authorized anyone else to provide you with any additional or different information. If anyone provides you with such additional, different or inconsistent information, you should not rely on it. We are not, and the underwriters are not, making an offer to sell Securities in any jurisdiction where the offer or sale is not permitted. You should assume that information appearing in this prospectus, any prospectus supplement and the documents incorporated by reference therein and in any related written communication that we provide or authorize is accurate only as of the respective dates of such documents. Our business, financial condition, results of operations and prospects may have changed since such dates.</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and other information with the Commission and these filings are publicly available through the Commission’s website (http://www.sec.gov). This prospectus, which includes information incorporated by reference (see “Incorporation by Reference,” below), is part of a registration statement on Form S-3 we have filed with the Commission relating to the Securities. As permitted by the Commission’s rules, this prospectus does not contain all of the information included in the registration statement and the accompanying exhibits and schedules we file with the Commission.</w:t>
      </w:r>
    </w:p>
    <w:p>
      <w:pPr>
        <w:spacing w:after="0" w:line="183"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You should read the registration statement and the exhibits and schedules for more information about us and the Securities. The registration statement, exhibits and schedules are also available through the Commission’s Internet website.</w:t>
      </w:r>
    </w:p>
    <w:p>
      <w:pPr>
        <w:spacing w:after="0" w:line="16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You may obtain a free copy of our filings with the Commission by writing or telephoning us at our principal executive offices: Corporate Secretary, Consolidated Edison Company of New York, Inc., 4 Irving Place, New York, New York 10003 (Telephone No.: 212-460-3192). The filings are also available through the “Investors” section of our website: www.coned.com. The information on our website is not incorporated into this prospectus by reference, and you should not consider it a part of this prospectus.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Commission allows us to “incorporate by reference” into this prospectus information we file with them. This means that we can disclose important information to you by referring you to documents that we have previously filed with the Commission or documents that we will file with the Commission in the future. The information we incorporate by reference is considered to be an important part of this prospectus. Information that we file later with the Commission that is incorporated by reference into this prospectus will automatically update and supersede this information.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are incorporating by reference into this prospectus the following Con Edison of New York documents that we have filed with the Commission:</w:t>
      </w:r>
    </w:p>
    <w:p>
      <w:pPr>
        <w:spacing w:after="0" w:line="142"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w:t>
      </w:r>
      <w:hyperlink r:id="rId43">
        <w:r>
          <w:rPr>
            <w:rFonts w:ascii="Times New Roman" w:cs="Times New Roman" w:eastAsia="Times New Roman" w:hAnsi="Times New Roman"/>
            <w:sz w:val="18"/>
            <w:szCs w:val="18"/>
            <w:u w:val="single" w:color="auto"/>
            <w:color w:val="0000EE"/>
          </w:rPr>
          <w:t>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Reports on Form 10-Q for the quarterly periods ended </w:t>
      </w:r>
      <w:hyperlink r:id="rId44">
        <w:r>
          <w:rPr>
            <w:rFonts w:ascii="Times New Roman" w:cs="Times New Roman" w:eastAsia="Times New Roman" w:hAnsi="Times New Roman"/>
            <w:sz w:val="18"/>
            <w:szCs w:val="18"/>
            <w:u w:val="single" w:color="auto"/>
            <w:color w:val="0000EE"/>
          </w:rPr>
          <w:t>March 31,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5">
        <w:r>
          <w:rPr>
            <w:rFonts w:ascii="Times New Roman" w:cs="Times New Roman" w:eastAsia="Times New Roman" w:hAnsi="Times New Roman"/>
            <w:sz w:val="18"/>
            <w:szCs w:val="18"/>
            <w:u w:val="single" w:color="auto"/>
            <w:color w:val="0000EE"/>
          </w:rPr>
          <w:t>June 30, 2024</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dated </w:t>
      </w:r>
      <w:hyperlink r:id="rId46">
        <w:r>
          <w:rPr>
            <w:rFonts w:ascii="Times New Roman" w:cs="Times New Roman" w:eastAsia="Times New Roman" w:hAnsi="Times New Roman"/>
            <w:sz w:val="18"/>
            <w:szCs w:val="18"/>
            <w:u w:val="single" w:color="auto"/>
            <w:color w:val="0000EE"/>
          </w:rPr>
          <w:t>March 25, 2024</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May 6, 2024</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May 17, 2024</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May 20,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0">
        <w:r>
          <w:rPr>
            <w:rFonts w:ascii="Times New Roman" w:cs="Times New Roman" w:eastAsia="Times New Roman" w:hAnsi="Times New Roman"/>
            <w:sz w:val="18"/>
            <w:szCs w:val="18"/>
            <w:u w:val="single" w:color="auto"/>
            <w:color w:val="0000EE"/>
          </w:rPr>
          <w:t>June 4, 2024</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560" w:firstLine="440"/>
        <w:spacing w:after="0" w:line="276" w:lineRule="auto"/>
        <w:rPr>
          <w:sz w:val="20"/>
          <w:szCs w:val="20"/>
          <w:color w:val="auto"/>
        </w:rPr>
      </w:pPr>
      <w:r>
        <w:rPr>
          <w:rFonts w:ascii="Times New Roman" w:cs="Times New Roman" w:eastAsia="Times New Roman" w:hAnsi="Times New Roman"/>
          <w:sz w:val="17"/>
          <w:szCs w:val="17"/>
          <w:color w:val="auto"/>
        </w:rPr>
        <w:t>We are also incorporating by reference into this prospectus any additional documents that we subsequently file with the Commission under Section 13(a), 13(c), 14 or 15(d) of the Exchange Act (other than those “furnished” pursuant to Item 2.02 or Item 7.01 in any Current Report on</w:t>
      </w:r>
    </w:p>
    <w:p>
      <w:pPr>
        <w:spacing w:after="0" w:line="1" w:lineRule="exact"/>
        <w:rPr>
          <w:rFonts w:ascii="Times New Roman" w:cs="Times New Roman" w:eastAsia="Times New Roman" w:hAnsi="Times New Roman"/>
          <w:sz w:val="18"/>
          <w:szCs w:val="18"/>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Form 8-K or other information deemed to have been “furnished” rather than filed in accordance with the Commission’s rules) prior to the termination of the offering of the Securities covered by the applicable prospectus supplement.</w:t>
      </w:r>
    </w:p>
    <w:p>
      <w:pPr>
        <w:spacing w:after="0" w:line="181" w:lineRule="exact"/>
        <w:rPr>
          <w:rFonts w:ascii="Times New Roman" w:cs="Times New Roman" w:eastAsia="Times New Roman" w:hAnsi="Times New Roman"/>
          <w:sz w:val="18"/>
          <w:szCs w:val="18"/>
          <w:color w:val="auto"/>
        </w:rPr>
      </w:pPr>
    </w:p>
    <w:p>
      <w:pPr>
        <w:ind w:left="120" w:right="340" w:firstLine="440"/>
        <w:spacing w:after="0" w:line="281" w:lineRule="auto"/>
        <w:rPr>
          <w:sz w:val="20"/>
          <w:szCs w:val="20"/>
          <w:color w:val="auto"/>
        </w:rPr>
      </w:pPr>
      <w:r>
        <w:rPr>
          <w:rFonts w:ascii="Times New Roman" w:cs="Times New Roman" w:eastAsia="Times New Roman" w:hAnsi="Times New Roman"/>
          <w:sz w:val="17"/>
          <w:szCs w:val="17"/>
          <w:color w:val="auto"/>
        </w:rPr>
        <w:t>Any statement contained in a document incorporated or deemed to be incorporated by reference into this prospectus will be deemed to be modified or superseded for purposes of this prospectus to the extent that a statement contained in this prospectus or any accompanying prospectus supplement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376"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 EDISON OF NEW YORK</w:t>
      </w:r>
    </w:p>
    <w:p>
      <w:pPr>
        <w:spacing w:after="0" w:line="229" w:lineRule="exact"/>
        <w:rPr>
          <w:rFonts w:ascii="Times New Roman" w:cs="Times New Roman" w:eastAsia="Times New Roman" w:hAnsi="Times New Roman"/>
          <w:sz w:val="18"/>
          <w:szCs w:val="18"/>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Con Edison of New York, incorporated in New York State in 1884, is a subsidiary of Consolidated Edison, Inc. (“Con Edison”) and has no significant subsidiaries of its own. Con Edison of New York provides electric service in all of New York City (except a part of Queens) and most of Westchester County, an approximately 660 square mile service area with a population of more than nine million. Con Edison of New York also provides gas service in Manhattan, the Bronx, parts of Queens and most of Westchester County, and steam service in parts of Manhattan. All of the outstanding common stock of Con Edison of New York is owned by Con Edison.</w:t>
      </w:r>
    </w:p>
    <w:p>
      <w:pPr>
        <w:spacing w:after="0" w:line="395"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rFonts w:ascii="Times New Roman" w:cs="Times New Roman" w:eastAsia="Times New Roman" w:hAnsi="Times New Roman"/>
          <w:sz w:val="18"/>
          <w:szCs w:val="18"/>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Unless we inform you otherwise in a supplement to this prospectus, we anticipate using any net proceeds received by us from the sale of the Securities for general corporate purposes, including, among others, the funding of our construction expenditures, repayment of our short-term debt and repurchase, retirement or refinancing of our other securities. We may temporarily invest net proceeds prior to their use.</w:t>
      </w:r>
    </w:p>
    <w:p>
      <w:pPr>
        <w:spacing w:after="0" w:line="108"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debt securities are expected to be issued under an Indenture, dated as of December 1, 1990, between Con Edison of New York and The Bank of New York Mellon (formerly known as The Bank of New York (successor as trustee to JPMorgan Chase Bank, N.A. (formerly known as JPMorgan Chase Bank, formerly known as The Chase Manhattan Bank (successor to The Chase Manhattan Bank (National Association))))), as Trustee (“Trustee”), as amended and supplemented by a First Supplemental Indenture, dated as of March 6, 1996 and a Second Supplemental Indenture, dated as of June 23, 2005 (such Indenture, as amended and supplemented, is herein referred to as the “Indenture”), copies of which are included as exhibits to the registration statement of which this prospectus is a part.</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debt securities to be issued under the Indenture will be unsecured general obligations of Con Edison of New York ranking equally and ratably in right of payment with the other unsecured debt securities of Con Edison of New York issued under the Indenture that are not subordinated obligations of Con Edison of New York (“Subordinated Securities”) and the unsecured promissory notes of Con Edison of New York issued as collateral for, and in consideration of the net proceeds of, a like amount of tax-exempt revenue bonds issued by New York State Energy Research and Development Authority; provided, however, that if so provided in the prospectus supplement relating to a series of debt securities, the debt securities will be Subordinated Securities.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There is no requirement that future issues of debt securities of Con Edison of New York be issued under the Indenture, and Con Edison of New York will be free to employ other indentures or documentation, containing provisions different from those included in the Indenture or applicable to one or more issues of debt securities, in connection with future issues of such other debt securities. Any such other indenture or documentation would be described in a prospectus supplement or in a revision to this prospectus.</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Indenture does not specifically restrict the ability of Con Edison of New York to engage in transactions which could have the effect of increasing the ratio of debt to equity capitalization of Con Edison of New York or a successor corporation. For example, the Indenture does not limit the amount of indebtedness of Con Edison of New York, the payment of dividends by Con Edison of New York or the acquisition by Con Edison of New York of any of the equity securities of Con Edison or Con Edison of New York. The Indenture also permits Con Edison of New York to merge or consolidate or to transfer its assets, subject to certain conditions (see “Consolidation, Merger and Sale” below). Con Edison of New York must obtain approvals from state and/or federal regulatory bodies to merge or consolidate or, with limited exceptions, to issue securities or transfer assets.</w:t>
      </w:r>
    </w:p>
    <w:p>
      <w:pPr>
        <w:spacing w:after="0" w:line="187"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following summary of the Indenture does not purport to be complete and is subject to, and qualified in its entirety by reference to, the Indenture, including the definitions therein of certain terms.</w:t>
      </w:r>
    </w:p>
    <w:p>
      <w:pPr>
        <w:spacing w:after="0" w:line="158"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Indenture provides that the debt securities offered and other unsecured debt securities of Con Edison of New York issued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without limitation as to aggregate principal amount (collectively, the “Indenture Securities”), may be issued in one or more series, in each case as authorized from time to time by Con Edison of New York.</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Reference is made to the prospectus supplement relating to the debt securities offered for any of the following terms not provided herein:</w:t>
      </w:r>
    </w:p>
    <w:p>
      <w:pPr>
        <w:spacing w:after="0" w:line="131" w:lineRule="exact"/>
        <w:rPr>
          <w:sz w:val="20"/>
          <w:szCs w:val="20"/>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representing the price for which the debt securities shall be issued;</w:t>
      </w:r>
    </w:p>
    <w:p>
      <w:pPr>
        <w:spacing w:after="0" w:line="130" w:lineRule="exact"/>
        <w:rPr>
          <w:rFonts w:ascii="Times New Roman" w:cs="Times New Roman" w:eastAsia="Times New Roman" w:hAnsi="Times New Roman"/>
          <w:sz w:val="18"/>
          <w:szCs w:val="18"/>
          <w:color w:val="auto"/>
        </w:rPr>
      </w:pPr>
    </w:p>
    <w:p>
      <w:pPr>
        <w:ind w:left="5580" w:right="2600" w:hanging="5032"/>
        <w:spacing w:after="0" w:line="454" w:lineRule="auto"/>
        <w:tabs>
          <w:tab w:leader="none" w:pos="10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and premium, if any, on the debt securities shall be payable; 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532"/>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at which the debt securities shall bear interest, if any, or the method by which such rate or rates shall be determined;</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payments of the principal of, premium, if any, or interest, if any, on the debt securities may be determined with reference to an index, formula or other method, the manner in which such amounts shall be determined;</w:t>
      </w:r>
    </w:p>
    <w:p>
      <w:pPr>
        <w:spacing w:after="0" w:line="67" w:lineRule="exact"/>
        <w:rPr>
          <w:rFonts w:ascii="Times New Roman" w:cs="Times New Roman" w:eastAsia="Times New Roman" w:hAnsi="Times New Roman"/>
          <w:sz w:val="18"/>
          <w:szCs w:val="18"/>
          <w:color w:val="auto"/>
        </w:rPr>
      </w:pPr>
    </w:p>
    <w:p>
      <w:pPr>
        <w:ind w:left="1080" w:right="300" w:hanging="532"/>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such interest shall accrue, or the method by which such date or dates shall be determined, the dates on which any such interest shall be payable and any record dates therefor and the basis for the computation of interest, if other than</w:t>
      </w: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360-day year consisting of twelve 30-day months;</w:t>
      </w:r>
    </w:p>
    <w:p>
      <w:pPr>
        <w:spacing w:after="0" w:line="11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if any, and interest, if any, on the debt securities shall be payable;</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period or periods, if any, within which, and the terms and conditions upon which the debt securities may be redeemed, in whole or in part, at the option of Con Edison of New York;</w:t>
      </w:r>
    </w:p>
    <w:p>
      <w:pPr>
        <w:spacing w:after="0" w:line="67" w:lineRule="exact"/>
        <w:rPr>
          <w:rFonts w:ascii="Times New Roman" w:cs="Times New Roman" w:eastAsia="Times New Roman" w:hAnsi="Times New Roman"/>
          <w:sz w:val="18"/>
          <w:szCs w:val="18"/>
          <w:color w:val="auto"/>
        </w:rPr>
      </w:pPr>
    </w:p>
    <w:p>
      <w:pPr>
        <w:ind w:left="1080" w:right="60" w:hanging="532"/>
        <w:spacing w:after="0" w:line="289" w:lineRule="auto"/>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 if any, of Con Edison of New York to redeem, purchase or repay the debt securities pursuant to any sinking fund or analogous provisions or at the option of a holder thereof and the price or prices at which, the period or periods within which, and the terms and conditions upon which the debt securities shall be redeemed, purchased or repaid, in whole or in part, pursuant to such obligation;</w:t>
      </w:r>
    </w:p>
    <w:p>
      <w:pPr>
        <w:spacing w:after="0" w:line="63" w:lineRule="exact"/>
        <w:rPr>
          <w:rFonts w:ascii="Times New Roman" w:cs="Times New Roman" w:eastAsia="Times New Roman" w:hAnsi="Times New Roman"/>
          <w:sz w:val="17"/>
          <w:szCs w:val="17"/>
          <w:color w:val="auto"/>
        </w:rPr>
      </w:pPr>
    </w:p>
    <w:p>
      <w:pPr>
        <w:ind w:left="1080" w:right="320" w:hanging="532"/>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shall be issued in whole or in part in the form of one or more Global Securities and, if so, the identity of the Depositary for such Global Security or Global Securities;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$1,000 or an integral multiple thereof, the denominations in which the debt securities shall be issued;</w:t>
      </w:r>
    </w:p>
    <w:p>
      <w:pPr>
        <w:spacing w:after="0" w:line="130" w:lineRule="exact"/>
        <w:rPr>
          <w:rFonts w:ascii="Times New Roman" w:cs="Times New Roman" w:eastAsia="Times New Roman" w:hAnsi="Times New Roman"/>
          <w:sz w:val="18"/>
          <w:szCs w:val="18"/>
          <w:color w:val="auto"/>
        </w:rPr>
      </w:pPr>
    </w:p>
    <w:p>
      <w:pPr>
        <w:ind w:left="1080" w:right="880" w:hanging="532"/>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the debt securities payable upon declaration of acceleration of the maturity of the debt securities;</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or modifications of or additions to the Events of Default set forth in Section 6.01 of the Indenture pertaining to the debt securities;</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the defeasance of debt securities of a series prior to the maturity thereof pursuant to Section 12.02 of the Indenture (see “Satisfaction and Discharge of Indenture; Defeasance”);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upon which Con Edison of New York may elect not to pay interest on an interest payment date;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the subordination of the debt securities pursuant to Article 15 of the Indenture (see “Subordination”); and</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not inconsistent with the provisions of the Indenture and not adversely affecting the rights of any other series of Indenture Securities then outstanding. (Section 2.03)</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terms of a series of Indenture Securities shall be established by or pursuant to a resolution of Con Edison of New York’s Board of Trustees or any duly authorized committee thereof, and set forth in an Officers’ Certificate, or established in a supplemental indenture. The provisions of the Indenture described above permit Con Edison of New York, in addition to issuing Indenture Securities with terms different from those of Indenture Securities previously issued, to “reopen” a previous issue of a series of Indenture Securities and to issue additional Indenture Securities of such series.</w:t>
      </w:r>
    </w:p>
    <w:p>
      <w:pPr>
        <w:spacing w:after="0" w:line="180"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Indenture Securities will be issued only in registered form without coupons and, unless otherwise provided with respect to a series of Indenture Securities, in denominations of $1,000 and integral multiples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thereof. (Section 2.02) Indenture Securities of a series may be issued in whole or in part in the form of one or more Global Securities (see “Global Securities”). One or more Global Securities will be issued in a denomination or aggregate denominations equal to the aggregate principal amount of outstanding Indenture Securities of the series to be represented by such Global Security or Global Securities. (Section 2.01) No service charge will be made for any transfer or exchange of Indenture Securities, but Con Edison of New York may require payment of a sum sufficient to cover any tax or other governmental charge payable in connection therewith. (Section 2.05)</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One or more series of the Indenture Securities may be issued with the same or various maturities at par or at a discount. Debt securities bearing no interest or interest at a rate which at the time of issuance is below the market rate (“Original Issue Discount Securities”) will be sold at a discount (which may be substantial) below their stated principal amount. Federal income tax consequences and other special considerations applicable to any such Original Issue Discount Securities will be described in the prospectus supplement relating thereto.</w:t>
      </w:r>
    </w:p>
    <w:p>
      <w:pPr>
        <w:spacing w:after="0" w:line="176" w:lineRule="exact"/>
        <w:rPr>
          <w:sz w:val="20"/>
          <w:szCs w:val="20"/>
          <w:color w:val="auto"/>
        </w:rPr>
      </w:pPr>
    </w:p>
    <w:p>
      <w:pPr>
        <w:ind w:left="120" w:right="10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Subordination: </w:t>
      </w:r>
      <w:r>
        <w:rPr>
          <w:rFonts w:ascii="Times New Roman" w:cs="Times New Roman" w:eastAsia="Times New Roman" w:hAnsi="Times New Roman"/>
          <w:sz w:val="17"/>
          <w:szCs w:val="17"/>
          <w:color w:val="auto"/>
        </w:rPr>
        <w:t>If the prospectus supplement relating to a particular series of Indenture Securities so provides, such securities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Subordinated Securities and the payment of the principal of, premium, if any, and interest on the Subordinated Securities will be subordinate and junior in right of payment to the prior payment in full of all Senior Indebtedness (defined below) to the extent set forth in the next paragraph. (Section 15.01)</w:t>
      </w:r>
    </w:p>
    <w:p>
      <w:pPr>
        <w:spacing w:after="0" w:line="15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event (a) of any distribution of assets of Con Edison of New York in bankruptcy, insolvency, reorganization or receivership proceedings, or upon an assignment for the benefit of creditors, or any other marshalling of assets and liabilities of Con Edison of New York, except for a distribution in connection with a consolidation, merger, sale, transfer or lease permitted under the Indenture (see “Consolidation, Merger and Sale”), or (b) the principal of any Senior Indebtedness shall have been declared due and payable by reason of an event of default with respect thereto and such event of default shall not have been rescinded, then the holders of Subordinated Securities will not be entitled to receive or retain any payment, or distribution of assets of Con Edison of New York, in respect of the principal of, premium, if any, and interest on the Subordinated Securities until the holders of all Senior Indebtedness (or, in the circumstances described in the foregoing clause (b), all Senior Indebtedness due and payable by reason of such an event of default) receive payment of the full amount due in respect of the principal of, premium, if any, and interest on the Senior Indebtedness or provision for such payment on the Senior Indebtedness shall have been made. (Section 15.02)</w:t>
      </w:r>
    </w:p>
    <w:p>
      <w:pPr>
        <w:spacing w:after="0" w:line="18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Subject to the payment in full of all Senior Indebtedness, the holders of the Subordinated Securities shall be subrogated to the rights of the holders of the Senior Indebtedness to receive payments or distributions applicable to the Senior Indebtedness until all amounts owing on the Subordinated Securities shall be paid in full. (Section 15.03)</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“Senior Indebtedness” means all indebtedness of Con Edison of New York for the repayment of money borrowed (whether or not represented by bonds, debentures, notes or other securities) other than the indebtedness</w:t>
      </w:r>
    </w:p>
    <w:p>
      <w:pPr>
        <w:ind w:left="120" w:right="380"/>
        <w:spacing w:after="0" w:line="290" w:lineRule="auto"/>
        <w:rPr>
          <w:sz w:val="20"/>
          <w:szCs w:val="20"/>
          <w:color w:val="auto"/>
        </w:rPr>
      </w:pPr>
      <w:r>
        <w:rPr>
          <w:rFonts w:ascii="Times New Roman" w:cs="Times New Roman" w:eastAsia="Times New Roman" w:hAnsi="Times New Roman"/>
          <w:sz w:val="17"/>
          <w:szCs w:val="17"/>
          <w:color w:val="auto"/>
        </w:rPr>
        <w:t>evidenced by the Subordinated Securities and any indebtedness subordinated to, or subordinated on parity with, the Subordinated Securities. Senior Indebtedness does not include customer deposits or other amounts securing obligations of others to Con Edison of New York. (Section 15.01)</w:t>
      </w:r>
    </w:p>
    <w:p>
      <w:pPr>
        <w:spacing w:after="0" w:line="157"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Indenture does not limit the aggregate amount of Senior Indebtedness that Con Edison of New York may issue. As of June 30, 2024, approximately $24.4 billion of Senior Indebtedness was outstanding.</w:t>
      </w:r>
    </w:p>
    <w:p>
      <w:pPr>
        <w:spacing w:after="0" w:line="158" w:lineRule="exact"/>
        <w:rPr>
          <w:sz w:val="20"/>
          <w:szCs w:val="20"/>
          <w:color w:val="auto"/>
        </w:rPr>
      </w:pPr>
    </w:p>
    <w:p>
      <w:pPr>
        <w:ind w:left="120"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Redemption: </w:t>
      </w:r>
      <w:r>
        <w:rPr>
          <w:rFonts w:ascii="Times New Roman" w:cs="Times New Roman" w:eastAsia="Times New Roman" w:hAnsi="Times New Roman"/>
          <w:sz w:val="18"/>
          <w:szCs w:val="18"/>
          <w:color w:val="auto"/>
        </w:rPr>
        <w:t>If the prospectus supplement relating to a particular series of Indenture Securities so provides, such securities will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redemption at the option of Con Edison of New York. Notice of any redemption of Indenture Securities shall be given to the registered holders of such securities not less than 30 days nor more than 60 days prior to the date fixed for redemption. If less than all of a series of Indenture Securities are to be redeemed, the Trustee shall select, in such manner as in its sole discretion it shall deem appropriate and fair, the Indenture Securities of such series or portions thereof to be redeemed. (Section 3.02)</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Global Securities: </w:t>
      </w:r>
      <w:r>
        <w:rPr>
          <w:rFonts w:ascii="Times New Roman" w:cs="Times New Roman" w:eastAsia="Times New Roman" w:hAnsi="Times New Roman"/>
          <w:sz w:val="18"/>
          <w:szCs w:val="18"/>
          <w:color w:val="auto"/>
        </w:rPr>
        <w:t>The Indenture Securities of a series may be issued in whole or in part in the form of one or more Global Securities that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deposited with, or on behalf of, the Depositary identified in the prospectus supplement relating thereto. Unless and until it is exchanged in whole or in part for Indenture Securities in definitive form,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Depositary or a nominee of such successor Depositary. (Sections 2.01 and 2.05)</w:t>
      </w:r>
    </w:p>
    <w:p>
      <w:pPr>
        <w:spacing w:after="0" w:line="183" w:lineRule="exact"/>
        <w:rPr>
          <w:sz w:val="20"/>
          <w:szCs w:val="20"/>
          <w:color w:val="auto"/>
        </w:rPr>
      </w:pPr>
    </w:p>
    <w:p>
      <w:pPr>
        <w:ind w:left="120" w:right="820" w:firstLine="440"/>
        <w:spacing w:after="0" w:line="312" w:lineRule="auto"/>
        <w:rPr>
          <w:sz w:val="20"/>
          <w:szCs w:val="20"/>
          <w:color w:val="auto"/>
        </w:rPr>
      </w:pPr>
      <w:r>
        <w:rPr>
          <w:rFonts w:ascii="Times New Roman" w:cs="Times New Roman" w:eastAsia="Times New Roman" w:hAnsi="Times New Roman"/>
          <w:sz w:val="17"/>
          <w:szCs w:val="17"/>
          <w:color w:val="auto"/>
        </w:rPr>
        <w:t>The specific terms of the depositary arrangement with respect to any Indenture Securities of a series will be described in the prospectus supplement relating thereto. Con Edison of New York anticipates that the following provisions will apply to all depositary arrangements.</w:t>
      </w:r>
    </w:p>
    <w:p>
      <w:pPr>
        <w:spacing w:after="0" w:line="140" w:lineRule="exact"/>
        <w:rPr>
          <w:sz w:val="20"/>
          <w:szCs w:val="20"/>
          <w:color w:val="auto"/>
        </w:rPr>
      </w:pPr>
    </w:p>
    <w:p>
      <w:pPr>
        <w:jc w:val="both"/>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Upon the issuance of a Global Security, the Depositary for such Global Security will credit, on its book-entry registration and transfer system, the respective principal amounts of the Indenture Securities represented by such Global Security to the accounts of institutions that have accounts with such Depositary (“participants”). The accounts to be credited shall be designated by the underwriters through which such Indenture Securities were sold.</w:t>
      </w:r>
    </w:p>
    <w:p>
      <w:pPr>
        <w:spacing w:after="0" w:line="2"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participants or persons that may hold interests through participants. Ownership of beneficial interests in such Global Security will be shown on, and the transfer of that ownership will be effected only through, records maintained by the Depositary for such Global Security or by participants or persons that hold through participants. The laws of some states require that certain purchasers of securities take physical delivery of such securities in definitive form. Such limits and such laws may impair the ability to transfer beneficial interests in a Global Security.</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So long as the Depositary for a Global Security, or its nominee, is the owner of such Global Security, such Depositary or such nominee, as the case may be, will be considered the sole owner or holder of the Indenture Securities represented by such Global Security for all purposes under the Indenture. Except as set forth below, owners of beneficial interests in a Global Security will not be entitled to have Indenture Securities of the series represented by such Global Security registered in their names, will not receive or be entitled to receive physical delivery of Indenture Securities of such series in definitive form and will not be considered the owners or holders thereof under the Indenture.</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Payments of principal of, premium, if any, and interest, if any, on Indenture Securities registered in the name of or held by a Depositary or its nominee will be made to the Depositary or its nominee, as the case may be, as the registered owner of the Global Security representing such Indenture Securities. None of Con Edison of New York, the Trustee or any paying agent for such Indenture Securities will have any responsibility or liability for any aspect of the records relating to, or payments made on account of, beneficial ownership interests in a Global Security for such Indenture Securities or for maintaining, supervising or reviewing any records relating to such beneficial ownership interests.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Con Edison of New York expects that the Depositary for Indenture Securities of a series, upon receipt of any payment of principal, premium, if any, or interest, if any, in respect of a Global Security will immediately credit participants’ accounts with payments in amounts proportionate to their respective beneficial interests in the principal amount of such Global Security as shown on the records of such Depositary. Con Edison of New York also expects that payments by participants to owners of beneficial interests in such Global Security held through such participants will be governed by standing instructions and customary practices, as is now the case with securities registered in “street name,” and will be the responsibility of such participants.</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a Depositary for Indenture Securities of a series is at any time unwilling or unable to continue as Depositary and a successor depositary is not appointed by Con Edison of New York within 90 days, Con Edison of New York will issue Indenture Securities of such series in definitive form in exchange for the Global Security or Global Securities representing the Indenture Securities of such series. In addition, Con Edison of New York may at any time and in its sole discretion determine not to have any Indenture Securities of a series represented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by one or more Global Securities and, in such event, will issue Indenture Securities of such series in definitive form in exchange for the Global Security or Global Securities representing such Indenture Securities. Further, if Con Edison of New York so specifies with respect to the Indenture Securities of a series, each person specified by the Depositary of the Global Security representing Indenture Securities of such series may, on terms acceptable to Con Edison of New York and the Depositary for such Global Security, receive Indenture Securities of the series in definitive form. In any such instance, each person so specified by the Depositary of the Global Security will be entitled to physical delivery in definitive form of Indenture Securities of the series represented by such Global Security equal in principal amount to such person’s beneficial interest in the Global Security. The rules of The Depository Trust Company (“DTC”), which serves as the Depositary for all of Con Edison of New York’s outstanding Indenture Securities, provide that DTC will not effectuate withdrawals of securities from DTC’s book-entry system based upon a request from the issuer.</w:t>
      </w:r>
    </w:p>
    <w:p>
      <w:pPr>
        <w:spacing w:after="0" w:line="188"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Payments and Paying Agents: </w:t>
      </w:r>
      <w:r>
        <w:rPr>
          <w:rFonts w:ascii="Times New Roman" w:cs="Times New Roman" w:eastAsia="Times New Roman" w:hAnsi="Times New Roman"/>
          <w:sz w:val="18"/>
          <w:szCs w:val="18"/>
          <w:color w:val="auto"/>
        </w:rPr>
        <w:t>Unless otherwise indicated in the prospectus supplement, payment of principal of and premium, if any,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Securities will be made against surrender of such Indenture Securities at The Bank of New York Mellon, Corporate Trust Division, BNY Mellon Corporate Trust, 500 Ross Street, Suite 625, Pittsburgh, PA 15262. Unless otherwise indicated in the prospectus supplement, payment of any installment of interest on Indenture Securities will be made to the person in whose name such Indenture Security is registered at the close of business on the record date for such interest. Unless otherwise indicated in the prospectus supplement, payments of such interest will be made at The Bank of New York Mellon, or by a check mailed to each holder of an Indenture Security at such holder’s registered address.</w:t>
      </w:r>
    </w:p>
    <w:p>
      <w:pPr>
        <w:spacing w:after="0" w:line="18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All moneys paid by Con Edison of New York to a paying agent for the payment of principal of, premium, if any, or interest, if any, on any Indenture Security that remain unclaimed at the end of two years after such principal, premium or interest shall have become due and payable will be repaid to Con Edison of New York and the holder of such Indenture Security entitled to receive such payment will thereafter look only to Con Edison of New York for payment thereof. (Section 12.05) However, any such payment shall be subject to escheat pursuant to state abandoned property laws.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Consolidation, Merger and Sale: </w:t>
      </w:r>
      <w:r>
        <w:rPr>
          <w:rFonts w:ascii="Times New Roman" w:cs="Times New Roman" w:eastAsia="Times New Roman" w:hAnsi="Times New Roman"/>
          <w:sz w:val="18"/>
          <w:szCs w:val="18"/>
          <w:color w:val="auto"/>
        </w:rPr>
        <w:t>The Indenture permits Con Edison of New York, without the consent of the holders of any of the Indenture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to consolidate with or merge into any other corporation or sell, transfer or lease its properties as an entirety or substantially as an entirety to any person, provided that: (i) the successor is a corporation organized under the laws of the United States of America or any state thereof; (ii) the successor assumes Con Edison of New York’s obligations under the Indenture and the Indenture Securities; (iii) immediately after giving effect to the transaction, no Event of Default (see “Default and Certain Rights on Default”) and no event that, after notice or lapse of time, or both, would become an Event of Default, shall have occurred and be continuing; and (iv) certain other conditions are met. (Section 11.02) The Indenture does not restrict the merger of another corporation into Con Edison of New York.</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Modification of the Indenture: </w:t>
      </w:r>
      <w:r>
        <w:rPr>
          <w:rFonts w:ascii="Times New Roman" w:cs="Times New Roman" w:eastAsia="Times New Roman" w:hAnsi="Times New Roman"/>
          <w:sz w:val="18"/>
          <w:szCs w:val="18"/>
          <w:color w:val="auto"/>
        </w:rPr>
        <w:t>The Indenture contains provisions permitting Con Edison of New York and the Trustee, without the consent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the Indenture Securities, to execute supplemental indentures to, among other things, establish the form and terms of any series of Indenture Securities issuable thereunder by one or more supplemental indentures and to add to the conditions, limitations or restrictions to be observed by Con Edison of New York and to cure any ambiguity or to correct or supplement any provision contained in the Indenture which may be defective or inconsistent with any other provision contained therein or to make such other provisions in regard to matters or questions arising under the Indenture as shall not be inconsistent with the provisions of the Indenture and shall not adversely affect the interests of the holders of the Indenture Securities. The Indenture also contains provisions permitting Con Edison of New York and the Trustee, with the consent of the holders of a majority in aggregate principal amount of the Indenture Securities of any series at the time outstanding, evidenced as in the Indenture provided, to execute supplemental indentures adding any provisions to or changing in any manner or eliminating any of the provisions of the Indenture or of any supplemental indenture with respect to Indenture Securities of such series, or modifying in any manner the rights of the holders of the Indenture Securities of such series; provided, however, that no such supplemental indenture shall (i) extend the</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77" w:lineRule="auto"/>
        <w:rPr>
          <w:sz w:val="20"/>
          <w:szCs w:val="20"/>
          <w:color w:val="auto"/>
        </w:rPr>
      </w:pPr>
      <w:r>
        <w:rPr>
          <w:rFonts w:ascii="Times New Roman" w:cs="Times New Roman" w:eastAsia="Times New Roman" w:hAnsi="Times New Roman"/>
          <w:sz w:val="17"/>
          <w:szCs w:val="17"/>
          <w:color w:val="auto"/>
        </w:rPr>
        <w:t>fixed maturity, or the earlier optional date of maturity, if any, of any Indenture Security of a particular series or reduce the principal amount thereof or the premium thereon, if any, or reduce the rate or extend the time of payment of interest thereon, or make the principal thereof or premium, if any, or interest thereon payable in any coin or currency other than that provided in the Indenture Security, without the consent of the holder of each Indenture Security so affected, or (ii) reduce the principal amount of Indenture Securities of any series, the holders of which are required to consent to any such supplemental indenture, without the consent of the holders of all Indenture Securities of such series outstanding thereunder. (Sections 10.01 and 10.02)</w:t>
      </w:r>
    </w:p>
    <w:p>
      <w:pPr>
        <w:spacing w:after="0" w:line="16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Default and Certain Rights on Default: </w:t>
      </w:r>
      <w:r>
        <w:rPr>
          <w:rFonts w:ascii="Times New Roman" w:cs="Times New Roman" w:eastAsia="Times New Roman" w:hAnsi="Times New Roman"/>
          <w:sz w:val="18"/>
          <w:szCs w:val="18"/>
          <w:color w:val="auto"/>
        </w:rPr>
        <w:t>The Indenture provides that the Trustee or the holders of 25% or more in aggregate principal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Securities of a series outstanding thereunder may declare the principal of all Indenture Securities of such series to be due and payable immediately, if any Event of Default with respect to such series of Indenture Securities shall occur and be continuing. However, if all defaults with respect to Indenture Securities of such series (other than non-payment of accelerated principal) are cured, the holders of a majority in aggregate principal amount of the Indenture Securities of such series outstanding thereunder may waive the default and rescind the declaration and its consequences. Events of Default with respect to a series of Indenture Securities include (unless specifically deleted in the supplemental indenture or Board Resolution under which such series of Indenture Securities is issued, or modified in any such supplemental indenture):</w:t>
      </w:r>
    </w:p>
    <w:p>
      <w:pPr>
        <w:spacing w:after="0" w:line="92" w:lineRule="exact"/>
        <w:rPr>
          <w:sz w:val="20"/>
          <w:szCs w:val="20"/>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when due on any Indenture Security of such series, continued for 30 days;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or premium, if any, when due on any Indenture Security of such series;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other covenant of Con Edison of New York in the Indenture or the Indenture Securities of such series (other than a covenant included in the Indenture or the Indenture Securities solely for the benefit of series of Indenture Securities other than such series), continued for 60 days after written notice from the Trustee or the holders of 25% or more in aggregate principal amount of the Indenture Securities of such series outstanding thereunder;</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as may be specified for such series. (Section 6.01)</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holders of a majority in aggregate principal amount of the Indenture Securities of any series outstanding thereunder may, subject to certain exceptions, direct the time, method and place of conducting any proceeding for any remedy available to, or exercising any power or trust conferred upon, the Trustee with respect to Indenture Securities of such series and may on behalf of all holders of Indenture Securities of such series waive any past default and its consequences with respect to Indenture Securities of such series, except a default in the payment of the principal of or premium, if any, or interest on any of the Indenture Securities of such series. (Section 6.06)</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Holders of Indenture Securities of any series may not institute any proceeding to enforce the Indenture unless the Trustee thereunder shall have refused or neglected to act for 60 days after a request and offer of satisfactory indemnity by the holders of 25% or more in aggregate principal amount of the Indenture Securities of such series outstanding thereunder. Notwithstanding any other provision of the Indenture, however, the right of any holder of Indenture Securities of any series to enforce payment of principal of or premium, if any, or interest on the holder’s Indenture Securities when due shall not be impaired. (Section 6.04)</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Trustee is required to give the holders of Indenture Securities of any series notice of defaults with respect to such series (see Events of Default summarized above, exclusive of any grace period and irrespective of any requirement that notice of default be given) known to it within 90 days after the occurrence thereof, unless cured before the giving of such notice, but, except for defaults in payments of principal of, premium, if any, or interest on the Indenture Securities of such series, the Trustee may withhold notice if and so long as it determines in good faith that the withholding of such notice is in the interests of such holders. (Section 6.07)</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Con Edison of New York is required to deliver to the Trustee each year an Officers’ Certificate stating whether such officers have obtained knowledge of any default by Con Edison of New York in the performance of certain covenants and, if so, specifying the nature thereof. (Section 4.06)</w:t>
      </w:r>
    </w:p>
    <w:p>
      <w:pPr>
        <w:spacing w:after="0" w:line="136"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Concerning the Trustee: </w:t>
      </w:r>
      <w:r>
        <w:rPr>
          <w:rFonts w:ascii="Times New Roman" w:cs="Times New Roman" w:eastAsia="Times New Roman" w:hAnsi="Times New Roman"/>
          <w:sz w:val="18"/>
          <w:szCs w:val="18"/>
          <w:color w:val="auto"/>
        </w:rPr>
        <w:t>The Indenture provides that the Trustee shall, prior to the occurrence of any Event of Default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Securities of any series and after the curing or waiving of all Events of Default with respect to such series which have occurred, perform only such duties as are specifically set forth in the Indenture. During the existence of any Event of Default with respect to the Indenture Securities of any series, the Trustee shall exercise such of the rights and powers vested in it under the Indenture with respect to such series and use the same degree of care and skill in their exercise as a prudent man would exercise or use under the circumstances in the conduct of his own affairs. (Section 7.01)</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Trustee may acquire and hold Indenture Securities and, subject to certain conditions, otherwise deal with Con Edison of New York as if it were not Trustee under the Indenture. (Section 7.04)</w:t>
      </w:r>
    </w:p>
    <w:p>
      <w:pPr>
        <w:spacing w:after="0" w:line="162"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Bank of New York Mellon, which is the Trustee under the Indenture, is a participating bank under each of Con Edison of New York’s revolving credit agreements, and is a depository for funds and performs other services for, and transacts other banking business with, Con Edison of New York and its affiliates in the normal course of business.</w:t>
      </w:r>
    </w:p>
    <w:p>
      <w:pPr>
        <w:spacing w:after="0" w:line="1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Satisfaction and Discharge of Indenture; Defeasance: </w:t>
      </w:r>
      <w:r>
        <w:rPr>
          <w:rFonts w:ascii="Times New Roman" w:cs="Times New Roman" w:eastAsia="Times New Roman" w:hAnsi="Times New Roman"/>
          <w:sz w:val="18"/>
          <w:szCs w:val="18"/>
          <w:color w:val="auto"/>
        </w:rPr>
        <w:t>The Indenture may be satisfied and discharged upon delivery of all outstanding Indenture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for cancellation or if all other Indenture Securities are to be paid within one year, at maturity or upon redemption, upon deposit with the Trustee of amounts sufficient for such payment and all other sums due under the Indenture. (Section 12.01) In addition, the Indenture provides that if, at any time after the date of the Indenture, Con Edison of New York, if so permitted with respect to Indenture Securities of a particular series, shall deposit with the Trustee, in trust for the benefit of the holders thereof, (i) funds sufficient to pay, or (ii) such amount of obligations issued or guaranteed by the United States of America as will, or will together with the income thereon without consideration of any reinvestment thereof, be sufficient to pay all sums due for principal of, premium, if any, and interest on the Indenture Securities of such series, as they shall become due from time to time, and certain other conditions are met, the Trustee shall cancel and satisfy the Indenture with respect to such series to the extent provided therein. (Section 12.02) The prospectus supplement describing the Indenture Securities of such series will more fully describe the provisions, if any, relating to defeasance of the Indenture with respect to such series.</w:t>
      </w:r>
    </w:p>
    <w:p>
      <w:pPr>
        <w:spacing w:after="0" w:line="185" w:lineRule="exact"/>
        <w:rPr>
          <w:sz w:val="20"/>
          <w:szCs w:val="20"/>
          <w:color w:val="auto"/>
        </w:rPr>
      </w:pPr>
    </w:p>
    <w:p>
      <w:pPr>
        <w:ind w:left="120" w:right="42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Reports Furnished Securityholders: </w:t>
      </w:r>
      <w:r>
        <w:rPr>
          <w:rFonts w:ascii="Times New Roman" w:cs="Times New Roman" w:eastAsia="Times New Roman" w:hAnsi="Times New Roman"/>
          <w:sz w:val="17"/>
          <w:szCs w:val="17"/>
          <w:color w:val="auto"/>
        </w:rPr>
        <w:t>Con Edison of New York will furnish the holders of Indenture Securities copies of all annual financial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reports distributed to its stockholders generally as soon as practicable after the mailing of such material to the stockholders. (Section 4.07)</w:t>
      </w:r>
    </w:p>
    <w:p>
      <w:pPr>
        <w:spacing w:after="0" w:line="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CUMULATIVE PREFERRED STOCK</w:t>
      </w:r>
    </w:p>
    <w:p>
      <w:pPr>
        <w:spacing w:after="0" w:line="22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does not purport to be complete and is subject to, and qualified in its entirety by reference to, Con Edison of New York’s Restated Certificate of Incorporation, as amended (the “Certificate of Incorporation”). Copies of the documents constituting the Certificate of Incorporation are exhibits to the registration statement of which this prospectus is a part.</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Cumulative Preferred Stock ($100 par value, the “Cumulative Preferred Stock”) is one of three classes of preferred stock authorized by the Certificate of Incorporation, the other two being $5 Cumulative Preferred Stock, without par value (the “$5 Preferred”), and Cumulative Preference Stock ($100 par value). As of the date of this prospectus, no shares of any such class of preferred stock are outstanding.</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At the date of this prospectus, 6,000,000 shares of Cumulative Preferred Stock are authorized. Con Edison of New York’s Board of Trustees is authorized to fix the designations, preferences, privileges and voting powers of the shares of each series of the Cumulative Preferred Stock, except for provisions which are applicable to all shares of the Cumulative Preferred Stock irrespective of series. Generally, all series of Cumulative Preferred Stock shall rank equally and be identical except in certain respects, including dividend rights, redemption and sinking fund provisions, amounts payable on liquidation, dissolution or winding up of Con Edison of New York (“Liquidation”) and other provisions not inconsistent with provisions applicable to all shares of Cumulative Preferred Stock.</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issuance of any Cumulative Preferred Stock and any other preferred stock ranking equally with the Cumulative Preferred Stock in the payment of dividends or distribution of capital assets is subject to the requirement that after payment of all interest charges, Con Edison of New York’s consolidated net earnings for the fiscal year preceding the issue shall have been at least three times the total annual dividend requirements on all $5 Preferred and Cumulative Preferred Stock and all such other preferred stock to be outstanding after its issue.</w:t>
      </w:r>
    </w:p>
    <w:p>
      <w:pPr>
        <w:spacing w:after="0" w:line="176"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Dividend Rights: </w:t>
      </w:r>
      <w:r>
        <w:rPr>
          <w:rFonts w:ascii="Times New Roman" w:cs="Times New Roman" w:eastAsia="Times New Roman" w:hAnsi="Times New Roman"/>
          <w:sz w:val="18"/>
          <w:szCs w:val="18"/>
          <w:color w:val="auto"/>
        </w:rPr>
        <w:t>The holders of the Cumulative Preferred Stock are entitled to receive, when, as and if declared by Con Edison of New York’s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Trustees, cumulative dividends from the date fixed therefor. The prospectus supplement will set forth the dividend rate and the quarterly payment dates for the series of Cumulative Preferred Stock offered. No dividends may be paid, or funds set apart for payment, on Con Edison of New York’s common stock until all dividends accrued on the Cumulative Preferred Stock shall have been paid, or declared and set apart for payment, for all prior dividend periods and the then current dividend period.</w:t>
      </w:r>
    </w:p>
    <w:p>
      <w:pPr>
        <w:spacing w:after="0" w:line="179" w:lineRule="exact"/>
        <w:rPr>
          <w:sz w:val="20"/>
          <w:szCs w:val="20"/>
          <w:color w:val="auto"/>
        </w:rPr>
      </w:pPr>
    </w:p>
    <w:p>
      <w:pPr>
        <w:ind w:left="120" w:right="3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Redemption Provisions: </w:t>
      </w:r>
      <w:r>
        <w:rPr>
          <w:rFonts w:ascii="Times New Roman" w:cs="Times New Roman" w:eastAsia="Times New Roman" w:hAnsi="Times New Roman"/>
          <w:sz w:val="18"/>
          <w:szCs w:val="18"/>
          <w:color w:val="auto"/>
        </w:rPr>
        <w:t>The prospectus supplement shall set forth whether or not the series of Cumulative Preferred Stock offered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redeemable, and if made redeemable, the redemption price or prices per share, which prices, in each and every case, shall be a stated amount with respect to redemption during any specified period or periods, plus an amount equal to the dividends accrued and unpaid thereon to the date fixed for redemption, whether or not earned or declared.</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Certificate of Incorporation provides that Con Edison of New York may redeem any series of the Cumulative Preferred Stock which has been made redeemable, as a whole or in part, on not less than 30 nor more than 60 days’ notice to the holders of such series. There are no restrictions on the repurchase or redemption of the Cumulative Preferred Stock while there is arrearage in the payment of dividends thereon except that, if the series of Cumulative Preferred Stock offered is made redeemable, then upon redemption thereof (wholly or in part) provision must be made for payment of the redemption price together with an amount equal to all dividends accrued and unpaid thereon.</w:t>
      </w:r>
    </w:p>
    <w:p>
      <w:pPr>
        <w:spacing w:after="0" w:line="179"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Sinking Fund Provisions: </w:t>
      </w:r>
      <w:r>
        <w:rPr>
          <w:rFonts w:ascii="Times New Roman" w:cs="Times New Roman" w:eastAsia="Times New Roman" w:hAnsi="Times New Roman"/>
          <w:sz w:val="18"/>
          <w:szCs w:val="18"/>
          <w:color w:val="auto"/>
        </w:rPr>
        <w:t>The prospectus supplement will set forth whether or not there shall be a sinking fund, or other fund analogous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series of Cumulative Preferred Stock offered.</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The Cumulative Preferred Stock has no right to vote except as otherwise required by law and except that, as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after such time as the $5 Preferred shall no longer be outstanding, the Cumulative Preferred Stock will entitle any holder thereof to one vote per share held and, in addition, will entitle the holders thereof to vote as a class at the next annual meeting to elect one less than a majority of Con Edison of New York’s Board of Trustees whenever the equivalent in amount to four full quarterly dividends on all shares of outstanding Cumulative Preferred Stock shall be in default and to elect a majority of Con Edison of New York’s Board of Trustees whenever eight full quarterly dividends shall be in default. The Certificate of Incorporation also provides that, without the consent of the holders of two-thirds of all outstanding shares of the Cumulative Preferred Stock, Con Edison of New York may not:</w:t>
      </w:r>
    </w:p>
    <w:p>
      <w:pPr>
        <w:spacing w:after="0" w:line="92" w:lineRule="exact"/>
        <w:rPr>
          <w:sz w:val="20"/>
          <w:szCs w:val="20"/>
          <w:color w:val="auto"/>
        </w:rPr>
      </w:pPr>
    </w:p>
    <w:p>
      <w:pPr>
        <w:ind w:left="1080" w:hanging="532"/>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authorize any kind of stock ranking prior to the Cumulative Preferred Stock with respect to the payment of dividends or upon Liquidation, whether voluntary or involuntary, or create or authorize any obligation or securities convertible into shares of any such kind of stock.</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change or repeal any of the express terms of the Cumulative Preferred Stock so as to affect the holders thereof adversely.</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addition, Con Edison of New York may not reclassify outstanding shares of any series of the Cumulative Preferred Stock so as to affect the holders of any series adversely without the consent of holders of two-thirds of the outstanding shares of each such series so affected.</w:t>
      </w:r>
    </w:p>
    <w:p>
      <w:pPr>
        <w:spacing w:after="0" w:line="15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Liquidation Rights: </w:t>
      </w:r>
      <w:r>
        <w:rPr>
          <w:rFonts w:ascii="Times New Roman" w:cs="Times New Roman" w:eastAsia="Times New Roman" w:hAnsi="Times New Roman"/>
          <w:sz w:val="18"/>
          <w:szCs w:val="18"/>
          <w:color w:val="auto"/>
        </w:rPr>
        <w:t>Before any distribution may be made to the holders of Con Edison of New York’s Cumulative Preference Stock ($100 par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and common stock upon any Liquidation, the holders of each series of the Cumulative Preferred Stock then outstanding will be entitled to receive a sum per share payable upon the voluntary Liquidation and a sum per share payable upon the involuntary Liquidation, which sums shall be a stated amount (not less than $100), plus in each case an amount equal to the dividends accrued and unpaid thereon, whether or not earned or declared. The prospectus supplement will set forth such amounts for the series of Cumulative Preferred Stock offered. The Certificate of Incorporation provides that the sale, conveyance, exchange or transfer of all or substantially all of Con Edison of New York’s property, or the consolidation of Con Edison of New York with, or merger of Con Edison of New York into, any other corporation shall not be deemed a Liquidation. Sharing equally with any $5 Preferred, the Cumulative Preferred Stock will be entitled to receive upon any Liquidation, $100 per share, plus an amount equal to the dividends accrued and unpaid thereon, whether or not earned or declared.</w:t>
      </w:r>
    </w:p>
    <w:p>
      <w:pPr>
        <w:spacing w:after="0" w:line="188"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Consolidation or Merger: </w:t>
      </w:r>
      <w:r>
        <w:rPr>
          <w:rFonts w:ascii="Times New Roman" w:cs="Times New Roman" w:eastAsia="Times New Roman" w:hAnsi="Times New Roman"/>
          <w:sz w:val="18"/>
          <w:szCs w:val="18"/>
          <w:color w:val="auto"/>
        </w:rPr>
        <w:t>The Certificate of Incorporation provides that, without the consent of the holders of a majority of all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the Cumulative Preferred Stock, Con Edison of New York shall not be a party to any consolidation or merger, except a consolidation or merger as a result of which (i) none of the rights or preferences of the Cumulative Preferred Stock will be adversely affected, and (ii) the corporation resulting from such consolidation or merger will have outstanding, after such consolidation or merger, no securities ranking prior to or equal to the Cumulative Preferred Stock other than securities in no greater amount and having no greater priorities, preferences or rights than the securities of Con Edison of New York outstanding immediately preceding such consolidation or merger.</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Other Provisions: </w:t>
      </w:r>
      <w:r>
        <w:rPr>
          <w:rFonts w:ascii="Times New Roman" w:cs="Times New Roman" w:eastAsia="Times New Roman" w:hAnsi="Times New Roman"/>
          <w:sz w:val="18"/>
          <w:szCs w:val="18"/>
          <w:color w:val="auto"/>
        </w:rPr>
        <w:t>All shares of Cumulative Preferred Stock, when issued, will be fully paid and non-assessable.</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holders of the Cumulative Preferred Stock will have no preemptive rights or subscription rights.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We may offer the Securities (a) through agents; (b) through underwriters or dealers; (c) directly to one or more purchasers; or (d) through a combination of any of these or other methods of sale. We will identify the specific plan of distribution in a prospectus supplement including: (1) the identity of any underwriters, dealers, agents or direct purchasers and the amount of the Securities underwritten or purchased by them and their compensation; (2) the initial public offering price of the Securities, any discounts or concessions allowed or reallowed or paid to dealers and the proceeds that we will receive from the sale of the Securities; and (3) any securities exchange on which the Securities will be listed.</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It is anticipated that any underwriting agreement pertaining to any Securities will (1) entitle the underwriters to indemnification by Con Edison of New York against certain civil liabilities under the Securities Act, or to contribution for payments the underwriters may be required to make in respect thereof, (2) provide that the obligations of the underwriters will be subject to certain conditions precedent, and (3) provide that the underwriters generally will be obligated to purchase all such Securities if any are purchased. The underwriters or affiliated companies may engage in transactions with, or perform services for, Con Edison of New York and its affiliates in the ordinary course of business.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an offering made hereby, any underwriter may purchase and sell the Securities in the open market. These transactions may include over-allotment and stabilizing transactions and purchases to cover short positions created by the underwriters in connection with an offering. Stabilizing transactions consist of certain bids or purchases for the purpose of preventing or delaying a decline in the market price of the Securities, and short positions created by the underwriters involve the sale by the underwriters of more Securities than they are required to purchase from Con Edison of New York. The underwriters also may impose a penalty bid, whereby selling concessions allowed to broker-dealers in respect of the Securities sold in the offering may be reclaimed by the underwriters if such Securities are repurchased by the underwriters in stabilizing or covering transactions. These activities may stabilize, maintain or otherwise affect the market price of the Securities, which may be higher than the price that might otherwise prevail in the open market; and these activities, if commenced, may be discontinued at any time. These transactions may be effected in the over-the-counter market or otherwise.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anticipated date of delivery of the Securities will be as set forth in the prospectus supplement relating to the offering of the Securities.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Unless otherwise set forth in a prospectus supplement, the validity of the Securities and certain other related legal matters will be passed upon for Con Edison of New York by Deneen Donnley, Esq., Senior Vice President and General Counsel of Con Edison of New York. Certain legal matters in connection with the Securities will be passed upon for any underwriters by Hunton Andrews Kurth LLP, New York, New York. Hunton Andrews Kurth LLP has from time to time performed and may perform legal services for Con Edison of New York or its affiliates.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the Report of Management on Internal Control over Financial Reporting) incorporated in this prospectus by reference to the Annual Report</w:t>
      </w:r>
    </w:p>
    <w:p>
      <w:pPr>
        <w:ind w:left="120" w:right="840"/>
        <w:spacing w:after="0" w:line="260" w:lineRule="auto"/>
        <w:rPr>
          <w:sz w:val="20"/>
          <w:szCs w:val="20"/>
          <w:color w:val="auto"/>
        </w:rPr>
      </w:pPr>
      <w:r>
        <w:rPr>
          <w:rFonts w:ascii="Times New Roman" w:cs="Times New Roman" w:eastAsia="Times New Roman" w:hAnsi="Times New Roman"/>
          <w:sz w:val="18"/>
          <w:szCs w:val="18"/>
          <w:color w:val="auto"/>
        </w:rPr>
        <w:t>on Form 10-K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11120"/>
      </w:cols>
      <w:pgMar w:left="320" w:top="45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lowerRoman"/>
      <w:start w:val="1"/>
    </w:lvl>
  </w:abstractNum>
  <w:abstractNum w:abstractNumId="6">
    <w:nsid w:val="216231B"/>
    <w:multiLevelType w:val="hybridMultilevel"/>
    <w:lvl w:ilvl="0">
      <w:lvlJc w:val="left"/>
      <w:lvlText w:val="(%1)"/>
      <w:numFmt w:val="lowerLetter"/>
      <w:start w:val="1"/>
    </w:lvl>
    <w:lvl w:ilvl="1">
      <w:lvlJc w:val="left"/>
      <w:lvlText w:val="(%2)"/>
      <w:numFmt w:val="lowerRoman"/>
      <w:start w:val="1"/>
    </w:lvl>
  </w:abstractNum>
  <w:abstractNum w:abstractNumId="7">
    <w:nsid w:val="1F16E9E8"/>
    <w:multiLevelType w:val="hybridMultilevel"/>
    <w:lvl w:ilvl="0">
      <w:lvlJc w:val="left"/>
      <w:lvlText w:val="(%1)"/>
      <w:numFmt w:val="lowerRoman"/>
      <w:start w:val="4"/>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5"/>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12" Type="http://schemas.openxmlformats.org/officeDocument/2006/relationships/hyperlink" Target="http://www.sec.gov/ix?doc=/Archives/edgar/data/23632/000104786226000031/ed-20251231.htm" TargetMode="External"/><Relationship Id="rId13" Type="http://schemas.openxmlformats.org/officeDocument/2006/relationships/hyperlink" Target="http://www.sec.gov/ix?doc=/Archives/edgar/data/23632/000104786226000091/ed-20260331.htm" TargetMode="External"/><Relationship Id="rId14" Type="http://schemas.openxmlformats.org/officeDocument/2006/relationships/hyperlink" Target="http://www.sec.gov/ix?doc=/Archives/edgar/data/23632/000119312526102202/d820960d8k.htm" TargetMode="External"/><Relationship Id="rId43" Type="http://schemas.openxmlformats.org/officeDocument/2006/relationships/hyperlink" Target="http://www.sec.gov/ix?doc=/Archives/edgar/data/0000023632/000104786224000012/ed-20231231.htm" TargetMode="External"/><Relationship Id="rId44" Type="http://schemas.openxmlformats.org/officeDocument/2006/relationships/hyperlink" Target="http://www.sec.gov/ix?doc=/Archives/edgar/data/0000023632/000104786224000030/ed-20240331.htm" TargetMode="External"/><Relationship Id="rId45" Type="http://schemas.openxmlformats.org/officeDocument/2006/relationships/hyperlink" Target="http://www.sec.gov/ix?doc=/Archives/edgar/data/23632/000104786224000049/ed-20240630.htm" TargetMode="External"/><Relationship Id="rId46" Type="http://schemas.openxmlformats.org/officeDocument/2006/relationships/hyperlink" Target="http://www.sec.gov/ix?doc=/Archives/edgar/data/23632/000119312524079777/d804453d8k.htm" TargetMode="External"/><Relationship Id="rId47" Type="http://schemas.openxmlformats.org/officeDocument/2006/relationships/hyperlink" Target="http://www.sec.gov/ix?doc=/Archives/edgar/data/23632/000119312524134893/d829043d8k.htm" TargetMode="External"/><Relationship Id="rId48" Type="http://schemas.openxmlformats.org/officeDocument/2006/relationships/hyperlink" Target="http://www.sec.gov/ix?doc=/Archives/edgar/data/23632/000119312524141869/d841645d8k.htm" TargetMode="External"/><Relationship Id="rId49" Type="http://schemas.openxmlformats.org/officeDocument/2006/relationships/hyperlink" Target="http://www.sec.gov/ix?doc=/Archives/edgar/data/23632/000119312524143920/d813989d8k.htm" TargetMode="External"/><Relationship Id="rId50" Type="http://schemas.openxmlformats.org/officeDocument/2006/relationships/hyperlink" Target="http://www.sec.gov/ix?doc=/Archives/edgar/data/23632/000119312524157843/d843922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2026-06-01T08:01:38Z</dcterms:created>
  <dcterms:modified xsi:type="dcterms:W3CDTF">2026-06-01T08:01:38Z</dcterms:modified>
</cp:coreProperties>
</file>