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47939dfwp.htm"/>
      <w:bookmarkStart w:id="1" w:name="ksd147939dfwp"/>
      <w:bookmarkEnd w:id="0"/>
      <w:bookmarkEnd w:id="1"/>
      <w:r>
        <w:rPr>
          <w:rFonts w:ascii="Times New Roman" w:hAnsi="Times New Roman"/>
          <w:b/>
          <w:sz w:val="20"/>
        </w:rPr>
        <w:t xml:space="preserve">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Statement No. 333-281192 </w:t>
      </w:r>
    </w:p>
    <w:p>
      <w:pPr>
        <w:pStyle w:val="TextBody"/>
        <w:bidi w:val="0"/>
        <w:spacing w:before="0" w:after="0"/>
        <w:jc w:val="right"/>
        <w:rPr>
          <w:rFonts w:ascii="Times New Roman" w:hAnsi="Times New Roman"/>
          <w:b/>
          <w:sz w:val="20"/>
        </w:rPr>
      </w:pPr>
      <w:r>
        <w:rPr>
          <w:rFonts w:ascii="Times New Roman" w:hAnsi="Times New Roman"/>
          <w:b/>
          <w:sz w:val="20"/>
        </w:rPr>
        <w:t xml:space="preserve">June 1, 2026 </w:t>
      </w:r>
    </w:p>
    <w:p>
      <w:pPr>
        <w:pStyle w:val="TextBody"/>
        <w:bidi w:val="0"/>
        <w:spacing w:before="240" w:after="0"/>
        <w:jc w:val="center"/>
        <w:rPr>
          <w:rFonts w:ascii="Times New Roman" w:hAnsi="Times New Roman"/>
          <w:b/>
          <w:sz w:val="20"/>
        </w:rPr>
      </w:pPr>
      <w:r>
        <w:rPr>
          <w:rFonts w:ascii="Times New Roman" w:hAnsi="Times New Roman"/>
          <w:b/>
          <w:sz w:val="20"/>
        </w:rPr>
        <w:t xml:space="preserve">PRICING TERM SHEET </w:t>
      </w:r>
    </w:p>
    <w:p>
      <w:pPr>
        <w:pStyle w:val="TextBody"/>
        <w:bidi w:val="0"/>
        <w:spacing w:before="0" w:after="0"/>
        <w:jc w:val="center"/>
        <w:rPr>
          <w:rFonts w:ascii="Times New Roman" w:hAnsi="Times New Roman"/>
          <w:b/>
          <w:sz w:val="20"/>
        </w:rPr>
      </w:pPr>
      <w:r>
        <w:rPr>
          <w:rFonts w:ascii="Times New Roman" w:hAnsi="Times New Roman"/>
          <w:b/>
          <w:sz w:val="20"/>
        </w:rPr>
        <w:t xml:space="preserve">5.15% DEBENTURES, SERIES 2026 A </w:t>
      </w:r>
    </w:p>
    <w:p>
      <w:pPr>
        <w:pStyle w:val="TextBody"/>
        <w:bidi w:val="0"/>
        <w:spacing w:before="0" w:after="0"/>
        <w:jc w:val="center"/>
        <w:rPr>
          <w:rFonts w:ascii="Times New Roman" w:hAnsi="Times New Roman"/>
          <w:b/>
          <w:sz w:val="20"/>
        </w:rPr>
      </w:pPr>
      <w:r>
        <w:rPr>
          <w:rFonts w:ascii="Times New Roman" w:hAnsi="Times New Roman"/>
          <w:b/>
          <w:sz w:val="20"/>
        </w:rPr>
        <w:t xml:space="preserve">5.875% DEBENTURES, SERIES 2026 B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70"/>
        <w:gridCol w:w="121"/>
        <w:gridCol w:w="3545"/>
        <w:gridCol w:w="121"/>
        <w:gridCol w:w="3548"/>
      </w:tblGrid>
      <w:tr>
        <w:trPr/>
        <w:tc>
          <w:tcPr>
            <w:tcW w:w="287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548" w:type="dxa"/>
            <w:tcBorders/>
            <w:vAlign w:val="center"/>
          </w:tcPr>
          <w:p>
            <w:pPr>
              <w:pStyle w:val="TableContents"/>
              <w:bidi w:val="0"/>
              <w:spacing w:before="0" w:after="283"/>
              <w:jc w:val="left"/>
              <w:rPr>
                <w:sz w:val="4"/>
                <w:szCs w:val="4"/>
              </w:rPr>
            </w:pPr>
            <w:r>
              <w:rPr>
                <w:sz w:val="4"/>
                <w:szCs w:val="4"/>
              </w:rPr>
            </w:r>
          </w:p>
        </w:tc>
      </w:tr>
      <w:tr>
        <w:trPr/>
        <w:tc>
          <w:tcPr>
            <w:tcW w:w="2870" w:type="dxa"/>
            <w:tcBorders/>
          </w:tcPr>
          <w:p>
            <w:pPr>
              <w:pStyle w:val="TableContents"/>
              <w:bidi w:val="0"/>
              <w:spacing w:before="0" w:after="283"/>
              <w:jc w:val="left"/>
              <w:rPr>
                <w:b/>
              </w:rPr>
            </w:pPr>
            <w:r>
              <w:rPr>
                <w:b/>
              </w:rPr>
              <w:t>Issuer:</w:t>
            </w:r>
          </w:p>
        </w:tc>
        <w:tc>
          <w:tcPr>
            <w:tcW w:w="121" w:type="dxa"/>
            <w:tcBorders/>
            <w:vAlign w:val="bottom"/>
          </w:tcPr>
          <w:p>
            <w:pPr>
              <w:pStyle w:val="TableContents"/>
              <w:bidi w:val="0"/>
              <w:spacing w:before="0" w:after="283"/>
              <w:jc w:val="left"/>
              <w:rPr/>
            </w:pPr>
            <w:r>
              <w:rPr/>
              <w:t>  </w:t>
            </w:r>
          </w:p>
        </w:tc>
        <w:tc>
          <w:tcPr>
            <w:tcW w:w="7214" w:type="dxa"/>
            <w:gridSpan w:val="3"/>
            <w:tcBorders/>
          </w:tcPr>
          <w:p>
            <w:pPr>
              <w:pStyle w:val="TableContents"/>
              <w:bidi w:val="0"/>
              <w:spacing w:before="0" w:after="283"/>
              <w:jc w:val="left"/>
              <w:rPr/>
            </w:pPr>
            <w:r>
              <w:rPr/>
              <w:t>Consolidated Edison Company of New York, Inc. (the “Issuer”)</w:t>
            </w:r>
          </w:p>
        </w:tc>
      </w:tr>
      <w:tr>
        <w:trPr>
          <w:trHeight w:val="120" w:hRule="atLeast"/>
        </w:trPr>
        <w:tc>
          <w:tcPr>
            <w:tcW w:w="2870" w:type="dxa"/>
            <w:tcBorders/>
            <w:vAlign w:val="center"/>
          </w:tcPr>
          <w:p>
            <w:pPr>
              <w:pStyle w:val="TableContents"/>
              <w:bidi w:val="0"/>
              <w:spacing w:before="0" w:after="283"/>
              <w:jc w:val="left"/>
              <w:rPr>
                <w:sz w:val="4"/>
                <w:szCs w:val="4"/>
              </w:rPr>
            </w:pPr>
            <w:r>
              <w:rPr>
                <w:sz w:val="4"/>
                <w:szCs w:val="4"/>
              </w:rPr>
            </w:r>
          </w:p>
        </w:tc>
        <w:tc>
          <w:tcPr>
            <w:tcW w:w="7335" w:type="dxa"/>
            <w:gridSpan w:val="4"/>
            <w:tcBorders/>
            <w:vAlign w:val="center"/>
          </w:tcPr>
          <w:p>
            <w:pPr>
              <w:pStyle w:val="TableContents"/>
              <w:bidi w:val="0"/>
              <w:spacing w:before="0" w:after="283"/>
              <w:jc w:val="left"/>
              <w:rPr>
                <w:sz w:val="4"/>
                <w:szCs w:val="4"/>
              </w:rPr>
            </w:pPr>
            <w:r>
              <w:rPr>
                <w:sz w:val="4"/>
                <w:szCs w:val="4"/>
              </w:rPr>
            </w:r>
          </w:p>
        </w:tc>
      </w:tr>
      <w:tr>
        <w:trPr/>
        <w:tc>
          <w:tcPr>
            <w:tcW w:w="2870" w:type="dxa"/>
            <w:tcBorders/>
          </w:tcPr>
          <w:p>
            <w:pPr>
              <w:pStyle w:val="TableContents"/>
              <w:bidi w:val="0"/>
              <w:spacing w:before="0" w:after="283"/>
              <w:jc w:val="left"/>
              <w:rPr>
                <w:b/>
              </w:rPr>
            </w:pPr>
            <w:r>
              <w:rPr>
                <w:b/>
              </w:rPr>
              <w:t>Anticipated Ratings (Moody’s; S&amp;P; Fitch)*:</w:t>
            </w:r>
          </w:p>
        </w:tc>
        <w:tc>
          <w:tcPr>
            <w:tcW w:w="121" w:type="dxa"/>
            <w:tcBorders/>
            <w:vAlign w:val="bottom"/>
          </w:tcPr>
          <w:p>
            <w:pPr>
              <w:pStyle w:val="TableContents"/>
              <w:bidi w:val="0"/>
              <w:spacing w:before="0" w:after="283"/>
              <w:jc w:val="left"/>
              <w:rPr/>
            </w:pPr>
            <w:r>
              <w:rPr/>
              <w:t>  </w:t>
            </w:r>
          </w:p>
        </w:tc>
        <w:tc>
          <w:tcPr>
            <w:tcW w:w="7214" w:type="dxa"/>
            <w:gridSpan w:val="3"/>
            <w:tcBorders/>
          </w:tcPr>
          <w:p>
            <w:pPr>
              <w:pStyle w:val="TableContents"/>
              <w:bidi w:val="0"/>
              <w:spacing w:before="0" w:after="283"/>
              <w:jc w:val="left"/>
              <w:rPr/>
            </w:pPr>
            <w:r>
              <w:rPr/>
              <w:t>A3 (Negative); A- (Stable); A- (Stable)</w:t>
            </w:r>
          </w:p>
        </w:tc>
      </w:tr>
      <w:tr>
        <w:trPr>
          <w:trHeight w:val="120" w:hRule="atLeast"/>
        </w:trPr>
        <w:tc>
          <w:tcPr>
            <w:tcW w:w="2870" w:type="dxa"/>
            <w:tcBorders/>
            <w:vAlign w:val="center"/>
          </w:tcPr>
          <w:p>
            <w:pPr>
              <w:pStyle w:val="TableContents"/>
              <w:bidi w:val="0"/>
              <w:spacing w:before="0" w:after="283"/>
              <w:jc w:val="left"/>
              <w:rPr>
                <w:sz w:val="4"/>
                <w:szCs w:val="4"/>
              </w:rPr>
            </w:pPr>
            <w:r>
              <w:rPr>
                <w:sz w:val="4"/>
                <w:szCs w:val="4"/>
              </w:rPr>
            </w:r>
          </w:p>
        </w:tc>
        <w:tc>
          <w:tcPr>
            <w:tcW w:w="3666" w:type="dxa"/>
            <w:gridSpan w:val="2"/>
            <w:tcBorders/>
            <w:vAlign w:val="center"/>
          </w:tcPr>
          <w:p>
            <w:pPr>
              <w:pStyle w:val="TableContents"/>
              <w:bidi w:val="0"/>
              <w:spacing w:before="0" w:after="283"/>
              <w:jc w:val="left"/>
              <w:rPr>
                <w:sz w:val="4"/>
                <w:szCs w:val="4"/>
              </w:rPr>
            </w:pPr>
            <w:r>
              <w:rPr>
                <w:sz w:val="4"/>
                <w:szCs w:val="4"/>
              </w:rPr>
            </w:r>
          </w:p>
        </w:tc>
        <w:tc>
          <w:tcPr>
            <w:tcW w:w="3669" w:type="dxa"/>
            <w:gridSpan w:val="2"/>
            <w:tcBorders/>
            <w:vAlign w:val="center"/>
          </w:tcPr>
          <w:p>
            <w:pPr>
              <w:pStyle w:val="TableContents"/>
              <w:bidi w:val="0"/>
              <w:spacing w:before="0" w:after="283"/>
              <w:jc w:val="left"/>
              <w:rPr>
                <w:sz w:val="4"/>
                <w:szCs w:val="4"/>
              </w:rPr>
            </w:pPr>
            <w:r>
              <w:rPr>
                <w:sz w:val="4"/>
                <w:szCs w:val="4"/>
              </w:rPr>
            </w:r>
          </w:p>
        </w:tc>
      </w:tr>
      <w:tr>
        <w:trPr/>
        <w:tc>
          <w:tcPr>
            <w:tcW w:w="2870" w:type="dxa"/>
            <w:tcBorders/>
          </w:tcPr>
          <w:p>
            <w:pPr>
              <w:pStyle w:val="TableContents"/>
              <w:bidi w:val="0"/>
              <w:spacing w:before="0" w:after="283"/>
              <w:jc w:val="left"/>
              <w:rPr>
                <w:b/>
              </w:rPr>
            </w:pPr>
            <w:r>
              <w:rPr>
                <w:b/>
              </w:rPr>
              <w:t>Issue of Securities:</w:t>
            </w:r>
          </w:p>
        </w:tc>
        <w:tc>
          <w:tcPr>
            <w:tcW w:w="121" w:type="dxa"/>
            <w:tcBorders/>
            <w:vAlign w:val="bottom"/>
          </w:tcPr>
          <w:p>
            <w:pPr>
              <w:pStyle w:val="TableContents"/>
              <w:bidi w:val="0"/>
              <w:spacing w:before="0" w:after="283"/>
              <w:jc w:val="left"/>
              <w:rPr/>
            </w:pPr>
            <w:r>
              <w:rPr/>
              <w:t>  </w:t>
            </w:r>
          </w:p>
        </w:tc>
        <w:tc>
          <w:tcPr>
            <w:tcW w:w="3545" w:type="dxa"/>
            <w:tcBorders/>
          </w:tcPr>
          <w:p>
            <w:pPr>
              <w:pStyle w:val="TableContents"/>
              <w:bidi w:val="0"/>
              <w:spacing w:before="0" w:after="283"/>
              <w:jc w:val="left"/>
              <w:rPr/>
            </w:pPr>
            <w:r>
              <w:rPr/>
              <w:t>5.15% Debentures, Series 2026 A due 2036 (the “2026 A Debentures”)</w:t>
            </w:r>
          </w:p>
        </w:tc>
        <w:tc>
          <w:tcPr>
            <w:tcW w:w="121" w:type="dxa"/>
            <w:tcBorders/>
            <w:vAlign w:val="bottom"/>
          </w:tcPr>
          <w:p>
            <w:pPr>
              <w:pStyle w:val="TableContents"/>
              <w:bidi w:val="0"/>
              <w:spacing w:before="0" w:after="283"/>
              <w:jc w:val="left"/>
              <w:rPr/>
            </w:pPr>
            <w:r>
              <w:rPr/>
              <w:t>  </w:t>
            </w:r>
          </w:p>
        </w:tc>
        <w:tc>
          <w:tcPr>
            <w:tcW w:w="3548" w:type="dxa"/>
            <w:tcBorders/>
          </w:tcPr>
          <w:p>
            <w:pPr>
              <w:pStyle w:val="TableContents"/>
              <w:bidi w:val="0"/>
              <w:spacing w:before="0" w:after="283"/>
              <w:jc w:val="left"/>
              <w:rPr/>
            </w:pPr>
            <w:r>
              <w:rPr/>
              <w:t>5.875% Debentures, Series 2026 B due 2056 (the “2026 B Debentures”)</w:t>
            </w:r>
          </w:p>
        </w:tc>
      </w:tr>
      <w:tr>
        <w:trPr>
          <w:trHeight w:val="120" w:hRule="atLeast"/>
        </w:trPr>
        <w:tc>
          <w:tcPr>
            <w:tcW w:w="2870" w:type="dxa"/>
            <w:tcBorders/>
            <w:vAlign w:val="center"/>
          </w:tcPr>
          <w:p>
            <w:pPr>
              <w:pStyle w:val="TableContents"/>
              <w:bidi w:val="0"/>
              <w:spacing w:before="0" w:after="283"/>
              <w:jc w:val="left"/>
              <w:rPr>
                <w:sz w:val="4"/>
                <w:szCs w:val="4"/>
              </w:rPr>
            </w:pPr>
            <w:r>
              <w:rPr>
                <w:sz w:val="4"/>
                <w:szCs w:val="4"/>
              </w:rPr>
            </w:r>
          </w:p>
        </w:tc>
        <w:tc>
          <w:tcPr>
            <w:tcW w:w="3666" w:type="dxa"/>
            <w:gridSpan w:val="2"/>
            <w:tcBorders/>
            <w:vAlign w:val="center"/>
          </w:tcPr>
          <w:p>
            <w:pPr>
              <w:pStyle w:val="TableContents"/>
              <w:bidi w:val="0"/>
              <w:spacing w:before="0" w:after="283"/>
              <w:jc w:val="left"/>
              <w:rPr>
                <w:sz w:val="4"/>
                <w:szCs w:val="4"/>
              </w:rPr>
            </w:pPr>
            <w:r>
              <w:rPr>
                <w:sz w:val="4"/>
                <w:szCs w:val="4"/>
              </w:rPr>
            </w:r>
          </w:p>
        </w:tc>
        <w:tc>
          <w:tcPr>
            <w:tcW w:w="3669" w:type="dxa"/>
            <w:gridSpan w:val="2"/>
            <w:tcBorders/>
            <w:vAlign w:val="center"/>
          </w:tcPr>
          <w:p>
            <w:pPr>
              <w:pStyle w:val="TableContents"/>
              <w:bidi w:val="0"/>
              <w:spacing w:before="0" w:after="283"/>
              <w:jc w:val="left"/>
              <w:rPr>
                <w:sz w:val="4"/>
                <w:szCs w:val="4"/>
              </w:rPr>
            </w:pPr>
            <w:r>
              <w:rPr>
                <w:sz w:val="4"/>
                <w:szCs w:val="4"/>
              </w:rPr>
            </w:r>
          </w:p>
        </w:tc>
      </w:tr>
      <w:tr>
        <w:trPr/>
        <w:tc>
          <w:tcPr>
            <w:tcW w:w="2870" w:type="dxa"/>
            <w:tcBorders/>
          </w:tcPr>
          <w:p>
            <w:pPr>
              <w:pStyle w:val="TableContents"/>
              <w:bidi w:val="0"/>
              <w:spacing w:before="0" w:after="283"/>
              <w:jc w:val="left"/>
              <w:rPr>
                <w:b/>
              </w:rPr>
            </w:pPr>
            <w:r>
              <w:rPr>
                <w:b/>
              </w:rPr>
              <w:t>Principal Amount:</w:t>
            </w:r>
          </w:p>
        </w:tc>
        <w:tc>
          <w:tcPr>
            <w:tcW w:w="121" w:type="dxa"/>
            <w:tcBorders/>
            <w:vAlign w:val="bottom"/>
          </w:tcPr>
          <w:p>
            <w:pPr>
              <w:pStyle w:val="TableContents"/>
              <w:bidi w:val="0"/>
              <w:spacing w:before="0" w:after="283"/>
              <w:jc w:val="left"/>
              <w:rPr/>
            </w:pPr>
            <w:r>
              <w:rPr/>
              <w:t>  </w:t>
            </w:r>
          </w:p>
        </w:tc>
        <w:tc>
          <w:tcPr>
            <w:tcW w:w="3545" w:type="dxa"/>
            <w:tcBorders/>
          </w:tcPr>
          <w:p>
            <w:pPr>
              <w:pStyle w:val="TableContents"/>
              <w:bidi w:val="0"/>
              <w:spacing w:before="0" w:after="283"/>
              <w:jc w:val="left"/>
              <w:rPr/>
            </w:pPr>
            <w:r>
              <w:rPr/>
              <w:t>$450,000,000</w:t>
            </w:r>
          </w:p>
        </w:tc>
        <w:tc>
          <w:tcPr>
            <w:tcW w:w="121" w:type="dxa"/>
            <w:tcBorders/>
            <w:vAlign w:val="bottom"/>
          </w:tcPr>
          <w:p>
            <w:pPr>
              <w:pStyle w:val="TableContents"/>
              <w:bidi w:val="0"/>
              <w:spacing w:before="0" w:after="283"/>
              <w:jc w:val="left"/>
              <w:rPr/>
            </w:pPr>
            <w:r>
              <w:rPr/>
              <w:t>  </w:t>
            </w:r>
          </w:p>
        </w:tc>
        <w:tc>
          <w:tcPr>
            <w:tcW w:w="3548" w:type="dxa"/>
            <w:tcBorders/>
          </w:tcPr>
          <w:p>
            <w:pPr>
              <w:pStyle w:val="TableContents"/>
              <w:bidi w:val="0"/>
              <w:spacing w:before="0" w:after="283"/>
              <w:jc w:val="left"/>
              <w:rPr/>
            </w:pPr>
            <w:r>
              <w:rPr/>
              <w:t>$850,000,000</w:t>
            </w:r>
          </w:p>
        </w:tc>
      </w:tr>
      <w:tr>
        <w:trPr>
          <w:trHeight w:val="120" w:hRule="atLeast"/>
        </w:trPr>
        <w:tc>
          <w:tcPr>
            <w:tcW w:w="2870" w:type="dxa"/>
            <w:tcBorders/>
            <w:vAlign w:val="center"/>
          </w:tcPr>
          <w:p>
            <w:pPr>
              <w:pStyle w:val="TableContents"/>
              <w:bidi w:val="0"/>
              <w:spacing w:before="0" w:after="283"/>
              <w:jc w:val="left"/>
              <w:rPr>
                <w:sz w:val="4"/>
                <w:szCs w:val="4"/>
              </w:rPr>
            </w:pPr>
            <w:r>
              <w:rPr>
                <w:sz w:val="4"/>
                <w:szCs w:val="4"/>
              </w:rPr>
            </w:r>
          </w:p>
        </w:tc>
        <w:tc>
          <w:tcPr>
            <w:tcW w:w="3666" w:type="dxa"/>
            <w:gridSpan w:val="2"/>
            <w:tcBorders/>
            <w:vAlign w:val="center"/>
          </w:tcPr>
          <w:p>
            <w:pPr>
              <w:pStyle w:val="TableContents"/>
              <w:bidi w:val="0"/>
              <w:spacing w:before="0" w:after="283"/>
              <w:jc w:val="left"/>
              <w:rPr>
                <w:sz w:val="4"/>
                <w:szCs w:val="4"/>
              </w:rPr>
            </w:pPr>
            <w:r>
              <w:rPr>
                <w:sz w:val="4"/>
                <w:szCs w:val="4"/>
              </w:rPr>
            </w:r>
          </w:p>
        </w:tc>
        <w:tc>
          <w:tcPr>
            <w:tcW w:w="3669" w:type="dxa"/>
            <w:gridSpan w:val="2"/>
            <w:tcBorders/>
            <w:vAlign w:val="center"/>
          </w:tcPr>
          <w:p>
            <w:pPr>
              <w:pStyle w:val="TableContents"/>
              <w:bidi w:val="0"/>
              <w:spacing w:before="0" w:after="283"/>
              <w:jc w:val="left"/>
              <w:rPr>
                <w:sz w:val="4"/>
                <w:szCs w:val="4"/>
              </w:rPr>
            </w:pPr>
            <w:r>
              <w:rPr>
                <w:sz w:val="4"/>
                <w:szCs w:val="4"/>
              </w:rPr>
            </w:r>
          </w:p>
        </w:tc>
      </w:tr>
      <w:tr>
        <w:trPr/>
        <w:tc>
          <w:tcPr>
            <w:tcW w:w="2870" w:type="dxa"/>
            <w:tcBorders/>
          </w:tcPr>
          <w:p>
            <w:pPr>
              <w:pStyle w:val="TableContents"/>
              <w:bidi w:val="0"/>
              <w:spacing w:before="0" w:after="283"/>
              <w:jc w:val="left"/>
              <w:rPr>
                <w:b/>
              </w:rPr>
            </w:pPr>
            <w:r>
              <w:rPr>
                <w:b/>
              </w:rPr>
              <w:t>Interest Rate:</w:t>
            </w:r>
          </w:p>
        </w:tc>
        <w:tc>
          <w:tcPr>
            <w:tcW w:w="121" w:type="dxa"/>
            <w:tcBorders/>
            <w:vAlign w:val="bottom"/>
          </w:tcPr>
          <w:p>
            <w:pPr>
              <w:pStyle w:val="TableContents"/>
              <w:bidi w:val="0"/>
              <w:spacing w:before="0" w:after="283"/>
              <w:jc w:val="left"/>
              <w:rPr/>
            </w:pPr>
            <w:r>
              <w:rPr/>
              <w:t>  </w:t>
            </w:r>
          </w:p>
        </w:tc>
        <w:tc>
          <w:tcPr>
            <w:tcW w:w="3545" w:type="dxa"/>
            <w:tcBorders/>
          </w:tcPr>
          <w:p>
            <w:pPr>
              <w:pStyle w:val="TableContents"/>
              <w:bidi w:val="0"/>
              <w:spacing w:before="0" w:after="283"/>
              <w:jc w:val="left"/>
              <w:rPr/>
            </w:pPr>
            <w:r>
              <w:rPr/>
              <w:t>5.15% per annum</w:t>
            </w:r>
          </w:p>
        </w:tc>
        <w:tc>
          <w:tcPr>
            <w:tcW w:w="121" w:type="dxa"/>
            <w:tcBorders/>
            <w:vAlign w:val="bottom"/>
          </w:tcPr>
          <w:p>
            <w:pPr>
              <w:pStyle w:val="TableContents"/>
              <w:bidi w:val="0"/>
              <w:spacing w:before="0" w:after="283"/>
              <w:jc w:val="left"/>
              <w:rPr/>
            </w:pPr>
            <w:r>
              <w:rPr/>
              <w:t>  </w:t>
            </w:r>
          </w:p>
        </w:tc>
        <w:tc>
          <w:tcPr>
            <w:tcW w:w="3548" w:type="dxa"/>
            <w:tcBorders/>
          </w:tcPr>
          <w:p>
            <w:pPr>
              <w:pStyle w:val="TableContents"/>
              <w:bidi w:val="0"/>
              <w:spacing w:before="0" w:after="283"/>
              <w:jc w:val="left"/>
              <w:rPr/>
            </w:pPr>
            <w:r>
              <w:rPr/>
              <w:t>5.875% per annum</w:t>
            </w:r>
          </w:p>
        </w:tc>
      </w:tr>
      <w:tr>
        <w:trPr>
          <w:trHeight w:val="120" w:hRule="atLeast"/>
        </w:trPr>
        <w:tc>
          <w:tcPr>
            <w:tcW w:w="2870" w:type="dxa"/>
            <w:tcBorders/>
            <w:vAlign w:val="center"/>
          </w:tcPr>
          <w:p>
            <w:pPr>
              <w:pStyle w:val="TableContents"/>
              <w:bidi w:val="0"/>
              <w:spacing w:before="0" w:after="283"/>
              <w:jc w:val="left"/>
              <w:rPr>
                <w:sz w:val="4"/>
                <w:szCs w:val="4"/>
              </w:rPr>
            </w:pPr>
            <w:r>
              <w:rPr>
                <w:sz w:val="4"/>
                <w:szCs w:val="4"/>
              </w:rPr>
            </w:r>
          </w:p>
        </w:tc>
        <w:tc>
          <w:tcPr>
            <w:tcW w:w="3666" w:type="dxa"/>
            <w:gridSpan w:val="2"/>
            <w:tcBorders/>
            <w:vAlign w:val="center"/>
          </w:tcPr>
          <w:p>
            <w:pPr>
              <w:pStyle w:val="TableContents"/>
              <w:bidi w:val="0"/>
              <w:spacing w:before="0" w:after="283"/>
              <w:jc w:val="left"/>
              <w:rPr>
                <w:sz w:val="4"/>
                <w:szCs w:val="4"/>
              </w:rPr>
            </w:pPr>
            <w:r>
              <w:rPr>
                <w:sz w:val="4"/>
                <w:szCs w:val="4"/>
              </w:rPr>
            </w:r>
          </w:p>
        </w:tc>
        <w:tc>
          <w:tcPr>
            <w:tcW w:w="3669" w:type="dxa"/>
            <w:gridSpan w:val="2"/>
            <w:tcBorders/>
            <w:vAlign w:val="center"/>
          </w:tcPr>
          <w:p>
            <w:pPr>
              <w:pStyle w:val="TableContents"/>
              <w:bidi w:val="0"/>
              <w:spacing w:before="0" w:after="283"/>
              <w:jc w:val="left"/>
              <w:rPr>
                <w:sz w:val="4"/>
                <w:szCs w:val="4"/>
              </w:rPr>
            </w:pPr>
            <w:r>
              <w:rPr>
                <w:sz w:val="4"/>
                <w:szCs w:val="4"/>
              </w:rPr>
            </w:r>
          </w:p>
        </w:tc>
      </w:tr>
      <w:tr>
        <w:trPr/>
        <w:tc>
          <w:tcPr>
            <w:tcW w:w="2870" w:type="dxa"/>
            <w:tcBorders/>
          </w:tcPr>
          <w:p>
            <w:pPr>
              <w:pStyle w:val="TableContents"/>
              <w:bidi w:val="0"/>
              <w:spacing w:before="0" w:after="283"/>
              <w:jc w:val="left"/>
              <w:rPr>
                <w:b/>
              </w:rPr>
            </w:pPr>
            <w:r>
              <w:rPr>
                <w:b/>
              </w:rPr>
              <w:t>Interest Payment Dates:</w:t>
            </w:r>
          </w:p>
        </w:tc>
        <w:tc>
          <w:tcPr>
            <w:tcW w:w="121" w:type="dxa"/>
            <w:tcBorders/>
            <w:vAlign w:val="bottom"/>
          </w:tcPr>
          <w:p>
            <w:pPr>
              <w:pStyle w:val="TableContents"/>
              <w:bidi w:val="0"/>
              <w:spacing w:before="0" w:after="283"/>
              <w:jc w:val="left"/>
              <w:rPr/>
            </w:pPr>
            <w:r>
              <w:rPr/>
              <w:t>  </w:t>
            </w:r>
          </w:p>
        </w:tc>
        <w:tc>
          <w:tcPr>
            <w:tcW w:w="3545" w:type="dxa"/>
            <w:tcBorders/>
          </w:tcPr>
          <w:p>
            <w:pPr>
              <w:pStyle w:val="TableContents"/>
              <w:bidi w:val="0"/>
              <w:spacing w:before="0" w:after="283"/>
              <w:jc w:val="left"/>
              <w:rPr/>
            </w:pPr>
            <w:r>
              <w:rPr/>
              <w:t>June 15 and December 15, commencing on December 15, 2026</w:t>
            </w:r>
          </w:p>
        </w:tc>
        <w:tc>
          <w:tcPr>
            <w:tcW w:w="121" w:type="dxa"/>
            <w:tcBorders/>
            <w:vAlign w:val="bottom"/>
          </w:tcPr>
          <w:p>
            <w:pPr>
              <w:pStyle w:val="TableContents"/>
              <w:bidi w:val="0"/>
              <w:spacing w:before="0" w:after="283"/>
              <w:jc w:val="left"/>
              <w:rPr/>
            </w:pPr>
            <w:r>
              <w:rPr/>
              <w:t>  </w:t>
            </w:r>
          </w:p>
        </w:tc>
        <w:tc>
          <w:tcPr>
            <w:tcW w:w="3548" w:type="dxa"/>
            <w:tcBorders/>
          </w:tcPr>
          <w:p>
            <w:pPr>
              <w:pStyle w:val="TableContents"/>
              <w:bidi w:val="0"/>
              <w:spacing w:before="0" w:after="283"/>
              <w:jc w:val="left"/>
              <w:rPr/>
            </w:pPr>
            <w:r>
              <w:rPr/>
              <w:t>June 15 and December 15, commencing on December 15, 2026</w:t>
            </w:r>
          </w:p>
        </w:tc>
      </w:tr>
      <w:tr>
        <w:trPr>
          <w:trHeight w:val="120" w:hRule="atLeast"/>
        </w:trPr>
        <w:tc>
          <w:tcPr>
            <w:tcW w:w="2870" w:type="dxa"/>
            <w:tcBorders/>
            <w:vAlign w:val="center"/>
          </w:tcPr>
          <w:p>
            <w:pPr>
              <w:pStyle w:val="TableContents"/>
              <w:bidi w:val="0"/>
              <w:spacing w:before="0" w:after="283"/>
              <w:jc w:val="left"/>
              <w:rPr>
                <w:sz w:val="4"/>
                <w:szCs w:val="4"/>
              </w:rPr>
            </w:pPr>
            <w:r>
              <w:rPr>
                <w:sz w:val="4"/>
                <w:szCs w:val="4"/>
              </w:rPr>
            </w:r>
          </w:p>
        </w:tc>
        <w:tc>
          <w:tcPr>
            <w:tcW w:w="3666" w:type="dxa"/>
            <w:gridSpan w:val="2"/>
            <w:tcBorders/>
            <w:vAlign w:val="center"/>
          </w:tcPr>
          <w:p>
            <w:pPr>
              <w:pStyle w:val="TableContents"/>
              <w:bidi w:val="0"/>
              <w:spacing w:before="0" w:after="283"/>
              <w:jc w:val="left"/>
              <w:rPr>
                <w:sz w:val="4"/>
                <w:szCs w:val="4"/>
              </w:rPr>
            </w:pPr>
            <w:r>
              <w:rPr>
                <w:sz w:val="4"/>
                <w:szCs w:val="4"/>
              </w:rPr>
            </w:r>
          </w:p>
        </w:tc>
        <w:tc>
          <w:tcPr>
            <w:tcW w:w="3669" w:type="dxa"/>
            <w:gridSpan w:val="2"/>
            <w:tcBorders/>
            <w:vAlign w:val="center"/>
          </w:tcPr>
          <w:p>
            <w:pPr>
              <w:pStyle w:val="TableContents"/>
              <w:bidi w:val="0"/>
              <w:spacing w:before="0" w:after="283"/>
              <w:jc w:val="left"/>
              <w:rPr>
                <w:sz w:val="4"/>
                <w:szCs w:val="4"/>
              </w:rPr>
            </w:pPr>
            <w:r>
              <w:rPr>
                <w:sz w:val="4"/>
                <w:szCs w:val="4"/>
              </w:rPr>
            </w:r>
          </w:p>
        </w:tc>
      </w:tr>
      <w:tr>
        <w:trPr/>
        <w:tc>
          <w:tcPr>
            <w:tcW w:w="2870" w:type="dxa"/>
            <w:tcBorders/>
          </w:tcPr>
          <w:p>
            <w:pPr>
              <w:pStyle w:val="TableContents"/>
              <w:bidi w:val="0"/>
              <w:spacing w:before="0" w:after="283"/>
              <w:jc w:val="left"/>
              <w:rPr>
                <w:b/>
              </w:rPr>
            </w:pPr>
            <w:r>
              <w:rPr>
                <w:b/>
              </w:rPr>
              <w:t>Maturity Date:</w:t>
            </w:r>
          </w:p>
        </w:tc>
        <w:tc>
          <w:tcPr>
            <w:tcW w:w="121" w:type="dxa"/>
            <w:tcBorders/>
            <w:vAlign w:val="bottom"/>
          </w:tcPr>
          <w:p>
            <w:pPr>
              <w:pStyle w:val="TableContents"/>
              <w:bidi w:val="0"/>
              <w:spacing w:before="0" w:after="283"/>
              <w:jc w:val="left"/>
              <w:rPr/>
            </w:pPr>
            <w:r>
              <w:rPr/>
              <w:t>  </w:t>
            </w:r>
          </w:p>
        </w:tc>
        <w:tc>
          <w:tcPr>
            <w:tcW w:w="3545" w:type="dxa"/>
            <w:tcBorders/>
          </w:tcPr>
          <w:p>
            <w:pPr>
              <w:pStyle w:val="TableContents"/>
              <w:bidi w:val="0"/>
              <w:spacing w:before="0" w:after="283"/>
              <w:jc w:val="left"/>
              <w:rPr/>
            </w:pPr>
            <w:r>
              <w:rPr/>
              <w:t>June 15, 2036</w:t>
            </w:r>
          </w:p>
        </w:tc>
        <w:tc>
          <w:tcPr>
            <w:tcW w:w="121" w:type="dxa"/>
            <w:tcBorders/>
            <w:vAlign w:val="bottom"/>
          </w:tcPr>
          <w:p>
            <w:pPr>
              <w:pStyle w:val="TableContents"/>
              <w:bidi w:val="0"/>
              <w:spacing w:before="0" w:after="283"/>
              <w:jc w:val="left"/>
              <w:rPr/>
            </w:pPr>
            <w:r>
              <w:rPr/>
              <w:t>  </w:t>
            </w:r>
          </w:p>
        </w:tc>
        <w:tc>
          <w:tcPr>
            <w:tcW w:w="3548" w:type="dxa"/>
            <w:tcBorders/>
          </w:tcPr>
          <w:p>
            <w:pPr>
              <w:pStyle w:val="TableContents"/>
              <w:bidi w:val="0"/>
              <w:spacing w:before="0" w:after="283"/>
              <w:jc w:val="left"/>
              <w:rPr/>
            </w:pPr>
            <w:r>
              <w:rPr/>
              <w:t>June 15, 2056</w:t>
            </w:r>
          </w:p>
        </w:tc>
      </w:tr>
      <w:tr>
        <w:trPr>
          <w:trHeight w:val="120" w:hRule="atLeast"/>
        </w:trPr>
        <w:tc>
          <w:tcPr>
            <w:tcW w:w="2870" w:type="dxa"/>
            <w:tcBorders/>
            <w:vAlign w:val="center"/>
          </w:tcPr>
          <w:p>
            <w:pPr>
              <w:pStyle w:val="TableContents"/>
              <w:bidi w:val="0"/>
              <w:spacing w:before="0" w:after="283"/>
              <w:jc w:val="left"/>
              <w:rPr>
                <w:sz w:val="4"/>
                <w:szCs w:val="4"/>
              </w:rPr>
            </w:pPr>
            <w:r>
              <w:rPr>
                <w:sz w:val="4"/>
                <w:szCs w:val="4"/>
              </w:rPr>
            </w:r>
          </w:p>
        </w:tc>
        <w:tc>
          <w:tcPr>
            <w:tcW w:w="3666" w:type="dxa"/>
            <w:gridSpan w:val="2"/>
            <w:tcBorders/>
            <w:vAlign w:val="center"/>
          </w:tcPr>
          <w:p>
            <w:pPr>
              <w:pStyle w:val="TableContents"/>
              <w:bidi w:val="0"/>
              <w:spacing w:before="0" w:after="283"/>
              <w:jc w:val="left"/>
              <w:rPr>
                <w:sz w:val="4"/>
                <w:szCs w:val="4"/>
              </w:rPr>
            </w:pPr>
            <w:r>
              <w:rPr>
                <w:sz w:val="4"/>
                <w:szCs w:val="4"/>
              </w:rPr>
            </w:r>
          </w:p>
        </w:tc>
        <w:tc>
          <w:tcPr>
            <w:tcW w:w="3669" w:type="dxa"/>
            <w:gridSpan w:val="2"/>
            <w:tcBorders/>
            <w:vAlign w:val="center"/>
          </w:tcPr>
          <w:p>
            <w:pPr>
              <w:pStyle w:val="TableContents"/>
              <w:bidi w:val="0"/>
              <w:spacing w:before="0" w:after="283"/>
              <w:jc w:val="left"/>
              <w:rPr>
                <w:sz w:val="4"/>
                <w:szCs w:val="4"/>
              </w:rPr>
            </w:pPr>
            <w:r>
              <w:rPr>
                <w:sz w:val="4"/>
                <w:szCs w:val="4"/>
              </w:rPr>
            </w:r>
          </w:p>
        </w:tc>
      </w:tr>
      <w:tr>
        <w:trPr/>
        <w:tc>
          <w:tcPr>
            <w:tcW w:w="2870" w:type="dxa"/>
            <w:tcBorders/>
          </w:tcPr>
          <w:p>
            <w:pPr>
              <w:pStyle w:val="TableContents"/>
              <w:bidi w:val="0"/>
              <w:spacing w:before="0" w:after="283"/>
              <w:jc w:val="left"/>
              <w:rPr>
                <w:b/>
              </w:rPr>
            </w:pPr>
            <w:r>
              <w:rPr>
                <w:b/>
              </w:rPr>
              <w:t>Benchmark Treasury:</w:t>
            </w:r>
          </w:p>
        </w:tc>
        <w:tc>
          <w:tcPr>
            <w:tcW w:w="121" w:type="dxa"/>
            <w:tcBorders/>
            <w:vAlign w:val="bottom"/>
          </w:tcPr>
          <w:p>
            <w:pPr>
              <w:pStyle w:val="TableContents"/>
              <w:bidi w:val="0"/>
              <w:spacing w:before="0" w:after="283"/>
              <w:jc w:val="left"/>
              <w:rPr/>
            </w:pPr>
            <w:r>
              <w:rPr/>
              <w:t>  </w:t>
            </w:r>
          </w:p>
        </w:tc>
        <w:tc>
          <w:tcPr>
            <w:tcW w:w="3545" w:type="dxa"/>
            <w:tcBorders/>
          </w:tcPr>
          <w:p>
            <w:pPr>
              <w:pStyle w:val="TableContents"/>
              <w:bidi w:val="0"/>
              <w:spacing w:before="0" w:after="283"/>
              <w:jc w:val="left"/>
              <w:rPr/>
            </w:pPr>
            <w:r>
              <w:rPr/>
              <w:t>4.375% due May 15, 2036</w:t>
            </w:r>
          </w:p>
        </w:tc>
        <w:tc>
          <w:tcPr>
            <w:tcW w:w="121" w:type="dxa"/>
            <w:tcBorders/>
            <w:vAlign w:val="bottom"/>
          </w:tcPr>
          <w:p>
            <w:pPr>
              <w:pStyle w:val="TableContents"/>
              <w:bidi w:val="0"/>
              <w:spacing w:before="0" w:after="283"/>
              <w:jc w:val="left"/>
              <w:rPr/>
            </w:pPr>
            <w:r>
              <w:rPr/>
              <w:t>  </w:t>
            </w:r>
          </w:p>
        </w:tc>
        <w:tc>
          <w:tcPr>
            <w:tcW w:w="3548" w:type="dxa"/>
            <w:tcBorders/>
          </w:tcPr>
          <w:p>
            <w:pPr>
              <w:pStyle w:val="TableContents"/>
              <w:bidi w:val="0"/>
              <w:spacing w:before="0" w:after="283"/>
              <w:jc w:val="left"/>
              <w:rPr/>
            </w:pPr>
            <w:r>
              <w:rPr/>
              <w:t>4.750% due February 15, 2056</w:t>
            </w:r>
          </w:p>
        </w:tc>
      </w:tr>
      <w:tr>
        <w:trPr>
          <w:trHeight w:val="120" w:hRule="atLeast"/>
        </w:trPr>
        <w:tc>
          <w:tcPr>
            <w:tcW w:w="2870" w:type="dxa"/>
            <w:tcBorders/>
            <w:vAlign w:val="center"/>
          </w:tcPr>
          <w:p>
            <w:pPr>
              <w:pStyle w:val="TableContents"/>
              <w:bidi w:val="0"/>
              <w:spacing w:before="0" w:after="283"/>
              <w:jc w:val="left"/>
              <w:rPr>
                <w:sz w:val="4"/>
                <w:szCs w:val="4"/>
              </w:rPr>
            </w:pPr>
            <w:r>
              <w:rPr>
                <w:sz w:val="4"/>
                <w:szCs w:val="4"/>
              </w:rPr>
            </w:r>
          </w:p>
        </w:tc>
        <w:tc>
          <w:tcPr>
            <w:tcW w:w="3666" w:type="dxa"/>
            <w:gridSpan w:val="2"/>
            <w:tcBorders/>
            <w:vAlign w:val="center"/>
          </w:tcPr>
          <w:p>
            <w:pPr>
              <w:pStyle w:val="TableContents"/>
              <w:bidi w:val="0"/>
              <w:spacing w:before="0" w:after="283"/>
              <w:jc w:val="left"/>
              <w:rPr>
                <w:sz w:val="4"/>
                <w:szCs w:val="4"/>
              </w:rPr>
            </w:pPr>
            <w:r>
              <w:rPr>
                <w:sz w:val="4"/>
                <w:szCs w:val="4"/>
              </w:rPr>
            </w:r>
          </w:p>
        </w:tc>
        <w:tc>
          <w:tcPr>
            <w:tcW w:w="3669" w:type="dxa"/>
            <w:gridSpan w:val="2"/>
            <w:tcBorders/>
            <w:vAlign w:val="center"/>
          </w:tcPr>
          <w:p>
            <w:pPr>
              <w:pStyle w:val="TableContents"/>
              <w:bidi w:val="0"/>
              <w:spacing w:before="0" w:after="283"/>
              <w:jc w:val="left"/>
              <w:rPr>
                <w:sz w:val="4"/>
                <w:szCs w:val="4"/>
              </w:rPr>
            </w:pPr>
            <w:r>
              <w:rPr>
                <w:sz w:val="4"/>
                <w:szCs w:val="4"/>
              </w:rPr>
            </w:r>
          </w:p>
        </w:tc>
      </w:tr>
      <w:tr>
        <w:trPr/>
        <w:tc>
          <w:tcPr>
            <w:tcW w:w="2870" w:type="dxa"/>
            <w:tcBorders/>
          </w:tcPr>
          <w:p>
            <w:pPr>
              <w:pStyle w:val="TableContents"/>
              <w:bidi w:val="0"/>
              <w:spacing w:before="0" w:after="283"/>
              <w:jc w:val="left"/>
              <w:rPr>
                <w:b/>
              </w:rPr>
            </w:pPr>
            <w:r>
              <w:rPr>
                <w:b/>
              </w:rPr>
              <w:t>Benchmark Treasury Price / Yield:</w:t>
            </w:r>
          </w:p>
        </w:tc>
        <w:tc>
          <w:tcPr>
            <w:tcW w:w="121" w:type="dxa"/>
            <w:tcBorders/>
            <w:vAlign w:val="bottom"/>
          </w:tcPr>
          <w:p>
            <w:pPr>
              <w:pStyle w:val="TableContents"/>
              <w:bidi w:val="0"/>
              <w:spacing w:before="0" w:after="283"/>
              <w:jc w:val="left"/>
              <w:rPr/>
            </w:pPr>
            <w:r>
              <w:rPr/>
              <w:t>  </w:t>
            </w:r>
          </w:p>
        </w:tc>
        <w:tc>
          <w:tcPr>
            <w:tcW w:w="3545" w:type="dxa"/>
            <w:tcBorders/>
          </w:tcPr>
          <w:p>
            <w:pPr>
              <w:pStyle w:val="TableContents"/>
              <w:bidi w:val="0"/>
              <w:spacing w:before="0" w:after="283"/>
              <w:jc w:val="left"/>
              <w:rPr/>
            </w:pPr>
            <w:r>
              <w:rPr/>
              <w:t>99-06+ / 4.475%</w:t>
            </w:r>
          </w:p>
        </w:tc>
        <w:tc>
          <w:tcPr>
            <w:tcW w:w="121" w:type="dxa"/>
            <w:tcBorders/>
            <w:vAlign w:val="bottom"/>
          </w:tcPr>
          <w:p>
            <w:pPr>
              <w:pStyle w:val="TableContents"/>
              <w:bidi w:val="0"/>
              <w:spacing w:before="0" w:after="283"/>
              <w:jc w:val="left"/>
              <w:rPr/>
            </w:pPr>
            <w:r>
              <w:rPr/>
              <w:t>  </w:t>
            </w:r>
          </w:p>
        </w:tc>
        <w:tc>
          <w:tcPr>
            <w:tcW w:w="3548" w:type="dxa"/>
            <w:tcBorders/>
          </w:tcPr>
          <w:p>
            <w:pPr>
              <w:pStyle w:val="TableContents"/>
              <w:bidi w:val="0"/>
              <w:spacing w:before="0" w:after="283"/>
              <w:jc w:val="left"/>
              <w:rPr/>
            </w:pPr>
            <w:r>
              <w:rPr/>
              <w:t>96-07 / 4.995%</w:t>
            </w:r>
          </w:p>
        </w:tc>
      </w:tr>
      <w:tr>
        <w:trPr>
          <w:trHeight w:val="120" w:hRule="atLeast"/>
        </w:trPr>
        <w:tc>
          <w:tcPr>
            <w:tcW w:w="2870" w:type="dxa"/>
            <w:tcBorders/>
            <w:vAlign w:val="center"/>
          </w:tcPr>
          <w:p>
            <w:pPr>
              <w:pStyle w:val="TableContents"/>
              <w:bidi w:val="0"/>
              <w:spacing w:before="0" w:after="283"/>
              <w:jc w:val="left"/>
              <w:rPr>
                <w:sz w:val="4"/>
                <w:szCs w:val="4"/>
              </w:rPr>
            </w:pPr>
            <w:r>
              <w:rPr>
                <w:sz w:val="4"/>
                <w:szCs w:val="4"/>
              </w:rPr>
            </w:r>
          </w:p>
        </w:tc>
        <w:tc>
          <w:tcPr>
            <w:tcW w:w="3666" w:type="dxa"/>
            <w:gridSpan w:val="2"/>
            <w:tcBorders/>
            <w:vAlign w:val="center"/>
          </w:tcPr>
          <w:p>
            <w:pPr>
              <w:pStyle w:val="TableContents"/>
              <w:bidi w:val="0"/>
              <w:spacing w:before="0" w:after="283"/>
              <w:jc w:val="left"/>
              <w:rPr>
                <w:sz w:val="4"/>
                <w:szCs w:val="4"/>
              </w:rPr>
            </w:pPr>
            <w:r>
              <w:rPr>
                <w:sz w:val="4"/>
                <w:szCs w:val="4"/>
              </w:rPr>
            </w:r>
          </w:p>
        </w:tc>
        <w:tc>
          <w:tcPr>
            <w:tcW w:w="3669" w:type="dxa"/>
            <w:gridSpan w:val="2"/>
            <w:tcBorders/>
            <w:vAlign w:val="center"/>
          </w:tcPr>
          <w:p>
            <w:pPr>
              <w:pStyle w:val="TableContents"/>
              <w:bidi w:val="0"/>
              <w:spacing w:before="0" w:after="283"/>
              <w:jc w:val="left"/>
              <w:rPr>
                <w:sz w:val="4"/>
                <w:szCs w:val="4"/>
              </w:rPr>
            </w:pPr>
            <w:r>
              <w:rPr>
                <w:sz w:val="4"/>
                <w:szCs w:val="4"/>
              </w:rPr>
            </w:r>
          </w:p>
        </w:tc>
      </w:tr>
      <w:tr>
        <w:trPr/>
        <w:tc>
          <w:tcPr>
            <w:tcW w:w="2870" w:type="dxa"/>
            <w:tcBorders/>
          </w:tcPr>
          <w:p>
            <w:pPr>
              <w:pStyle w:val="TableContents"/>
              <w:bidi w:val="0"/>
              <w:spacing w:before="0" w:after="283"/>
              <w:jc w:val="left"/>
              <w:rPr>
                <w:b/>
              </w:rPr>
            </w:pPr>
            <w:r>
              <w:rPr>
                <w:b/>
              </w:rPr>
              <w:t>Spread to Benchmark Treasury:</w:t>
            </w:r>
          </w:p>
        </w:tc>
        <w:tc>
          <w:tcPr>
            <w:tcW w:w="121" w:type="dxa"/>
            <w:tcBorders/>
            <w:vAlign w:val="bottom"/>
          </w:tcPr>
          <w:p>
            <w:pPr>
              <w:pStyle w:val="TableContents"/>
              <w:bidi w:val="0"/>
              <w:spacing w:before="0" w:after="283"/>
              <w:jc w:val="left"/>
              <w:rPr/>
            </w:pPr>
            <w:r>
              <w:rPr/>
              <w:t>  </w:t>
            </w:r>
          </w:p>
        </w:tc>
        <w:tc>
          <w:tcPr>
            <w:tcW w:w="3545" w:type="dxa"/>
            <w:tcBorders/>
          </w:tcPr>
          <w:p>
            <w:pPr>
              <w:pStyle w:val="TableContents"/>
              <w:bidi w:val="0"/>
              <w:spacing w:before="0" w:after="283"/>
              <w:jc w:val="left"/>
              <w:rPr/>
            </w:pPr>
            <w:r>
              <w:rPr/>
              <w:t>+72 basis points</w:t>
            </w:r>
          </w:p>
        </w:tc>
        <w:tc>
          <w:tcPr>
            <w:tcW w:w="121" w:type="dxa"/>
            <w:tcBorders/>
            <w:vAlign w:val="bottom"/>
          </w:tcPr>
          <w:p>
            <w:pPr>
              <w:pStyle w:val="TableContents"/>
              <w:bidi w:val="0"/>
              <w:spacing w:before="0" w:after="283"/>
              <w:jc w:val="left"/>
              <w:rPr/>
            </w:pPr>
            <w:r>
              <w:rPr/>
              <w:t>  </w:t>
            </w:r>
          </w:p>
        </w:tc>
        <w:tc>
          <w:tcPr>
            <w:tcW w:w="3548" w:type="dxa"/>
            <w:tcBorders/>
          </w:tcPr>
          <w:p>
            <w:pPr>
              <w:pStyle w:val="TableContents"/>
              <w:bidi w:val="0"/>
              <w:spacing w:before="0" w:after="283"/>
              <w:jc w:val="left"/>
              <w:rPr/>
            </w:pPr>
            <w:r>
              <w:rPr/>
              <w:t>+90 basis points</w:t>
            </w:r>
          </w:p>
        </w:tc>
      </w:tr>
      <w:tr>
        <w:trPr>
          <w:trHeight w:val="120" w:hRule="atLeast"/>
        </w:trPr>
        <w:tc>
          <w:tcPr>
            <w:tcW w:w="2870" w:type="dxa"/>
            <w:tcBorders/>
            <w:vAlign w:val="center"/>
          </w:tcPr>
          <w:p>
            <w:pPr>
              <w:pStyle w:val="TableContents"/>
              <w:bidi w:val="0"/>
              <w:spacing w:before="0" w:after="283"/>
              <w:jc w:val="left"/>
              <w:rPr>
                <w:sz w:val="4"/>
                <w:szCs w:val="4"/>
              </w:rPr>
            </w:pPr>
            <w:r>
              <w:rPr>
                <w:sz w:val="4"/>
                <w:szCs w:val="4"/>
              </w:rPr>
            </w:r>
          </w:p>
        </w:tc>
        <w:tc>
          <w:tcPr>
            <w:tcW w:w="3666" w:type="dxa"/>
            <w:gridSpan w:val="2"/>
            <w:tcBorders/>
            <w:vAlign w:val="center"/>
          </w:tcPr>
          <w:p>
            <w:pPr>
              <w:pStyle w:val="TableContents"/>
              <w:bidi w:val="0"/>
              <w:spacing w:before="0" w:after="283"/>
              <w:jc w:val="left"/>
              <w:rPr>
                <w:sz w:val="4"/>
                <w:szCs w:val="4"/>
              </w:rPr>
            </w:pPr>
            <w:r>
              <w:rPr>
                <w:sz w:val="4"/>
                <w:szCs w:val="4"/>
              </w:rPr>
            </w:r>
          </w:p>
        </w:tc>
        <w:tc>
          <w:tcPr>
            <w:tcW w:w="3669" w:type="dxa"/>
            <w:gridSpan w:val="2"/>
            <w:tcBorders/>
            <w:vAlign w:val="center"/>
          </w:tcPr>
          <w:p>
            <w:pPr>
              <w:pStyle w:val="TableContents"/>
              <w:bidi w:val="0"/>
              <w:spacing w:before="0" w:after="283"/>
              <w:jc w:val="left"/>
              <w:rPr>
                <w:sz w:val="4"/>
                <w:szCs w:val="4"/>
              </w:rPr>
            </w:pPr>
            <w:r>
              <w:rPr>
                <w:sz w:val="4"/>
                <w:szCs w:val="4"/>
              </w:rPr>
            </w:r>
          </w:p>
        </w:tc>
      </w:tr>
      <w:tr>
        <w:trPr/>
        <w:tc>
          <w:tcPr>
            <w:tcW w:w="2870" w:type="dxa"/>
            <w:tcBorders/>
          </w:tcPr>
          <w:p>
            <w:pPr>
              <w:pStyle w:val="TableContents"/>
              <w:bidi w:val="0"/>
              <w:spacing w:before="0" w:after="283"/>
              <w:jc w:val="left"/>
              <w:rPr>
                <w:b/>
              </w:rPr>
            </w:pPr>
            <w:r>
              <w:rPr>
                <w:b/>
              </w:rPr>
              <w:t>Yield to Maturity:</w:t>
            </w:r>
          </w:p>
        </w:tc>
        <w:tc>
          <w:tcPr>
            <w:tcW w:w="121" w:type="dxa"/>
            <w:tcBorders/>
            <w:vAlign w:val="bottom"/>
          </w:tcPr>
          <w:p>
            <w:pPr>
              <w:pStyle w:val="TableContents"/>
              <w:bidi w:val="0"/>
              <w:spacing w:before="0" w:after="283"/>
              <w:jc w:val="left"/>
              <w:rPr/>
            </w:pPr>
            <w:r>
              <w:rPr/>
              <w:t>  </w:t>
            </w:r>
          </w:p>
        </w:tc>
        <w:tc>
          <w:tcPr>
            <w:tcW w:w="3545" w:type="dxa"/>
            <w:tcBorders/>
          </w:tcPr>
          <w:p>
            <w:pPr>
              <w:pStyle w:val="TableContents"/>
              <w:bidi w:val="0"/>
              <w:spacing w:before="0" w:after="283"/>
              <w:jc w:val="left"/>
              <w:rPr/>
            </w:pPr>
            <w:r>
              <w:rPr/>
              <w:t>5.195%</w:t>
            </w:r>
          </w:p>
        </w:tc>
        <w:tc>
          <w:tcPr>
            <w:tcW w:w="121" w:type="dxa"/>
            <w:tcBorders/>
            <w:vAlign w:val="bottom"/>
          </w:tcPr>
          <w:p>
            <w:pPr>
              <w:pStyle w:val="TableContents"/>
              <w:bidi w:val="0"/>
              <w:spacing w:before="0" w:after="283"/>
              <w:jc w:val="left"/>
              <w:rPr/>
            </w:pPr>
            <w:r>
              <w:rPr/>
              <w:t>  </w:t>
            </w:r>
          </w:p>
        </w:tc>
        <w:tc>
          <w:tcPr>
            <w:tcW w:w="3548" w:type="dxa"/>
            <w:tcBorders/>
          </w:tcPr>
          <w:p>
            <w:pPr>
              <w:pStyle w:val="TableContents"/>
              <w:bidi w:val="0"/>
              <w:spacing w:before="0" w:after="283"/>
              <w:jc w:val="left"/>
              <w:rPr/>
            </w:pPr>
            <w:r>
              <w:rPr/>
              <w:t>5.895%</w:t>
            </w:r>
          </w:p>
        </w:tc>
      </w:tr>
      <w:tr>
        <w:trPr>
          <w:trHeight w:val="120" w:hRule="atLeast"/>
        </w:trPr>
        <w:tc>
          <w:tcPr>
            <w:tcW w:w="2870" w:type="dxa"/>
            <w:tcBorders/>
            <w:vAlign w:val="center"/>
          </w:tcPr>
          <w:p>
            <w:pPr>
              <w:pStyle w:val="TableContents"/>
              <w:bidi w:val="0"/>
              <w:spacing w:before="0" w:after="283"/>
              <w:jc w:val="left"/>
              <w:rPr>
                <w:sz w:val="4"/>
                <w:szCs w:val="4"/>
              </w:rPr>
            </w:pPr>
            <w:r>
              <w:rPr>
                <w:sz w:val="4"/>
                <w:szCs w:val="4"/>
              </w:rPr>
            </w:r>
          </w:p>
        </w:tc>
        <w:tc>
          <w:tcPr>
            <w:tcW w:w="3666" w:type="dxa"/>
            <w:gridSpan w:val="2"/>
            <w:tcBorders/>
            <w:vAlign w:val="center"/>
          </w:tcPr>
          <w:p>
            <w:pPr>
              <w:pStyle w:val="TableContents"/>
              <w:bidi w:val="0"/>
              <w:spacing w:before="0" w:after="283"/>
              <w:jc w:val="left"/>
              <w:rPr>
                <w:sz w:val="4"/>
                <w:szCs w:val="4"/>
              </w:rPr>
            </w:pPr>
            <w:r>
              <w:rPr>
                <w:sz w:val="4"/>
                <w:szCs w:val="4"/>
              </w:rPr>
            </w:r>
          </w:p>
        </w:tc>
        <w:tc>
          <w:tcPr>
            <w:tcW w:w="3669" w:type="dxa"/>
            <w:gridSpan w:val="2"/>
            <w:tcBorders/>
            <w:vAlign w:val="center"/>
          </w:tcPr>
          <w:p>
            <w:pPr>
              <w:pStyle w:val="TableContents"/>
              <w:bidi w:val="0"/>
              <w:spacing w:before="0" w:after="283"/>
              <w:jc w:val="left"/>
              <w:rPr>
                <w:sz w:val="4"/>
                <w:szCs w:val="4"/>
              </w:rPr>
            </w:pPr>
            <w:r>
              <w:rPr>
                <w:sz w:val="4"/>
                <w:szCs w:val="4"/>
              </w:rPr>
            </w:r>
          </w:p>
        </w:tc>
      </w:tr>
      <w:tr>
        <w:trPr/>
        <w:tc>
          <w:tcPr>
            <w:tcW w:w="2870" w:type="dxa"/>
            <w:tcBorders/>
          </w:tcPr>
          <w:p>
            <w:pPr>
              <w:pStyle w:val="TableContents"/>
              <w:bidi w:val="0"/>
              <w:spacing w:before="0" w:after="283"/>
              <w:jc w:val="left"/>
              <w:rPr>
                <w:b/>
              </w:rPr>
            </w:pPr>
            <w:r>
              <w:rPr>
                <w:b/>
              </w:rPr>
              <w:t>Public Offering Price:</w:t>
            </w:r>
          </w:p>
        </w:tc>
        <w:tc>
          <w:tcPr>
            <w:tcW w:w="121" w:type="dxa"/>
            <w:tcBorders/>
            <w:vAlign w:val="bottom"/>
          </w:tcPr>
          <w:p>
            <w:pPr>
              <w:pStyle w:val="TableContents"/>
              <w:bidi w:val="0"/>
              <w:spacing w:before="0" w:after="283"/>
              <w:jc w:val="left"/>
              <w:rPr/>
            </w:pPr>
            <w:r>
              <w:rPr/>
              <w:t>  </w:t>
            </w:r>
          </w:p>
        </w:tc>
        <w:tc>
          <w:tcPr>
            <w:tcW w:w="3545" w:type="dxa"/>
            <w:tcBorders/>
          </w:tcPr>
          <w:p>
            <w:pPr>
              <w:pStyle w:val="TableContents"/>
              <w:bidi w:val="0"/>
              <w:spacing w:before="0" w:after="283"/>
              <w:jc w:val="left"/>
              <w:rPr/>
            </w:pPr>
            <w:r>
              <w:rPr/>
              <w:t>99.649% of the principal amount</w:t>
            </w:r>
          </w:p>
        </w:tc>
        <w:tc>
          <w:tcPr>
            <w:tcW w:w="121" w:type="dxa"/>
            <w:tcBorders/>
            <w:vAlign w:val="bottom"/>
          </w:tcPr>
          <w:p>
            <w:pPr>
              <w:pStyle w:val="TableContents"/>
              <w:bidi w:val="0"/>
              <w:spacing w:before="0" w:after="283"/>
              <w:jc w:val="left"/>
              <w:rPr/>
            </w:pPr>
            <w:r>
              <w:rPr/>
              <w:t>  </w:t>
            </w:r>
          </w:p>
        </w:tc>
        <w:tc>
          <w:tcPr>
            <w:tcW w:w="3548" w:type="dxa"/>
            <w:tcBorders/>
          </w:tcPr>
          <w:p>
            <w:pPr>
              <w:pStyle w:val="TableContents"/>
              <w:bidi w:val="0"/>
              <w:spacing w:before="0" w:after="283"/>
              <w:jc w:val="left"/>
              <w:rPr/>
            </w:pPr>
            <w:r>
              <w:rPr/>
              <w:t>99.717% of the principal amount</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818"/>
        <w:gridCol w:w="120"/>
        <w:gridCol w:w="3574"/>
        <w:gridCol w:w="120"/>
        <w:gridCol w:w="3573"/>
      </w:tblGrid>
      <w:tr>
        <w:trPr/>
        <w:tc>
          <w:tcPr>
            <w:tcW w:w="281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7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r>
      <w:tr>
        <w:trPr/>
        <w:tc>
          <w:tcPr>
            <w:tcW w:w="2818" w:type="dxa"/>
            <w:tcBorders/>
          </w:tcPr>
          <w:p>
            <w:pPr>
              <w:pStyle w:val="TableContents"/>
              <w:bidi w:val="0"/>
              <w:spacing w:before="0" w:after="283"/>
              <w:jc w:val="left"/>
              <w:rPr>
                <w:b/>
              </w:rPr>
            </w:pPr>
            <w:r>
              <w:rPr>
                <w:b/>
              </w:rPr>
              <w:t>Optional Redemption Provisions:</w:t>
            </w:r>
          </w:p>
        </w:tc>
        <w:tc>
          <w:tcPr>
            <w:tcW w:w="120" w:type="dxa"/>
            <w:tcBorders/>
            <w:vAlign w:val="bottom"/>
          </w:tcPr>
          <w:p>
            <w:pPr>
              <w:pStyle w:val="TableContents"/>
              <w:bidi w:val="0"/>
              <w:spacing w:before="0" w:after="283"/>
              <w:jc w:val="left"/>
              <w:rPr/>
            </w:pPr>
            <w:r>
              <w:rPr/>
              <w:t>  </w:t>
            </w:r>
          </w:p>
        </w:tc>
        <w:tc>
          <w:tcPr>
            <w:tcW w:w="357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sz w:val="4"/>
                <w:szCs w:val="4"/>
              </w:rPr>
            </w:pPr>
            <w:r>
              <w:rPr>
                <w:sz w:val="4"/>
                <w:szCs w:val="4"/>
              </w:rPr>
            </w:r>
          </w:p>
        </w:tc>
      </w:tr>
      <w:tr>
        <w:trPr>
          <w:trHeight w:val="120" w:hRule="atLeast"/>
        </w:trPr>
        <w:tc>
          <w:tcPr>
            <w:tcW w:w="2818" w:type="dxa"/>
            <w:tcBorders/>
            <w:vAlign w:val="center"/>
          </w:tcPr>
          <w:p>
            <w:pPr>
              <w:pStyle w:val="TableContents"/>
              <w:bidi w:val="0"/>
              <w:spacing w:before="0" w:after="283"/>
              <w:jc w:val="left"/>
              <w:rPr>
                <w:sz w:val="4"/>
                <w:szCs w:val="4"/>
              </w:rPr>
            </w:pPr>
            <w:r>
              <w:rPr>
                <w:sz w:val="4"/>
                <w:szCs w:val="4"/>
              </w:rPr>
            </w:r>
          </w:p>
        </w:tc>
        <w:tc>
          <w:tcPr>
            <w:tcW w:w="3694" w:type="dxa"/>
            <w:gridSpan w:val="2"/>
            <w:tcBorders/>
            <w:vAlign w:val="center"/>
          </w:tcPr>
          <w:p>
            <w:pPr>
              <w:pStyle w:val="TableContents"/>
              <w:bidi w:val="0"/>
              <w:spacing w:before="0" w:after="283"/>
              <w:jc w:val="left"/>
              <w:rPr>
                <w:sz w:val="4"/>
                <w:szCs w:val="4"/>
              </w:rPr>
            </w:pPr>
            <w:r>
              <w:rPr>
                <w:sz w:val="4"/>
                <w:szCs w:val="4"/>
              </w:rPr>
            </w:r>
          </w:p>
        </w:tc>
        <w:tc>
          <w:tcPr>
            <w:tcW w:w="3693" w:type="dxa"/>
            <w:gridSpan w:val="2"/>
            <w:tcBorders/>
            <w:vAlign w:val="center"/>
          </w:tcPr>
          <w:p>
            <w:pPr>
              <w:pStyle w:val="TableContents"/>
              <w:bidi w:val="0"/>
              <w:spacing w:before="0" w:after="283"/>
              <w:jc w:val="left"/>
              <w:rPr>
                <w:sz w:val="4"/>
                <w:szCs w:val="4"/>
              </w:rPr>
            </w:pPr>
            <w:r>
              <w:rPr>
                <w:sz w:val="4"/>
                <w:szCs w:val="4"/>
              </w:rPr>
            </w:r>
          </w:p>
        </w:tc>
      </w:tr>
      <w:tr>
        <w:trPr/>
        <w:tc>
          <w:tcPr>
            <w:tcW w:w="2818" w:type="dxa"/>
            <w:tcBorders/>
          </w:tcPr>
          <w:p>
            <w:pPr>
              <w:pStyle w:val="TableContents"/>
              <w:bidi w:val="0"/>
              <w:spacing w:before="0" w:after="0"/>
              <w:jc w:val="left"/>
              <w:rPr>
                <w:rFonts w:ascii="Times New Roman" w:hAnsi="Times New Roman"/>
                <w:b/>
                <w:sz w:val="20"/>
              </w:rPr>
            </w:pPr>
            <w:r>
              <w:rPr>
                <w:rFonts w:ascii="Times New Roman" w:hAnsi="Times New Roman"/>
                <w:b/>
                <w:sz w:val="20"/>
              </w:rPr>
              <w:t>Make-Whole Call:</w:t>
            </w:r>
          </w:p>
        </w:tc>
        <w:tc>
          <w:tcPr>
            <w:tcW w:w="120" w:type="dxa"/>
            <w:tcBorders/>
            <w:vAlign w:val="bottom"/>
          </w:tcPr>
          <w:p>
            <w:pPr>
              <w:pStyle w:val="TableContents"/>
              <w:bidi w:val="0"/>
              <w:spacing w:before="0" w:after="283"/>
              <w:jc w:val="left"/>
              <w:rPr/>
            </w:pPr>
            <w:r>
              <w:rPr/>
              <w:t>  </w:t>
            </w:r>
          </w:p>
        </w:tc>
        <w:tc>
          <w:tcPr>
            <w:tcW w:w="3574" w:type="dxa"/>
            <w:tcBorders/>
          </w:tcPr>
          <w:p>
            <w:pPr>
              <w:pStyle w:val="TableContents"/>
              <w:bidi w:val="0"/>
              <w:spacing w:before="0" w:after="283"/>
              <w:jc w:val="left"/>
              <w:rPr/>
            </w:pPr>
            <w:r>
              <w:rPr/>
              <w:t xml:space="preserve">Prior to March 15, 2036 (three months prior to the maturity date of the 2026 A Debentures) (the “2026 A Par Call Date”), the Issuer may redeem the 2026 A Debentures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the 2026 A Debentures matured on the 2026 A Par Call Date) on a semi-annual basis (assuming a 360-day year consisting of twelve 30-day months) at the Treasury Rate (as defined in the Preliminary Prospectus Supplement related to the 2026 A Debentures) plus 15 basis points, less (b) interest accrued to the date of redemption; and (2) 100% of the principal amount of the 2026 A Debentures to be redeemed, plus, in either case, accrued and unpaid interest thereon to, but not including, the redemption date. </w:t>
            </w:r>
          </w:p>
        </w:tc>
        <w:tc>
          <w:tcPr>
            <w:tcW w:w="120"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pPr>
            <w:r>
              <w:rPr/>
              <w:t xml:space="preserve">Prior to December 15, 2055 (six months prior to the maturity date of the 2026 B Debentures) (the “2026 B Par Call Date”), the Issuer may redeem the 2026 B Debentures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the 2026 B Debentures matured on the 2026 B Par Call Date) on a semi-annual basis (assuming a 360-day year consisting of twelve 30-day months) at the Treasury Rate (as defined in the Preliminary Prospectus Supplement related to the 2026 B Debentures) plus 15 basis points, less (b) interest accrued to the date of redemption; and (2) 100% of the principal amount of the 2026 B Debentures to be redeemed, plus, in either case, accrued and unpaid interest thereon to, but not including, the redemption date. </w:t>
            </w:r>
          </w:p>
        </w:tc>
      </w:tr>
      <w:tr>
        <w:trPr>
          <w:trHeight w:val="120" w:hRule="atLeast"/>
        </w:trPr>
        <w:tc>
          <w:tcPr>
            <w:tcW w:w="2818" w:type="dxa"/>
            <w:tcBorders/>
            <w:vAlign w:val="center"/>
          </w:tcPr>
          <w:p>
            <w:pPr>
              <w:pStyle w:val="TableContents"/>
              <w:bidi w:val="0"/>
              <w:spacing w:before="0" w:after="283"/>
              <w:jc w:val="left"/>
              <w:rPr>
                <w:sz w:val="4"/>
                <w:szCs w:val="4"/>
              </w:rPr>
            </w:pPr>
            <w:r>
              <w:rPr>
                <w:sz w:val="4"/>
                <w:szCs w:val="4"/>
              </w:rPr>
            </w:r>
          </w:p>
        </w:tc>
        <w:tc>
          <w:tcPr>
            <w:tcW w:w="3694" w:type="dxa"/>
            <w:gridSpan w:val="2"/>
            <w:tcBorders/>
            <w:vAlign w:val="center"/>
          </w:tcPr>
          <w:p>
            <w:pPr>
              <w:pStyle w:val="TableContents"/>
              <w:bidi w:val="0"/>
              <w:spacing w:before="0" w:after="283"/>
              <w:jc w:val="left"/>
              <w:rPr>
                <w:sz w:val="4"/>
                <w:szCs w:val="4"/>
              </w:rPr>
            </w:pPr>
            <w:r>
              <w:rPr>
                <w:sz w:val="4"/>
                <w:szCs w:val="4"/>
              </w:rPr>
            </w:r>
          </w:p>
        </w:tc>
        <w:tc>
          <w:tcPr>
            <w:tcW w:w="3693" w:type="dxa"/>
            <w:gridSpan w:val="2"/>
            <w:tcBorders/>
            <w:vAlign w:val="center"/>
          </w:tcPr>
          <w:p>
            <w:pPr>
              <w:pStyle w:val="TableContents"/>
              <w:bidi w:val="0"/>
              <w:spacing w:before="0" w:after="283"/>
              <w:jc w:val="left"/>
              <w:rPr>
                <w:sz w:val="4"/>
                <w:szCs w:val="4"/>
              </w:rPr>
            </w:pPr>
            <w:r>
              <w:rPr>
                <w:sz w:val="4"/>
                <w:szCs w:val="4"/>
              </w:rPr>
            </w:r>
          </w:p>
        </w:tc>
      </w:tr>
      <w:tr>
        <w:trPr/>
        <w:tc>
          <w:tcPr>
            <w:tcW w:w="2818" w:type="dxa"/>
            <w:tcBorders/>
          </w:tcPr>
          <w:p>
            <w:pPr>
              <w:pStyle w:val="TableContents"/>
              <w:bidi w:val="0"/>
              <w:spacing w:before="0" w:after="0"/>
              <w:jc w:val="left"/>
              <w:rPr>
                <w:rFonts w:ascii="Times New Roman" w:hAnsi="Times New Roman"/>
                <w:b/>
                <w:sz w:val="20"/>
              </w:rPr>
            </w:pPr>
            <w:r>
              <w:rPr>
                <w:rFonts w:ascii="Times New Roman" w:hAnsi="Times New Roman"/>
                <w:b/>
                <w:sz w:val="20"/>
              </w:rPr>
              <w:t>Par Call:</w:t>
            </w:r>
          </w:p>
        </w:tc>
        <w:tc>
          <w:tcPr>
            <w:tcW w:w="120" w:type="dxa"/>
            <w:tcBorders/>
            <w:vAlign w:val="bottom"/>
          </w:tcPr>
          <w:p>
            <w:pPr>
              <w:pStyle w:val="TableContents"/>
              <w:bidi w:val="0"/>
              <w:spacing w:before="0" w:after="283"/>
              <w:jc w:val="left"/>
              <w:rPr/>
            </w:pPr>
            <w:r>
              <w:rPr/>
              <w:t>  </w:t>
            </w:r>
          </w:p>
        </w:tc>
        <w:tc>
          <w:tcPr>
            <w:tcW w:w="3574" w:type="dxa"/>
            <w:tcBorders/>
          </w:tcPr>
          <w:p>
            <w:pPr>
              <w:pStyle w:val="TableContents"/>
              <w:bidi w:val="0"/>
              <w:spacing w:before="0" w:after="283"/>
              <w:jc w:val="left"/>
              <w:rPr/>
            </w:pPr>
            <w:r>
              <w:rPr/>
              <w:t>On or after the 2026 A Par Call Date, the Issuer may redeem the 2026 A Debentures, in whole or in part, at any time and from time to time, at a redemption price equal to 100% of the principal amount of the 2026 A Debentures being redeemed plus accrued and unpaid interest thereon to, but not including, the redemption date.</w:t>
            </w:r>
          </w:p>
        </w:tc>
        <w:tc>
          <w:tcPr>
            <w:tcW w:w="120"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pPr>
            <w:r>
              <w:rPr/>
              <w:t>On or after the 2026 B Par Call Date, the Issuer may redeem the 2026 B Debentures, in whole or in part, at any time and from time to time, at a redemption price equal to 100% of the principal amount of the 2026 B Debentures being redeemed plus accrued and unpaid interest thereon to, but not including, the redemption date.</w:t>
            </w:r>
          </w:p>
        </w:tc>
      </w:tr>
      <w:tr>
        <w:trPr>
          <w:trHeight w:val="120" w:hRule="atLeast"/>
        </w:trPr>
        <w:tc>
          <w:tcPr>
            <w:tcW w:w="2818" w:type="dxa"/>
            <w:tcBorders/>
            <w:vAlign w:val="center"/>
          </w:tcPr>
          <w:p>
            <w:pPr>
              <w:pStyle w:val="TableContents"/>
              <w:bidi w:val="0"/>
              <w:spacing w:before="0" w:after="283"/>
              <w:jc w:val="left"/>
              <w:rPr>
                <w:sz w:val="4"/>
                <w:szCs w:val="4"/>
              </w:rPr>
            </w:pPr>
            <w:r>
              <w:rPr>
                <w:sz w:val="4"/>
                <w:szCs w:val="4"/>
              </w:rPr>
            </w:r>
          </w:p>
        </w:tc>
        <w:tc>
          <w:tcPr>
            <w:tcW w:w="7387" w:type="dxa"/>
            <w:gridSpan w:val="4"/>
            <w:tcBorders/>
            <w:vAlign w:val="center"/>
          </w:tcPr>
          <w:p>
            <w:pPr>
              <w:pStyle w:val="TableContents"/>
              <w:bidi w:val="0"/>
              <w:spacing w:before="0" w:after="283"/>
              <w:jc w:val="left"/>
              <w:rPr>
                <w:sz w:val="4"/>
                <w:szCs w:val="4"/>
              </w:rPr>
            </w:pPr>
            <w:r>
              <w:rPr>
                <w:sz w:val="4"/>
                <w:szCs w:val="4"/>
              </w:rPr>
            </w:r>
          </w:p>
        </w:tc>
      </w:tr>
      <w:tr>
        <w:trPr/>
        <w:tc>
          <w:tcPr>
            <w:tcW w:w="2818" w:type="dxa"/>
            <w:tcBorders/>
          </w:tcPr>
          <w:p>
            <w:pPr>
              <w:pStyle w:val="TableContents"/>
              <w:bidi w:val="0"/>
              <w:spacing w:before="0" w:after="283"/>
              <w:jc w:val="left"/>
              <w:rPr>
                <w:b/>
              </w:rPr>
            </w:pPr>
            <w:r>
              <w:rPr>
                <w:b/>
              </w:rPr>
              <w:t>Pricing Date:</w:t>
            </w:r>
          </w:p>
        </w:tc>
        <w:tc>
          <w:tcPr>
            <w:tcW w:w="120" w:type="dxa"/>
            <w:tcBorders/>
            <w:vAlign w:val="bottom"/>
          </w:tcPr>
          <w:p>
            <w:pPr>
              <w:pStyle w:val="TableContents"/>
              <w:bidi w:val="0"/>
              <w:spacing w:before="0" w:after="283"/>
              <w:jc w:val="left"/>
              <w:rPr/>
            </w:pPr>
            <w:r>
              <w:rPr/>
              <w:t>  </w:t>
            </w:r>
          </w:p>
        </w:tc>
        <w:tc>
          <w:tcPr>
            <w:tcW w:w="7267" w:type="dxa"/>
            <w:gridSpan w:val="3"/>
            <w:tcBorders/>
          </w:tcPr>
          <w:p>
            <w:pPr>
              <w:pStyle w:val="TableContents"/>
              <w:bidi w:val="0"/>
              <w:spacing w:before="0" w:after="283"/>
              <w:jc w:val="left"/>
              <w:rPr/>
            </w:pPr>
            <w:r>
              <w:rPr/>
              <w:t>June 1, 2026</w:t>
            </w:r>
          </w:p>
        </w:tc>
      </w:tr>
      <w:tr>
        <w:trPr>
          <w:trHeight w:val="120" w:hRule="atLeast"/>
        </w:trPr>
        <w:tc>
          <w:tcPr>
            <w:tcW w:w="2818" w:type="dxa"/>
            <w:tcBorders/>
            <w:vAlign w:val="center"/>
          </w:tcPr>
          <w:p>
            <w:pPr>
              <w:pStyle w:val="TableContents"/>
              <w:bidi w:val="0"/>
              <w:spacing w:before="0" w:after="283"/>
              <w:jc w:val="left"/>
              <w:rPr>
                <w:sz w:val="4"/>
                <w:szCs w:val="4"/>
              </w:rPr>
            </w:pPr>
            <w:r>
              <w:rPr>
                <w:sz w:val="4"/>
                <w:szCs w:val="4"/>
              </w:rPr>
            </w:r>
          </w:p>
        </w:tc>
        <w:tc>
          <w:tcPr>
            <w:tcW w:w="7387" w:type="dxa"/>
            <w:gridSpan w:val="4"/>
            <w:tcBorders/>
            <w:vAlign w:val="center"/>
          </w:tcPr>
          <w:p>
            <w:pPr>
              <w:pStyle w:val="TableContents"/>
              <w:bidi w:val="0"/>
              <w:spacing w:before="0" w:after="283"/>
              <w:jc w:val="left"/>
              <w:rPr>
                <w:sz w:val="4"/>
                <w:szCs w:val="4"/>
              </w:rPr>
            </w:pPr>
            <w:r>
              <w:rPr>
                <w:sz w:val="4"/>
                <w:szCs w:val="4"/>
              </w:rPr>
            </w:r>
          </w:p>
        </w:tc>
      </w:tr>
      <w:tr>
        <w:trPr/>
        <w:tc>
          <w:tcPr>
            <w:tcW w:w="2818" w:type="dxa"/>
            <w:tcBorders/>
          </w:tcPr>
          <w:p>
            <w:pPr>
              <w:pStyle w:val="TableContents"/>
              <w:bidi w:val="0"/>
              <w:spacing w:before="0" w:after="283"/>
              <w:jc w:val="left"/>
              <w:rPr>
                <w:b/>
              </w:rPr>
            </w:pPr>
            <w:r>
              <w:rPr>
                <w:b/>
              </w:rPr>
              <w:t>Settlement Date:</w:t>
            </w:r>
          </w:p>
        </w:tc>
        <w:tc>
          <w:tcPr>
            <w:tcW w:w="120" w:type="dxa"/>
            <w:tcBorders/>
            <w:vAlign w:val="bottom"/>
          </w:tcPr>
          <w:p>
            <w:pPr>
              <w:pStyle w:val="TableContents"/>
              <w:bidi w:val="0"/>
              <w:spacing w:before="0" w:after="283"/>
              <w:jc w:val="left"/>
              <w:rPr/>
            </w:pPr>
            <w:r>
              <w:rPr/>
              <w:t>  </w:t>
            </w:r>
          </w:p>
        </w:tc>
        <w:tc>
          <w:tcPr>
            <w:tcW w:w="7267" w:type="dxa"/>
            <w:gridSpan w:val="3"/>
            <w:tcBorders/>
          </w:tcPr>
          <w:p>
            <w:pPr>
              <w:pStyle w:val="TableContents"/>
              <w:bidi w:val="0"/>
              <w:spacing w:before="0" w:after="283"/>
              <w:jc w:val="left"/>
              <w:rPr/>
            </w:pPr>
            <w:r>
              <w:rPr/>
              <w:t>June 3, 2026 (T+2)</w:t>
            </w:r>
          </w:p>
        </w:tc>
      </w:tr>
      <w:tr>
        <w:trPr>
          <w:trHeight w:val="120" w:hRule="atLeast"/>
        </w:trPr>
        <w:tc>
          <w:tcPr>
            <w:tcW w:w="2818" w:type="dxa"/>
            <w:tcBorders/>
            <w:vAlign w:val="center"/>
          </w:tcPr>
          <w:p>
            <w:pPr>
              <w:pStyle w:val="TableContents"/>
              <w:bidi w:val="0"/>
              <w:spacing w:before="0" w:after="283"/>
              <w:jc w:val="left"/>
              <w:rPr>
                <w:sz w:val="4"/>
                <w:szCs w:val="4"/>
              </w:rPr>
            </w:pPr>
            <w:r>
              <w:rPr>
                <w:sz w:val="4"/>
                <w:szCs w:val="4"/>
              </w:rPr>
            </w:r>
          </w:p>
        </w:tc>
        <w:tc>
          <w:tcPr>
            <w:tcW w:w="3694" w:type="dxa"/>
            <w:gridSpan w:val="2"/>
            <w:tcBorders/>
            <w:vAlign w:val="center"/>
          </w:tcPr>
          <w:p>
            <w:pPr>
              <w:pStyle w:val="TableContents"/>
              <w:bidi w:val="0"/>
              <w:spacing w:before="0" w:after="283"/>
              <w:jc w:val="left"/>
              <w:rPr>
                <w:sz w:val="4"/>
                <w:szCs w:val="4"/>
              </w:rPr>
            </w:pPr>
            <w:r>
              <w:rPr>
                <w:sz w:val="4"/>
                <w:szCs w:val="4"/>
              </w:rPr>
            </w:r>
          </w:p>
        </w:tc>
        <w:tc>
          <w:tcPr>
            <w:tcW w:w="3693" w:type="dxa"/>
            <w:gridSpan w:val="2"/>
            <w:tcBorders/>
            <w:vAlign w:val="center"/>
          </w:tcPr>
          <w:p>
            <w:pPr>
              <w:pStyle w:val="TableContents"/>
              <w:bidi w:val="0"/>
              <w:spacing w:before="0" w:after="283"/>
              <w:jc w:val="left"/>
              <w:rPr>
                <w:sz w:val="4"/>
                <w:szCs w:val="4"/>
              </w:rPr>
            </w:pPr>
            <w:r>
              <w:rPr>
                <w:sz w:val="4"/>
                <w:szCs w:val="4"/>
              </w:rPr>
            </w:r>
          </w:p>
        </w:tc>
      </w:tr>
      <w:tr>
        <w:trPr/>
        <w:tc>
          <w:tcPr>
            <w:tcW w:w="2818" w:type="dxa"/>
            <w:tcBorders/>
          </w:tcPr>
          <w:p>
            <w:pPr>
              <w:pStyle w:val="TableContents"/>
              <w:bidi w:val="0"/>
              <w:spacing w:before="0" w:after="283"/>
              <w:jc w:val="left"/>
              <w:rPr>
                <w:b/>
              </w:rPr>
            </w:pPr>
            <w:r>
              <w:rPr>
                <w:b/>
              </w:rPr>
              <w:t>CUSIP / ISIN:</w:t>
            </w:r>
          </w:p>
        </w:tc>
        <w:tc>
          <w:tcPr>
            <w:tcW w:w="120" w:type="dxa"/>
            <w:tcBorders/>
            <w:vAlign w:val="bottom"/>
          </w:tcPr>
          <w:p>
            <w:pPr>
              <w:pStyle w:val="TableContents"/>
              <w:bidi w:val="0"/>
              <w:spacing w:before="0" w:after="283"/>
              <w:jc w:val="left"/>
              <w:rPr/>
            </w:pPr>
            <w:r>
              <w:rPr/>
              <w:t>  </w:t>
            </w:r>
          </w:p>
        </w:tc>
        <w:tc>
          <w:tcPr>
            <w:tcW w:w="3574" w:type="dxa"/>
            <w:tcBorders/>
          </w:tcPr>
          <w:p>
            <w:pPr>
              <w:pStyle w:val="TableContents"/>
              <w:bidi w:val="0"/>
              <w:spacing w:before="0" w:after="283"/>
              <w:jc w:val="left"/>
              <w:rPr/>
            </w:pPr>
            <w:r>
              <w:rPr/>
              <w:t>209111 GQ0 / US209111GQ07</w:t>
            </w:r>
          </w:p>
        </w:tc>
        <w:tc>
          <w:tcPr>
            <w:tcW w:w="120"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pPr>
            <w:r>
              <w:rPr/>
              <w:t>209111 GR8 / US209111GR89</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004"/>
        <w:gridCol w:w="120"/>
        <w:gridCol w:w="3589"/>
        <w:gridCol w:w="120"/>
        <w:gridCol w:w="3372"/>
      </w:tblGrid>
      <w:tr>
        <w:trPr/>
        <w:tc>
          <w:tcPr>
            <w:tcW w:w="30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8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72" w:type="dxa"/>
            <w:tcBorders/>
            <w:vAlign w:val="center"/>
          </w:tcPr>
          <w:p>
            <w:pPr>
              <w:pStyle w:val="TableContents"/>
              <w:bidi w:val="0"/>
              <w:spacing w:before="0" w:after="283"/>
              <w:jc w:val="left"/>
              <w:rPr>
                <w:sz w:val="4"/>
                <w:szCs w:val="4"/>
              </w:rPr>
            </w:pPr>
            <w:r>
              <w:rPr>
                <w:sz w:val="4"/>
                <w:szCs w:val="4"/>
              </w:rPr>
            </w:r>
          </w:p>
        </w:tc>
      </w:tr>
      <w:tr>
        <w:trPr/>
        <w:tc>
          <w:tcPr>
            <w:tcW w:w="3004" w:type="dxa"/>
            <w:tcBorders/>
          </w:tcPr>
          <w:p>
            <w:pPr>
              <w:pStyle w:val="TableContents"/>
              <w:bidi w:val="0"/>
              <w:spacing w:before="0" w:after="283"/>
              <w:jc w:val="left"/>
              <w:rPr>
                <w:b/>
              </w:rPr>
            </w:pPr>
            <w:r>
              <w:rPr>
                <w:b/>
              </w:rPr>
              <w:t>Joint Book-Running Managers:</w:t>
            </w:r>
          </w:p>
        </w:tc>
        <w:tc>
          <w:tcPr>
            <w:tcW w:w="120" w:type="dxa"/>
            <w:tcBorders/>
            <w:vAlign w:val="bottom"/>
          </w:tcPr>
          <w:p>
            <w:pPr>
              <w:pStyle w:val="TableContents"/>
              <w:bidi w:val="0"/>
              <w:spacing w:before="0" w:after="283"/>
              <w:jc w:val="left"/>
              <w:rPr/>
            </w:pPr>
            <w:r>
              <w:rPr/>
              <w:t>  </w:t>
            </w:r>
          </w:p>
        </w:tc>
        <w:tc>
          <w:tcPr>
            <w:tcW w:w="3589"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Mizuho Securities USA LLC</w:t>
            </w:r>
          </w:p>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 xml:space="preserve">Wells Fargo Securities, LLC </w:t>
              <w:br/>
              <w:t>KeyBanc Capital Markets Inc.</w:t>
            </w:r>
          </w:p>
          <w:p>
            <w:pPr>
              <w:pStyle w:val="TableContents"/>
              <w:bidi w:val="0"/>
              <w:spacing w:before="0" w:after="0"/>
              <w:jc w:val="left"/>
              <w:rPr>
                <w:rFonts w:ascii="Times New Roman" w:hAnsi="Times New Roman"/>
                <w:sz w:val="20"/>
              </w:rPr>
            </w:pPr>
            <w:r>
              <w:rPr>
                <w:rFonts w:ascii="Times New Roman" w:hAnsi="Times New Roman"/>
                <w:sz w:val="20"/>
              </w:rPr>
              <w:t>Scotia Capital (USA) Inc.</w:t>
            </w:r>
          </w:p>
          <w:p>
            <w:pPr>
              <w:pStyle w:val="TableContents"/>
              <w:bidi w:val="0"/>
              <w:spacing w:before="0" w:after="20"/>
              <w:jc w:val="left"/>
              <w:rPr>
                <w:rFonts w:ascii="Times New Roman" w:hAnsi="Times New Roman"/>
                <w:sz w:val="20"/>
              </w:rPr>
            </w:pPr>
            <w:r>
              <w:rPr>
                <w:rFonts w:ascii="Times New Roman" w:hAnsi="Times New Roman"/>
                <w:sz w:val="20"/>
              </w:rPr>
              <w:t xml:space="preserve">U.S. Bancorp Investments, Inc. </w:t>
            </w:r>
          </w:p>
        </w:tc>
        <w:tc>
          <w:tcPr>
            <w:tcW w:w="120" w:type="dxa"/>
            <w:tcBorders/>
            <w:vAlign w:val="bottom"/>
          </w:tcPr>
          <w:p>
            <w:pPr>
              <w:pStyle w:val="TableContents"/>
              <w:bidi w:val="0"/>
              <w:spacing w:before="0" w:after="283"/>
              <w:jc w:val="left"/>
              <w:rPr/>
            </w:pPr>
            <w:r>
              <w:rPr/>
              <w:t>  </w:t>
            </w:r>
          </w:p>
        </w:tc>
        <w:tc>
          <w:tcPr>
            <w:tcW w:w="3372" w:type="dxa"/>
            <w:tcBorders/>
          </w:tcPr>
          <w:p>
            <w:pPr>
              <w:pStyle w:val="TableContents"/>
              <w:bidi w:val="0"/>
              <w:spacing w:before="0" w:after="283"/>
              <w:jc w:val="left"/>
              <w:rPr>
                <w:sz w:val="4"/>
                <w:szCs w:val="4"/>
              </w:rPr>
            </w:pPr>
            <w:r>
              <w:rPr>
                <w:sz w:val="4"/>
                <w:szCs w:val="4"/>
              </w:rPr>
            </w:r>
          </w:p>
        </w:tc>
      </w:tr>
      <w:tr>
        <w:trPr>
          <w:trHeight w:val="120" w:hRule="atLeast"/>
        </w:trPr>
        <w:tc>
          <w:tcPr>
            <w:tcW w:w="3004"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c>
          <w:tcPr>
            <w:tcW w:w="3492" w:type="dxa"/>
            <w:gridSpan w:val="2"/>
            <w:tcBorders/>
            <w:vAlign w:val="center"/>
          </w:tcPr>
          <w:p>
            <w:pPr>
              <w:pStyle w:val="TableContents"/>
              <w:bidi w:val="0"/>
              <w:spacing w:before="0" w:after="283"/>
              <w:jc w:val="left"/>
              <w:rPr>
                <w:sz w:val="4"/>
                <w:szCs w:val="4"/>
              </w:rPr>
            </w:pPr>
            <w:r>
              <w:rPr>
                <w:sz w:val="4"/>
                <w:szCs w:val="4"/>
              </w:rPr>
            </w:r>
          </w:p>
        </w:tc>
      </w:tr>
      <w:tr>
        <w:trPr/>
        <w:tc>
          <w:tcPr>
            <w:tcW w:w="3004" w:type="dxa"/>
            <w:tcBorders/>
          </w:tcPr>
          <w:p>
            <w:pPr>
              <w:pStyle w:val="TableContents"/>
              <w:bidi w:val="0"/>
              <w:spacing w:before="0" w:after="283"/>
              <w:jc w:val="left"/>
              <w:rPr>
                <w:b/>
              </w:rPr>
            </w:pPr>
            <w:r>
              <w:rPr>
                <w:b/>
              </w:rPr>
              <w:t>Co-Managers:</w:t>
            </w:r>
          </w:p>
        </w:tc>
        <w:tc>
          <w:tcPr>
            <w:tcW w:w="120" w:type="dxa"/>
            <w:tcBorders/>
            <w:vAlign w:val="bottom"/>
          </w:tcPr>
          <w:p>
            <w:pPr>
              <w:pStyle w:val="TableContents"/>
              <w:bidi w:val="0"/>
              <w:spacing w:before="0" w:after="283"/>
              <w:jc w:val="left"/>
              <w:rPr/>
            </w:pPr>
            <w:r>
              <w:rPr/>
              <w:t>  </w:t>
            </w:r>
          </w:p>
        </w:tc>
        <w:tc>
          <w:tcPr>
            <w:tcW w:w="3589" w:type="dxa"/>
            <w:tcBorders/>
          </w:tcPr>
          <w:p>
            <w:pPr>
              <w:pStyle w:val="TableContents"/>
              <w:bidi w:val="0"/>
              <w:spacing w:before="0" w:after="0"/>
              <w:jc w:val="left"/>
              <w:rPr>
                <w:rFonts w:ascii="Times New Roman" w:hAnsi="Times New Roman"/>
                <w:sz w:val="20"/>
              </w:rPr>
            </w:pPr>
            <w:r>
              <w:rPr>
                <w:rFonts w:ascii="Times New Roman" w:hAnsi="Times New Roman"/>
                <w:sz w:val="20"/>
              </w:rPr>
              <w:t>Blaylock Van, LLC</w:t>
            </w:r>
          </w:p>
          <w:p>
            <w:pPr>
              <w:pStyle w:val="TableContents"/>
              <w:bidi w:val="0"/>
              <w:spacing w:before="0" w:after="0"/>
              <w:jc w:val="left"/>
              <w:rPr>
                <w:rFonts w:ascii="Times New Roman" w:hAnsi="Times New Roman"/>
                <w:sz w:val="20"/>
              </w:rPr>
            </w:pPr>
            <w:r>
              <w:rPr>
                <w:rFonts w:ascii="Times New Roman" w:hAnsi="Times New Roman"/>
                <w:sz w:val="20"/>
              </w:rPr>
              <w:t>Loop Capital Markets LLC</w:t>
            </w:r>
          </w:p>
          <w:p>
            <w:pPr>
              <w:pStyle w:val="TableContents"/>
              <w:bidi w:val="0"/>
              <w:spacing w:before="0" w:after="20"/>
              <w:jc w:val="left"/>
              <w:rPr>
                <w:rFonts w:ascii="Times New Roman" w:hAnsi="Times New Roman"/>
                <w:sz w:val="20"/>
              </w:rPr>
            </w:pPr>
            <w:r>
              <w:rPr>
                <w:rFonts w:ascii="Times New Roman" w:hAnsi="Times New Roman"/>
                <w:sz w:val="20"/>
              </w:rPr>
              <w:t>Siebert Williams Shank &amp; Co., LLC</w:t>
            </w:r>
          </w:p>
        </w:tc>
        <w:tc>
          <w:tcPr>
            <w:tcW w:w="120" w:type="dxa"/>
            <w:tcBorders/>
            <w:vAlign w:val="bottom"/>
          </w:tcPr>
          <w:p>
            <w:pPr>
              <w:pStyle w:val="TableContents"/>
              <w:bidi w:val="0"/>
              <w:spacing w:before="0" w:after="283"/>
              <w:jc w:val="left"/>
              <w:rPr/>
            </w:pPr>
            <w:r>
              <w:rPr/>
              <w:t>  </w:t>
            </w:r>
          </w:p>
        </w:tc>
        <w:tc>
          <w:tcPr>
            <w:tcW w:w="337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A securities rating is not a recommendation to buy, sell or hold securities and may be subject to revision or withdrawal at any time.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J.P. Morgan Securities LLC collect at 1-212-834-4533, Mizuho Securities USA LLC toll-free at 1-866-271-7403, PNC Capital Markets LLC toll-free at 1-855-881-0697 or Wells Fargo Securities, LLC toll-free at 1-800-645-3751.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867</Words>
  <Characters>4343</Characters>
  <CharactersWithSpaces>5228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