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4518d8k.htm"/>
      <w:bookmarkStart w:id="1" w:name="ksd14451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w:t>
      </w:r>
    </w:p>
    <w:p>
      <w:pPr>
        <w:pStyle w:val="TextBody"/>
        <w:bidi w:val="0"/>
        <w:spacing w:before="0" w:after="0"/>
        <w:jc w:val="center"/>
        <w:rPr>
          <w:rFonts w:ascii="Times New Roman" w:hAnsi="Times New Roman"/>
          <w:b/>
          <w:spacing w:val="0"/>
          <w:sz w:val="24"/>
        </w:rPr>
      </w:pPr>
      <w:r>
        <w:rPr>
          <w:rFonts w:ascii="Times New Roman" w:hAnsi="Times New Roman"/>
          <w:b/>
          <w:spacing w:val="0"/>
          <w:sz w:val="24"/>
        </w:rPr>
        <w:t>Ac</w:t>
      </w:r>
    </w:p>
    <w:p>
      <w:pPr>
        <w:pStyle w:val="TextBody"/>
        <w:bidi w:val="0"/>
        <w:spacing w:before="0" w:after="0"/>
        <w:jc w:val="center"/>
        <w:rPr>
          <w:rFonts w:ascii="Times New Roman" w:hAnsi="Times New Roman"/>
          <w:b/>
          <w:sz w:val="24"/>
        </w:rPr>
      </w:pPr>
      <w:r>
        <w:rPr>
          <w:rFonts w:ascii="Times New Roman" w:hAnsi="Times New Roman"/>
          <w:b/>
          <w:sz w:val="24"/>
        </w:rPr>
        <w:t xml:space="preserve">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September 4,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Consolidated Edison, Inc</w:t>
      </w:r>
    </w:p>
    <w:p>
      <w:pPr>
        <w:pStyle w:val="TextBody"/>
        <w:bidi w:val="0"/>
        <w:spacing w:before="240" w:after="0"/>
        <w:jc w:val="center"/>
        <w:rPr>
          <w:rFonts w:ascii="Times New Roman" w:hAnsi="Times New Roman"/>
          <w:b/>
          <w:sz w:val="48"/>
        </w:rPr>
      </w:pPr>
      <w:r>
        <w:rPr>
          <w:rFonts w:ascii="Times New Roman" w:hAnsi="Times New Roman"/>
          <w:b/>
          <w:sz w:val="48"/>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b/>
                <w:spacing w:val="0"/>
              </w:rPr>
            </w:pPr>
            <w:r>
              <w:rPr>
                <w:b/>
                <w:spacing w:val="0"/>
              </w:rPr>
              <w:t>New York</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b/>
                <w:spacing w:val="0"/>
              </w:rPr>
            </w:pPr>
            <w:r>
              <w:rPr>
                <w:b/>
                <w:spacing w:val="0"/>
              </w:rPr>
              <w:t>1-14514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13-3965100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4 Irving Place, 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10003</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(212) 460-4600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Consolidated Edison Company of New York,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b/>
                <w:spacing w:val="0"/>
              </w:rPr>
            </w:pPr>
            <w:r>
              <w:rPr>
                <w:b/>
                <w:spacing w:val="0"/>
              </w:rPr>
              <w:t>New York</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b/>
                <w:spacing w:val="0"/>
              </w:rPr>
            </w:pPr>
            <w:r>
              <w:rPr>
                <w:b/>
                <w:spacing w:val="0"/>
              </w:rPr>
              <w:t>1-1217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13-5009340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4 Irving Place, 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10003</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(212) 460-4600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6555" w:type="dxa"/>
        <w:jc w:val="left"/>
        <w:tblInd w:w="0" w:type="dxa"/>
        <w:tblLayout w:type="fixed"/>
        <w:tblCellMar>
          <w:top w:w="0" w:type="dxa"/>
          <w:left w:w="0" w:type="dxa"/>
          <w:bottom w:w="0" w:type="dxa"/>
          <w:right w:w="0" w:type="dxa"/>
        </w:tblCellMar>
      </w:tblPr>
      <w:tblGrid>
        <w:gridCol w:w="3170"/>
        <w:gridCol w:w="60"/>
        <w:gridCol w:w="605"/>
        <w:gridCol w:w="60"/>
        <w:gridCol w:w="2660"/>
      </w:tblGrid>
      <w:tr>
        <w:trPr/>
        <w:tc>
          <w:tcPr>
            <w:tcW w:w="3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70" w:type="dxa"/>
            <w:tcBorders/>
            <w:vAlign w:val="center"/>
          </w:tcPr>
          <w:p>
            <w:pPr>
              <w:pStyle w:val="TableContents"/>
              <w:bidi w:val="0"/>
              <w:spacing w:before="0" w:after="283"/>
              <w:jc w:val="center"/>
              <w:rPr/>
            </w:pPr>
            <w:r>
              <w:rPr/>
              <w:t>Consolidated Edison, Inc.,</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ED</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70" w:type="dxa"/>
            <w:tcBorders/>
            <w:vAlign w:val="center"/>
          </w:tcPr>
          <w:p>
            <w:pPr>
              <w:pStyle w:val="TableContents"/>
              <w:bidi w:val="0"/>
              <w:spacing w:before="0" w:after="283"/>
              <w:jc w:val="center"/>
              <w:rPr/>
            </w:pPr>
            <w:r>
              <w:rPr/>
              <w:t>Common Shares ($.10 par value)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TO BE INCLUDED IN THE REPORT </w:t>
      </w:r>
    </w:p>
    <w:p>
      <w:pPr>
        <w:pStyle w:val="TextBody"/>
        <w:bidi w:val="0"/>
        <w:spacing w:before="24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4, 2026, Consolidated Edison Company of New York, Inc. (CECONY), the New York State Department of Public Service (NYSDPS) and other parties entered into a joint proposal for a CECONY steam rate plan for the three-year period November 1, 2026 through October 31, 2029 (the Joint Proposal). The Joint Proposal is subject to approval by the New York State Public Service Commission (NYSPSC). The following table contains a summary of the Joint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6"/>
        <w:gridCol w:w="120"/>
        <w:gridCol w:w="7589"/>
      </w:tblGrid>
      <w:tr>
        <w:trPr/>
        <w:tc>
          <w:tcPr>
            <w:tcW w:w="24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89" w:type="dxa"/>
            <w:tcBorders/>
            <w:vAlign w:val="center"/>
          </w:tcPr>
          <w:p>
            <w:pPr>
              <w:pStyle w:val="TableContents"/>
              <w:bidi w:val="0"/>
              <w:spacing w:before="0" w:after="283"/>
              <w:jc w:val="left"/>
              <w:rPr>
                <w:sz w:val="4"/>
                <w:szCs w:val="4"/>
              </w:rPr>
            </w:pPr>
            <w:r>
              <w:rPr>
                <w:sz w:val="4"/>
                <w:szCs w:val="4"/>
              </w:rPr>
            </w:r>
          </w:p>
        </w:tc>
      </w:tr>
      <w:tr>
        <w:trPr/>
        <w:tc>
          <w:tcPr>
            <w:tcW w:w="2496" w:type="dxa"/>
            <w:tcBorders>
              <w:bottom w:val="single" w:sz="8" w:space="0" w:color="4C4C4C"/>
            </w:tcBorders>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CECONY – Steam</w:t>
            </w:r>
          </w:p>
          <w:p>
            <w:pPr>
              <w:pStyle w:val="TableContents"/>
              <w:bidi w:val="0"/>
              <w:spacing w:before="0" w:after="20"/>
              <w:jc w:val="left"/>
              <w:rPr/>
            </w:pPr>
            <w:r>
              <w:rPr/>
              <w:t> </w:t>
            </w:r>
          </w:p>
        </w:tc>
        <w:tc>
          <w:tcPr>
            <w:tcW w:w="120" w:type="dxa"/>
            <w:tcBorders>
              <w:bottom w:val="single" w:sz="8" w:space="0" w:color="4C4C4C"/>
            </w:tcBorders>
            <w:tcMar>
              <w:bottom w:w="28" w:type="dxa"/>
            </w:tcMar>
            <w:vAlign w:val="center"/>
          </w:tcPr>
          <w:p>
            <w:pPr>
              <w:pStyle w:val="TableContents"/>
              <w:bidi w:val="0"/>
              <w:spacing w:before="0" w:after="283"/>
              <w:jc w:val="left"/>
              <w:rPr/>
            </w:pPr>
            <w:r>
              <w:rPr/>
              <w:t>  </w:t>
            </w:r>
          </w:p>
        </w:tc>
        <w:tc>
          <w:tcPr>
            <w:tcW w:w="7589" w:type="dxa"/>
            <w:tcBorders>
              <w:bottom w:val="single" w:sz="8" w:space="0" w:color="4C4C4C"/>
            </w:tcBorders>
            <w:tcMar>
              <w:bottom w:w="28" w:type="dxa"/>
            </w:tcMar>
            <w:vAlign w:val="center"/>
          </w:tcPr>
          <w:p>
            <w:pPr>
              <w:pStyle w:val="TableContents"/>
              <w:bidi w:val="0"/>
              <w:spacing w:before="0" w:after="283"/>
              <w:jc w:val="left"/>
              <w:rPr/>
            </w:pPr>
            <w:r>
              <w:rPr/>
              <w:t> </w:t>
            </w:r>
          </w:p>
        </w:tc>
      </w:tr>
      <w:tr>
        <w:trPr/>
        <w:tc>
          <w:tcPr>
            <w:tcW w:w="2496" w:type="dxa"/>
            <w:tcBorders>
              <w:bottom w:val="single" w:sz="8" w:space="0" w:color="4C4C4C"/>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Effective period</w:t>
            </w:r>
          </w:p>
          <w:p>
            <w:pPr>
              <w:pStyle w:val="TableContents"/>
              <w:bidi w:val="0"/>
              <w:spacing w:before="0" w:after="20"/>
              <w:jc w:val="left"/>
              <w:rPr/>
            </w:pPr>
            <w:r>
              <w:rPr/>
              <w:t> </w:t>
            </w:r>
          </w:p>
        </w:tc>
        <w:tc>
          <w:tcPr>
            <w:tcW w:w="120" w:type="dxa"/>
            <w:tcBorders>
              <w:bottom w:val="single" w:sz="8" w:space="0" w:color="4C4C4C"/>
            </w:tcBorders>
            <w:tcMar>
              <w:bottom w:w="28" w:type="dxa"/>
            </w:tcMar>
            <w:vAlign w:val="center"/>
          </w:tcPr>
          <w:p>
            <w:pPr>
              <w:pStyle w:val="TableContents"/>
              <w:bidi w:val="0"/>
              <w:spacing w:before="0" w:after="283"/>
              <w:jc w:val="left"/>
              <w:rPr/>
            </w:pPr>
            <w:r>
              <w:rPr/>
              <w:t>  </w:t>
            </w:r>
          </w:p>
        </w:tc>
        <w:tc>
          <w:tcPr>
            <w:tcW w:w="7589" w:type="dxa"/>
            <w:tcBorders>
              <w:bottom w:val="single" w:sz="8" w:space="0" w:color="4C4C4C"/>
            </w:tcBorders>
            <w:tcMar>
              <w:bottom w:w="28" w:type="dxa"/>
            </w:tcMar>
            <w:vAlign w:val="center"/>
          </w:tcPr>
          <w:p>
            <w:pPr>
              <w:pStyle w:val="TableContents"/>
              <w:bidi w:val="0"/>
              <w:spacing w:before="0" w:after="283"/>
              <w:jc w:val="left"/>
              <w:rPr/>
            </w:pPr>
            <w:r>
              <w:rPr/>
              <w:t>November 2026 – October 2029</w:t>
            </w:r>
          </w:p>
        </w:tc>
      </w:tr>
      <w:tr>
        <w:trPr/>
        <w:tc>
          <w:tcPr>
            <w:tcW w:w="2496" w:type="dxa"/>
            <w:tcBorders>
              <w:bottom w:val="single" w:sz="8" w:space="0" w:color="4C4C4C"/>
            </w:tcBorders>
            <w:tcMar>
              <w:bottom w:w="28" w:type="dxa"/>
            </w:tcMar>
            <w:vAlign w:val="center"/>
          </w:tcPr>
          <w:p>
            <w:pPr>
              <w:pStyle w:val="TableContents"/>
              <w:bidi w:val="0"/>
              <w:spacing w:before="0" w:after="283"/>
              <w:jc w:val="left"/>
              <w:rPr/>
            </w:pPr>
            <w:r>
              <w:rPr/>
              <w:t>Base rate changes</w:t>
            </w:r>
          </w:p>
        </w:tc>
        <w:tc>
          <w:tcPr>
            <w:tcW w:w="120" w:type="dxa"/>
            <w:tcBorders>
              <w:bottom w:val="single" w:sz="8" w:space="0" w:color="4C4C4C"/>
            </w:tcBorders>
            <w:tcMar>
              <w:bottom w:w="28" w:type="dxa"/>
            </w:tcMar>
            <w:vAlign w:val="center"/>
          </w:tcPr>
          <w:p>
            <w:pPr>
              <w:pStyle w:val="TableContents"/>
              <w:bidi w:val="0"/>
              <w:spacing w:before="0" w:after="283"/>
              <w:jc w:val="left"/>
              <w:rPr/>
            </w:pPr>
            <w:r>
              <w:rPr/>
              <w:t>  </w:t>
            </w:r>
          </w:p>
        </w:tc>
        <w:tc>
          <w:tcPr>
            <w:tcW w:w="7589" w:type="dxa"/>
            <w:tcBorders>
              <w:bottom w:val="single" w:sz="8" w:space="0" w:color="4C4C4C"/>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Yr. 1 – $13 million (a)</w:t>
            </w:r>
          </w:p>
          <w:p>
            <w:pPr>
              <w:pStyle w:val="TableContents"/>
              <w:bidi w:val="0"/>
              <w:spacing w:before="0" w:after="0"/>
              <w:jc w:val="left"/>
              <w:rPr>
                <w:rFonts w:ascii="Times New Roman" w:hAnsi="Times New Roman"/>
                <w:sz w:val="20"/>
              </w:rPr>
            </w:pPr>
            <w:r>
              <w:rPr>
                <w:rFonts w:ascii="Times New Roman" w:hAnsi="Times New Roman"/>
                <w:sz w:val="20"/>
              </w:rPr>
              <w:t>Yr. 2 – $42 million (a)</w:t>
            </w:r>
          </w:p>
          <w:p>
            <w:pPr>
              <w:pStyle w:val="TableContents"/>
              <w:bidi w:val="0"/>
              <w:spacing w:before="0" w:after="0"/>
              <w:jc w:val="left"/>
              <w:rPr>
                <w:rFonts w:ascii="Times New Roman" w:hAnsi="Times New Roman"/>
                <w:sz w:val="20"/>
              </w:rPr>
            </w:pPr>
            <w:r>
              <w:rPr>
                <w:rFonts w:ascii="Times New Roman" w:hAnsi="Times New Roman"/>
                <w:sz w:val="20"/>
              </w:rPr>
              <w:t>Yr. 3 – $39 million (a)</w:t>
            </w:r>
          </w:p>
          <w:p>
            <w:pPr>
              <w:pStyle w:val="TableContents"/>
              <w:bidi w:val="0"/>
              <w:spacing w:before="0" w:after="20"/>
              <w:jc w:val="left"/>
              <w:rPr/>
            </w:pPr>
            <w:r>
              <w:rPr/>
              <w:t> </w:t>
            </w:r>
          </w:p>
        </w:tc>
      </w:tr>
      <w:tr>
        <w:trPr/>
        <w:tc>
          <w:tcPr>
            <w:tcW w:w="2496" w:type="dxa"/>
            <w:tcBorders>
              <w:bottom w:val="single" w:sz="8" w:space="0" w:color="4C4C4C"/>
            </w:tcBorders>
            <w:tcMar>
              <w:bottom w:w="28" w:type="dxa"/>
            </w:tcMar>
            <w:vAlign w:val="center"/>
          </w:tcPr>
          <w:p>
            <w:pPr>
              <w:pStyle w:val="TableContents"/>
              <w:bidi w:val="0"/>
              <w:spacing w:before="0" w:after="283"/>
              <w:jc w:val="left"/>
              <w:rPr/>
            </w:pPr>
            <w:r>
              <w:rPr/>
              <w:t>Capital expenditures</w:t>
            </w:r>
          </w:p>
        </w:tc>
        <w:tc>
          <w:tcPr>
            <w:tcW w:w="120" w:type="dxa"/>
            <w:tcBorders>
              <w:bottom w:val="single" w:sz="8" w:space="0" w:color="4C4C4C"/>
            </w:tcBorders>
            <w:tcMar>
              <w:bottom w:w="28" w:type="dxa"/>
            </w:tcMar>
            <w:vAlign w:val="center"/>
          </w:tcPr>
          <w:p>
            <w:pPr>
              <w:pStyle w:val="TableContents"/>
              <w:bidi w:val="0"/>
              <w:spacing w:before="0" w:after="283"/>
              <w:jc w:val="left"/>
              <w:rPr/>
            </w:pPr>
            <w:r>
              <w:rPr/>
              <w:t>  </w:t>
            </w:r>
          </w:p>
        </w:tc>
        <w:tc>
          <w:tcPr>
            <w:tcW w:w="7589" w:type="dxa"/>
            <w:tcBorders>
              <w:bottom w:val="single" w:sz="8" w:space="0" w:color="4C4C4C"/>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Yr. 1 – $ 143 million</w:t>
            </w:r>
          </w:p>
          <w:p>
            <w:pPr>
              <w:pStyle w:val="TableContents"/>
              <w:bidi w:val="0"/>
              <w:spacing w:before="0" w:after="0"/>
              <w:jc w:val="left"/>
              <w:rPr>
                <w:rFonts w:ascii="Times New Roman" w:hAnsi="Times New Roman"/>
                <w:sz w:val="20"/>
              </w:rPr>
            </w:pPr>
            <w:r>
              <w:rPr>
                <w:rFonts w:ascii="Times New Roman" w:hAnsi="Times New Roman"/>
                <w:sz w:val="20"/>
              </w:rPr>
              <w:t>Yr. 2 – $ 127 million</w:t>
            </w:r>
          </w:p>
          <w:p>
            <w:pPr>
              <w:pStyle w:val="TableContents"/>
              <w:bidi w:val="0"/>
              <w:spacing w:before="0" w:after="0"/>
              <w:jc w:val="left"/>
              <w:rPr>
                <w:rFonts w:ascii="Times New Roman" w:hAnsi="Times New Roman"/>
                <w:sz w:val="20"/>
              </w:rPr>
            </w:pPr>
            <w:r>
              <w:rPr>
                <w:rFonts w:ascii="Times New Roman" w:hAnsi="Times New Roman"/>
                <w:sz w:val="20"/>
              </w:rPr>
              <w:t>Yr. 3 – $ 126 million</w:t>
            </w:r>
          </w:p>
          <w:p>
            <w:pPr>
              <w:pStyle w:val="TableContents"/>
              <w:bidi w:val="0"/>
              <w:spacing w:before="0" w:after="20"/>
              <w:jc w:val="left"/>
              <w:rPr/>
            </w:pPr>
            <w:r>
              <w:rPr/>
              <w:t> </w:t>
            </w:r>
          </w:p>
        </w:tc>
      </w:tr>
      <w:tr>
        <w:trPr/>
        <w:tc>
          <w:tcPr>
            <w:tcW w:w="2496" w:type="dxa"/>
            <w:tcBorders>
              <w:bottom w:val="single" w:sz="8" w:space="0" w:color="4C4C4C"/>
            </w:tcBorders>
            <w:tcMar>
              <w:bottom w:w="28" w:type="dxa"/>
            </w:tcMar>
            <w:vAlign w:val="center"/>
          </w:tcPr>
          <w:p>
            <w:pPr>
              <w:pStyle w:val="TableContents"/>
              <w:bidi w:val="0"/>
              <w:spacing w:before="0" w:after="283"/>
              <w:jc w:val="left"/>
              <w:rPr/>
            </w:pPr>
            <w:r>
              <w:rPr/>
              <w:t>Amortizations to income of net regulatory assets</w:t>
            </w:r>
          </w:p>
        </w:tc>
        <w:tc>
          <w:tcPr>
            <w:tcW w:w="120" w:type="dxa"/>
            <w:tcBorders>
              <w:bottom w:val="single" w:sz="8" w:space="0" w:color="4C4C4C"/>
            </w:tcBorders>
            <w:tcMar>
              <w:bottom w:w="28" w:type="dxa"/>
            </w:tcMar>
            <w:vAlign w:val="center"/>
          </w:tcPr>
          <w:p>
            <w:pPr>
              <w:pStyle w:val="TableContents"/>
              <w:bidi w:val="0"/>
              <w:spacing w:before="0" w:after="283"/>
              <w:jc w:val="left"/>
              <w:rPr/>
            </w:pPr>
            <w:r>
              <w:rPr/>
              <w:t>  </w:t>
            </w:r>
          </w:p>
        </w:tc>
        <w:tc>
          <w:tcPr>
            <w:tcW w:w="7589" w:type="dxa"/>
            <w:tcBorders>
              <w:bottom w:val="single" w:sz="8" w:space="0" w:color="4C4C4C"/>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Yr. 1 – $ 8 million (b)</w:t>
            </w:r>
          </w:p>
          <w:p>
            <w:pPr>
              <w:pStyle w:val="TableContents"/>
              <w:bidi w:val="0"/>
              <w:spacing w:before="0" w:after="0"/>
              <w:jc w:val="left"/>
              <w:rPr>
                <w:rFonts w:ascii="Times New Roman" w:hAnsi="Times New Roman"/>
                <w:sz w:val="20"/>
              </w:rPr>
            </w:pPr>
            <w:r>
              <w:rPr>
                <w:rFonts w:ascii="Times New Roman" w:hAnsi="Times New Roman"/>
                <w:sz w:val="20"/>
              </w:rPr>
              <w:t>Yr. 2 – $ 8 million (b)</w:t>
            </w:r>
          </w:p>
          <w:p>
            <w:pPr>
              <w:pStyle w:val="TableContents"/>
              <w:bidi w:val="0"/>
              <w:spacing w:before="0" w:after="0"/>
              <w:jc w:val="left"/>
              <w:rPr>
                <w:rFonts w:ascii="Times New Roman" w:hAnsi="Times New Roman"/>
                <w:sz w:val="20"/>
              </w:rPr>
            </w:pPr>
            <w:r>
              <w:rPr>
                <w:rFonts w:ascii="Times New Roman" w:hAnsi="Times New Roman"/>
                <w:sz w:val="20"/>
              </w:rPr>
              <w:t>Yr. 3 – $ 8 million (b)</w:t>
            </w:r>
          </w:p>
          <w:p>
            <w:pPr>
              <w:pStyle w:val="TableContents"/>
              <w:bidi w:val="0"/>
              <w:spacing w:before="0" w:after="20"/>
              <w:jc w:val="left"/>
              <w:rPr/>
            </w:pPr>
            <w:r>
              <w:rPr/>
              <w:t> </w:t>
            </w:r>
          </w:p>
        </w:tc>
      </w:tr>
      <w:tr>
        <w:trPr/>
        <w:tc>
          <w:tcPr>
            <w:tcW w:w="2496" w:type="dxa"/>
            <w:tcBorders>
              <w:bottom w:val="single" w:sz="8" w:space="0" w:color="4C4C4C"/>
            </w:tcBorders>
            <w:tcMar>
              <w:bottom w:w="28" w:type="dxa"/>
            </w:tcMar>
            <w:vAlign w:val="center"/>
          </w:tcPr>
          <w:p>
            <w:pPr>
              <w:pStyle w:val="TableContents"/>
              <w:bidi w:val="0"/>
              <w:spacing w:before="0" w:after="283"/>
              <w:jc w:val="left"/>
              <w:rPr/>
            </w:pPr>
            <w:r>
              <w:rPr/>
              <w:t>Weather Normalization Adjustment</w:t>
            </w:r>
          </w:p>
        </w:tc>
        <w:tc>
          <w:tcPr>
            <w:tcW w:w="120" w:type="dxa"/>
            <w:tcBorders>
              <w:bottom w:val="single" w:sz="8" w:space="0" w:color="4C4C4C"/>
            </w:tcBorders>
            <w:tcMar>
              <w:bottom w:w="28" w:type="dxa"/>
            </w:tcMar>
            <w:vAlign w:val="center"/>
          </w:tcPr>
          <w:p>
            <w:pPr>
              <w:pStyle w:val="TableContents"/>
              <w:bidi w:val="0"/>
              <w:spacing w:before="0" w:after="283"/>
              <w:jc w:val="left"/>
              <w:rPr/>
            </w:pPr>
            <w:r>
              <w:rPr/>
              <w:t>  </w:t>
            </w:r>
          </w:p>
        </w:tc>
        <w:tc>
          <w:tcPr>
            <w:tcW w:w="7589" w:type="dxa"/>
            <w:tcBorders>
              <w:bottom w:val="single" w:sz="8" w:space="0" w:color="4C4C4C"/>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Continuation of a weather normalization adjustment to reflect normal weather conditions during the heating season.</w:t>
            </w:r>
          </w:p>
          <w:p>
            <w:pPr>
              <w:pStyle w:val="TableContents"/>
              <w:bidi w:val="0"/>
              <w:spacing w:before="0" w:after="20"/>
              <w:jc w:val="left"/>
              <w:rPr/>
            </w:pPr>
            <w:r>
              <w:rPr/>
              <w:t> </w:t>
            </w:r>
          </w:p>
        </w:tc>
      </w:tr>
      <w:tr>
        <w:trPr/>
        <w:tc>
          <w:tcPr>
            <w:tcW w:w="2496" w:type="dxa"/>
            <w:tcBorders>
              <w:bottom w:val="single" w:sz="8" w:space="0" w:color="4C4C4C"/>
            </w:tcBorders>
            <w:tcMar>
              <w:bottom w:w="28" w:type="dxa"/>
            </w:tcMar>
            <w:vAlign w:val="center"/>
          </w:tcPr>
          <w:p>
            <w:pPr>
              <w:pStyle w:val="TableContents"/>
              <w:bidi w:val="0"/>
              <w:spacing w:before="0" w:after="283"/>
              <w:jc w:val="left"/>
              <w:rPr/>
            </w:pPr>
            <w:r>
              <w:rPr/>
              <w:t>Recoverable energy costs</w:t>
            </w:r>
          </w:p>
        </w:tc>
        <w:tc>
          <w:tcPr>
            <w:tcW w:w="120" w:type="dxa"/>
            <w:tcBorders>
              <w:bottom w:val="single" w:sz="8" w:space="0" w:color="4C4C4C"/>
            </w:tcBorders>
            <w:tcMar>
              <w:bottom w:w="28" w:type="dxa"/>
            </w:tcMar>
            <w:vAlign w:val="center"/>
          </w:tcPr>
          <w:p>
            <w:pPr>
              <w:pStyle w:val="TableContents"/>
              <w:bidi w:val="0"/>
              <w:spacing w:before="0" w:after="283"/>
              <w:jc w:val="left"/>
              <w:rPr/>
            </w:pPr>
            <w:r>
              <w:rPr/>
              <w:t>  </w:t>
            </w:r>
          </w:p>
        </w:tc>
        <w:tc>
          <w:tcPr>
            <w:tcW w:w="7589" w:type="dxa"/>
            <w:tcBorders>
              <w:bottom w:val="single" w:sz="8" w:space="0" w:color="4C4C4C"/>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Continuation of current rate recovery of purchased power and fuel costs.</w:t>
            </w:r>
          </w:p>
          <w:p>
            <w:pPr>
              <w:pStyle w:val="TableContents"/>
              <w:bidi w:val="0"/>
              <w:spacing w:before="0" w:after="20"/>
              <w:jc w:val="left"/>
              <w:rPr/>
            </w:pPr>
            <w:r>
              <w:rPr/>
              <w:t> </w:t>
            </w:r>
          </w:p>
        </w:tc>
      </w:tr>
      <w:tr>
        <w:trPr/>
        <w:tc>
          <w:tcPr>
            <w:tcW w:w="2496" w:type="dxa"/>
            <w:tcBorders>
              <w:bottom w:val="single" w:sz="8" w:space="0" w:color="4C4C4C"/>
            </w:tcBorders>
            <w:tcMar>
              <w:bottom w:w="28" w:type="dxa"/>
            </w:tcMar>
            <w:vAlign w:val="center"/>
          </w:tcPr>
          <w:p>
            <w:pPr>
              <w:pStyle w:val="TableContents"/>
              <w:bidi w:val="0"/>
              <w:spacing w:before="0" w:after="283"/>
              <w:jc w:val="left"/>
              <w:rPr/>
            </w:pPr>
            <w:r>
              <w:rPr/>
              <w:t>Negative revenue adjustments</w:t>
            </w:r>
          </w:p>
        </w:tc>
        <w:tc>
          <w:tcPr>
            <w:tcW w:w="120" w:type="dxa"/>
            <w:tcBorders>
              <w:bottom w:val="single" w:sz="8" w:space="0" w:color="4C4C4C"/>
            </w:tcBorders>
            <w:tcMar>
              <w:bottom w:w="28" w:type="dxa"/>
            </w:tcMar>
            <w:vAlign w:val="center"/>
          </w:tcPr>
          <w:p>
            <w:pPr>
              <w:pStyle w:val="TableContents"/>
              <w:bidi w:val="0"/>
              <w:spacing w:before="0" w:after="283"/>
              <w:jc w:val="left"/>
              <w:rPr/>
            </w:pPr>
            <w:r>
              <w:rPr/>
              <w:t>  </w:t>
            </w:r>
          </w:p>
        </w:tc>
        <w:tc>
          <w:tcPr>
            <w:tcW w:w="7589" w:type="dxa"/>
            <w:tcBorders>
              <w:bottom w:val="single" w:sz="8" w:space="0" w:color="4C4C4C"/>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Potential charges if certain performance targets relating to service, reliability, safety and other matters are not met:</w:t>
            </w:r>
          </w:p>
          <w:p>
            <w:pPr>
              <w:pStyle w:val="TableContents"/>
              <w:bidi w:val="0"/>
              <w:spacing w:before="0" w:after="0"/>
              <w:jc w:val="left"/>
              <w:rPr>
                <w:rFonts w:ascii="Times New Roman" w:hAnsi="Times New Roman"/>
                <w:sz w:val="20"/>
              </w:rPr>
            </w:pPr>
            <w:r>
              <w:rPr>
                <w:rFonts w:ascii="Times New Roman" w:hAnsi="Times New Roman"/>
                <w:sz w:val="20"/>
              </w:rPr>
              <w:t>Yr. 1 – $4.3 million</w:t>
            </w:r>
          </w:p>
          <w:p>
            <w:pPr>
              <w:pStyle w:val="TableContents"/>
              <w:bidi w:val="0"/>
              <w:spacing w:before="0" w:after="0"/>
              <w:jc w:val="left"/>
              <w:rPr>
                <w:rFonts w:ascii="Times New Roman" w:hAnsi="Times New Roman"/>
                <w:sz w:val="20"/>
              </w:rPr>
            </w:pPr>
            <w:r>
              <w:rPr>
                <w:rFonts w:ascii="Times New Roman" w:hAnsi="Times New Roman"/>
                <w:sz w:val="20"/>
              </w:rPr>
              <w:t>Yr. 2 – $4.5 million</w:t>
            </w:r>
          </w:p>
          <w:p>
            <w:pPr>
              <w:pStyle w:val="TableContents"/>
              <w:bidi w:val="0"/>
              <w:spacing w:before="0" w:after="0"/>
              <w:jc w:val="left"/>
              <w:rPr>
                <w:rFonts w:ascii="Times New Roman" w:hAnsi="Times New Roman"/>
                <w:sz w:val="20"/>
              </w:rPr>
            </w:pPr>
            <w:r>
              <w:rPr>
                <w:rFonts w:ascii="Times New Roman" w:hAnsi="Times New Roman"/>
                <w:sz w:val="20"/>
              </w:rPr>
              <w:t>Yr. 3 – $4.7 million</w:t>
            </w:r>
          </w:p>
          <w:p>
            <w:pPr>
              <w:pStyle w:val="TableContents"/>
              <w:bidi w:val="0"/>
              <w:spacing w:before="0" w:after="20"/>
              <w:jc w:val="left"/>
              <w:rPr/>
            </w:pPr>
            <w:r>
              <w:rPr/>
              <w:t> </w:t>
            </w:r>
          </w:p>
        </w:tc>
      </w:tr>
      <w:tr>
        <w:trPr/>
        <w:tc>
          <w:tcPr>
            <w:tcW w:w="2496" w:type="dxa"/>
            <w:tcBorders>
              <w:bottom w:val="single" w:sz="8" w:space="0" w:color="4C4C4C"/>
            </w:tcBorders>
            <w:tcMar>
              <w:bottom w:w="28" w:type="dxa"/>
            </w:tcMar>
            <w:vAlign w:val="center"/>
          </w:tcPr>
          <w:p>
            <w:pPr>
              <w:pStyle w:val="TableContents"/>
              <w:bidi w:val="0"/>
              <w:spacing w:before="0" w:after="283"/>
              <w:jc w:val="left"/>
              <w:rPr/>
            </w:pPr>
            <w:r>
              <w:rPr/>
              <w:t>Regulatory reconciliations (c)</w:t>
            </w:r>
          </w:p>
        </w:tc>
        <w:tc>
          <w:tcPr>
            <w:tcW w:w="120" w:type="dxa"/>
            <w:tcBorders>
              <w:bottom w:val="single" w:sz="8" w:space="0" w:color="4C4C4C"/>
            </w:tcBorders>
            <w:tcMar>
              <w:bottom w:w="28" w:type="dxa"/>
            </w:tcMar>
            <w:vAlign w:val="center"/>
          </w:tcPr>
          <w:p>
            <w:pPr>
              <w:pStyle w:val="TableContents"/>
              <w:bidi w:val="0"/>
              <w:spacing w:before="0" w:after="283"/>
              <w:jc w:val="left"/>
              <w:rPr/>
            </w:pPr>
            <w:r>
              <w:rPr/>
              <w:t>  </w:t>
            </w:r>
          </w:p>
        </w:tc>
        <w:tc>
          <w:tcPr>
            <w:tcW w:w="7589" w:type="dxa"/>
            <w:tcBorders>
              <w:bottom w:val="single" w:sz="8" w:space="0" w:color="4C4C4C"/>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Reconciliation of expenses for pension and other postretirement benefits, variable-rate debt, property taxes (d), municipal infrastructure support costs (e) and environmental site investigation and remediation to amounts reflected in rates (f).</w:t>
            </w:r>
          </w:p>
          <w:p>
            <w:pPr>
              <w:pStyle w:val="TableContents"/>
              <w:bidi w:val="0"/>
              <w:spacing w:before="0" w:after="20"/>
              <w:jc w:val="left"/>
              <w:rPr/>
            </w:pPr>
            <w:r>
              <w:rPr/>
              <w:t> </w:t>
            </w:r>
          </w:p>
        </w:tc>
      </w:tr>
      <w:tr>
        <w:trPr/>
        <w:tc>
          <w:tcPr>
            <w:tcW w:w="2496" w:type="dxa"/>
            <w:tcBorders>
              <w:bottom w:val="single" w:sz="8" w:space="0" w:color="4C4C4C"/>
            </w:tcBorders>
            <w:tcMar>
              <w:bottom w:w="28" w:type="dxa"/>
            </w:tcMar>
            <w:vAlign w:val="center"/>
          </w:tcPr>
          <w:p>
            <w:pPr>
              <w:pStyle w:val="TableContents"/>
              <w:bidi w:val="0"/>
              <w:spacing w:before="0" w:after="283"/>
              <w:jc w:val="left"/>
              <w:rPr/>
            </w:pPr>
            <w:r>
              <w:rPr/>
              <w:t>Net utility plant reconciliations</w:t>
            </w:r>
          </w:p>
        </w:tc>
        <w:tc>
          <w:tcPr>
            <w:tcW w:w="120" w:type="dxa"/>
            <w:tcBorders>
              <w:bottom w:val="single" w:sz="8" w:space="0" w:color="4C4C4C"/>
            </w:tcBorders>
            <w:tcMar>
              <w:bottom w:w="28" w:type="dxa"/>
            </w:tcMar>
            <w:vAlign w:val="center"/>
          </w:tcPr>
          <w:p>
            <w:pPr>
              <w:pStyle w:val="TableContents"/>
              <w:bidi w:val="0"/>
              <w:spacing w:before="0" w:after="283"/>
              <w:jc w:val="left"/>
              <w:rPr/>
            </w:pPr>
            <w:r>
              <w:rPr/>
              <w:t>  </w:t>
            </w:r>
          </w:p>
        </w:tc>
        <w:tc>
          <w:tcPr>
            <w:tcW w:w="7589" w:type="dxa"/>
            <w:tcBorders>
              <w:bottom w:val="single" w:sz="8" w:space="0" w:color="4C4C4C"/>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Yr. 1 – $2,147 million</w:t>
            </w:r>
          </w:p>
          <w:p>
            <w:pPr>
              <w:pStyle w:val="TableContents"/>
              <w:bidi w:val="0"/>
              <w:spacing w:before="0" w:after="0"/>
              <w:jc w:val="left"/>
              <w:rPr>
                <w:rFonts w:ascii="Times New Roman" w:hAnsi="Times New Roman"/>
                <w:sz w:val="20"/>
              </w:rPr>
            </w:pPr>
            <w:r>
              <w:rPr>
                <w:rFonts w:ascii="Times New Roman" w:hAnsi="Times New Roman"/>
                <w:sz w:val="20"/>
              </w:rPr>
              <w:t>Yr. 2 – $2,165 million</w:t>
            </w:r>
          </w:p>
          <w:p>
            <w:pPr>
              <w:pStyle w:val="TableContents"/>
              <w:bidi w:val="0"/>
              <w:spacing w:before="0" w:after="0"/>
              <w:jc w:val="left"/>
              <w:rPr>
                <w:rFonts w:ascii="Times New Roman" w:hAnsi="Times New Roman"/>
                <w:sz w:val="20"/>
              </w:rPr>
            </w:pPr>
            <w:r>
              <w:rPr>
                <w:rFonts w:ascii="Times New Roman" w:hAnsi="Times New Roman"/>
                <w:sz w:val="20"/>
              </w:rPr>
              <w:t>Yr. 3 – $2,145 million</w:t>
            </w:r>
          </w:p>
          <w:p>
            <w:pPr>
              <w:pStyle w:val="TableContents"/>
              <w:bidi w:val="0"/>
              <w:spacing w:before="0" w:after="20"/>
              <w:jc w:val="left"/>
              <w:rPr/>
            </w:pPr>
            <w:r>
              <w:rPr/>
              <w:t> </w:t>
            </w:r>
          </w:p>
        </w:tc>
      </w:tr>
      <w:tr>
        <w:trPr/>
        <w:tc>
          <w:tcPr>
            <w:tcW w:w="2496" w:type="dxa"/>
            <w:tcBorders>
              <w:bottom w:val="single" w:sz="8" w:space="0" w:color="4C4C4C"/>
            </w:tcBorders>
            <w:tcMar>
              <w:bottom w:w="28" w:type="dxa"/>
            </w:tcMar>
            <w:vAlign w:val="center"/>
          </w:tcPr>
          <w:p>
            <w:pPr>
              <w:pStyle w:val="TableContents"/>
              <w:bidi w:val="0"/>
              <w:spacing w:before="0" w:after="283"/>
              <w:jc w:val="left"/>
              <w:rPr/>
            </w:pPr>
            <w:r>
              <w:rPr/>
              <w:t>Average rate base</w:t>
            </w:r>
          </w:p>
        </w:tc>
        <w:tc>
          <w:tcPr>
            <w:tcW w:w="120" w:type="dxa"/>
            <w:tcBorders>
              <w:bottom w:val="single" w:sz="8" w:space="0" w:color="4C4C4C"/>
            </w:tcBorders>
            <w:tcMar>
              <w:bottom w:w="28" w:type="dxa"/>
            </w:tcMar>
            <w:vAlign w:val="center"/>
          </w:tcPr>
          <w:p>
            <w:pPr>
              <w:pStyle w:val="TableContents"/>
              <w:bidi w:val="0"/>
              <w:spacing w:before="0" w:after="283"/>
              <w:jc w:val="left"/>
              <w:rPr/>
            </w:pPr>
            <w:r>
              <w:rPr/>
              <w:t>  </w:t>
            </w:r>
          </w:p>
        </w:tc>
        <w:tc>
          <w:tcPr>
            <w:tcW w:w="7589" w:type="dxa"/>
            <w:tcBorders>
              <w:bottom w:val="single" w:sz="8" w:space="0" w:color="4C4C4C"/>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Yr. 1 – $2,118 million</w:t>
            </w:r>
          </w:p>
          <w:p>
            <w:pPr>
              <w:pStyle w:val="TableContents"/>
              <w:bidi w:val="0"/>
              <w:spacing w:before="0" w:after="0"/>
              <w:jc w:val="left"/>
              <w:rPr>
                <w:rFonts w:ascii="Times New Roman" w:hAnsi="Times New Roman"/>
                <w:sz w:val="20"/>
              </w:rPr>
            </w:pPr>
            <w:r>
              <w:rPr>
                <w:rFonts w:ascii="Times New Roman" w:hAnsi="Times New Roman"/>
                <w:sz w:val="20"/>
              </w:rPr>
              <w:t>Yr. 2 – $2,234 million</w:t>
            </w:r>
          </w:p>
          <w:p>
            <w:pPr>
              <w:pStyle w:val="TableContents"/>
              <w:bidi w:val="0"/>
              <w:spacing w:before="0" w:after="0"/>
              <w:jc w:val="left"/>
              <w:rPr>
                <w:rFonts w:ascii="Times New Roman" w:hAnsi="Times New Roman"/>
                <w:sz w:val="20"/>
              </w:rPr>
            </w:pPr>
            <w:r>
              <w:rPr>
                <w:rFonts w:ascii="Times New Roman" w:hAnsi="Times New Roman"/>
                <w:sz w:val="20"/>
              </w:rPr>
              <w:t>Yr. 3 – $2,311 million</w:t>
            </w:r>
          </w:p>
          <w:p>
            <w:pPr>
              <w:pStyle w:val="TableContents"/>
              <w:bidi w:val="0"/>
              <w:spacing w:before="0" w:after="20"/>
              <w:jc w:val="left"/>
              <w:rPr/>
            </w:pPr>
            <w:r>
              <w:rPr/>
              <w:t> </w:t>
            </w:r>
          </w:p>
        </w:tc>
      </w:tr>
      <w:tr>
        <w:trPr/>
        <w:tc>
          <w:tcPr>
            <w:tcW w:w="2496" w:type="dxa"/>
            <w:tcBorders>
              <w:bottom w:val="single" w:sz="8" w:space="0" w:color="4C4C4C"/>
            </w:tcBorders>
            <w:tcMar>
              <w:bottom w:w="28" w:type="dxa"/>
            </w:tcMar>
            <w:vAlign w:val="center"/>
          </w:tcPr>
          <w:p>
            <w:pPr>
              <w:pStyle w:val="TableContents"/>
              <w:bidi w:val="0"/>
              <w:spacing w:before="0" w:after="283"/>
              <w:jc w:val="left"/>
              <w:rPr/>
            </w:pPr>
            <w:r>
              <w:rPr/>
              <w:t>Weighted average cost of capital (after-tax)</w:t>
            </w:r>
          </w:p>
        </w:tc>
        <w:tc>
          <w:tcPr>
            <w:tcW w:w="120" w:type="dxa"/>
            <w:tcBorders>
              <w:bottom w:val="single" w:sz="8" w:space="0" w:color="4C4C4C"/>
            </w:tcBorders>
            <w:tcMar>
              <w:bottom w:w="28" w:type="dxa"/>
            </w:tcMar>
            <w:vAlign w:val="center"/>
          </w:tcPr>
          <w:p>
            <w:pPr>
              <w:pStyle w:val="TableContents"/>
              <w:bidi w:val="0"/>
              <w:spacing w:before="0" w:after="283"/>
              <w:jc w:val="left"/>
              <w:rPr/>
            </w:pPr>
            <w:r>
              <w:rPr/>
              <w:t>  </w:t>
            </w:r>
          </w:p>
        </w:tc>
        <w:tc>
          <w:tcPr>
            <w:tcW w:w="7589" w:type="dxa"/>
            <w:tcBorders>
              <w:bottom w:val="single" w:sz="8" w:space="0" w:color="4C4C4C"/>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Yr. 1 – 7.07 percent</w:t>
            </w:r>
          </w:p>
          <w:p>
            <w:pPr>
              <w:pStyle w:val="TableContents"/>
              <w:bidi w:val="0"/>
              <w:spacing w:before="0" w:after="0"/>
              <w:jc w:val="left"/>
              <w:rPr>
                <w:rFonts w:ascii="Times New Roman" w:hAnsi="Times New Roman"/>
                <w:sz w:val="20"/>
              </w:rPr>
            </w:pPr>
            <w:r>
              <w:rPr>
                <w:rFonts w:ascii="Times New Roman" w:hAnsi="Times New Roman"/>
                <w:sz w:val="20"/>
              </w:rPr>
              <w:t>Yr. 2 – 7.14 percent</w:t>
            </w:r>
          </w:p>
          <w:p>
            <w:pPr>
              <w:pStyle w:val="TableContents"/>
              <w:bidi w:val="0"/>
              <w:spacing w:before="0" w:after="0"/>
              <w:jc w:val="left"/>
              <w:rPr>
                <w:rFonts w:ascii="Times New Roman" w:hAnsi="Times New Roman"/>
                <w:sz w:val="20"/>
              </w:rPr>
            </w:pPr>
            <w:r>
              <w:rPr>
                <w:rFonts w:ascii="Times New Roman" w:hAnsi="Times New Roman"/>
                <w:sz w:val="20"/>
              </w:rPr>
              <w:t>Yr. 3 – 7.19 percent</w:t>
            </w:r>
          </w:p>
          <w:p>
            <w:pPr>
              <w:pStyle w:val="TableContents"/>
              <w:bidi w:val="0"/>
              <w:spacing w:before="0" w:after="20"/>
              <w:jc w:val="left"/>
              <w:rPr/>
            </w:pPr>
            <w:r>
              <w:rPr/>
              <w:t> </w:t>
            </w:r>
          </w:p>
        </w:tc>
      </w:tr>
      <w:tr>
        <w:trPr/>
        <w:tc>
          <w:tcPr>
            <w:tcW w:w="2496" w:type="dxa"/>
            <w:tcBorders>
              <w:bottom w:val="single" w:sz="8" w:space="0" w:color="4C4C4C"/>
            </w:tcBorders>
            <w:tcMar>
              <w:bottom w:w="28" w:type="dxa"/>
            </w:tcMar>
            <w:vAlign w:val="center"/>
          </w:tcPr>
          <w:p>
            <w:pPr>
              <w:pStyle w:val="TableContents"/>
              <w:bidi w:val="0"/>
              <w:spacing w:before="0" w:after="283"/>
              <w:jc w:val="left"/>
              <w:rPr/>
            </w:pPr>
            <w:r>
              <w:rPr/>
              <w:t>Authorized return on common equity</w:t>
            </w:r>
          </w:p>
        </w:tc>
        <w:tc>
          <w:tcPr>
            <w:tcW w:w="120" w:type="dxa"/>
            <w:tcBorders>
              <w:bottom w:val="single" w:sz="8" w:space="0" w:color="4C4C4C"/>
            </w:tcBorders>
            <w:tcMar>
              <w:bottom w:w="28" w:type="dxa"/>
            </w:tcMar>
            <w:vAlign w:val="center"/>
          </w:tcPr>
          <w:p>
            <w:pPr>
              <w:pStyle w:val="TableContents"/>
              <w:bidi w:val="0"/>
              <w:spacing w:before="0" w:after="283"/>
              <w:jc w:val="left"/>
              <w:rPr/>
            </w:pPr>
            <w:r>
              <w:rPr/>
              <w:t>  </w:t>
            </w:r>
          </w:p>
        </w:tc>
        <w:tc>
          <w:tcPr>
            <w:tcW w:w="7589" w:type="dxa"/>
            <w:tcBorders>
              <w:bottom w:val="single" w:sz="8" w:space="0" w:color="4C4C4C"/>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9.5 percent</w:t>
            </w:r>
          </w:p>
          <w:p>
            <w:pPr>
              <w:pStyle w:val="TableContents"/>
              <w:bidi w:val="0"/>
              <w:spacing w:before="0" w:after="20"/>
              <w:jc w:val="left"/>
              <w:rPr/>
            </w:pPr>
            <w:r>
              <w:rPr/>
              <w:t> </w:t>
            </w:r>
          </w:p>
        </w:tc>
      </w:tr>
      <w:tr>
        <w:trPr/>
        <w:tc>
          <w:tcPr>
            <w:tcW w:w="2496" w:type="dxa"/>
            <w:tcBorders>
              <w:bottom w:val="single" w:sz="8" w:space="0" w:color="4C4C4C"/>
            </w:tcBorders>
            <w:tcMar>
              <w:bottom w:w="28" w:type="dxa"/>
            </w:tcMar>
            <w:vAlign w:val="center"/>
          </w:tcPr>
          <w:p>
            <w:pPr>
              <w:pStyle w:val="TableContents"/>
              <w:bidi w:val="0"/>
              <w:spacing w:before="0" w:after="283"/>
              <w:jc w:val="left"/>
              <w:rPr/>
            </w:pPr>
            <w:r>
              <w:rPr/>
              <w:t>Earnings sharing</w:t>
            </w:r>
          </w:p>
        </w:tc>
        <w:tc>
          <w:tcPr>
            <w:tcW w:w="120" w:type="dxa"/>
            <w:tcBorders>
              <w:bottom w:val="single" w:sz="8" w:space="0" w:color="4C4C4C"/>
            </w:tcBorders>
            <w:tcMar>
              <w:bottom w:w="28" w:type="dxa"/>
            </w:tcMar>
            <w:vAlign w:val="center"/>
          </w:tcPr>
          <w:p>
            <w:pPr>
              <w:pStyle w:val="TableContents"/>
              <w:bidi w:val="0"/>
              <w:spacing w:before="0" w:after="283"/>
              <w:jc w:val="left"/>
              <w:rPr/>
            </w:pPr>
            <w:r>
              <w:rPr/>
              <w:t>  </w:t>
            </w:r>
          </w:p>
        </w:tc>
        <w:tc>
          <w:tcPr>
            <w:tcW w:w="7589" w:type="dxa"/>
            <w:tcBorders>
              <w:bottom w:val="single" w:sz="8" w:space="0" w:color="4C4C4C"/>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Most earnings above an annual earnings threshold of 10 percent are to be applied to reduce regulatory assets for environmental remediation and other costs accumulated in the rate year.</w:t>
            </w:r>
          </w:p>
          <w:p>
            <w:pPr>
              <w:pStyle w:val="TableContents"/>
              <w:bidi w:val="0"/>
              <w:spacing w:before="0" w:after="20"/>
              <w:jc w:val="left"/>
              <w:rPr/>
            </w:pPr>
            <w:r>
              <w:rPr/>
              <w:t> </w:t>
            </w:r>
          </w:p>
        </w:tc>
      </w:tr>
      <w:tr>
        <w:trPr/>
        <w:tc>
          <w:tcPr>
            <w:tcW w:w="2496" w:type="dxa"/>
            <w:tcBorders>
              <w:bottom w:val="single" w:sz="8" w:space="0" w:color="4C4C4C"/>
            </w:tcBorders>
            <w:tcMar>
              <w:bottom w:w="28" w:type="dxa"/>
            </w:tcMar>
            <w:vAlign w:val="center"/>
          </w:tcPr>
          <w:p>
            <w:pPr>
              <w:pStyle w:val="TableContents"/>
              <w:bidi w:val="0"/>
              <w:spacing w:before="0" w:after="283"/>
              <w:jc w:val="left"/>
              <w:rPr/>
            </w:pPr>
            <w:r>
              <w:rPr/>
              <w:t>Cost of long-term debt</w:t>
            </w:r>
          </w:p>
        </w:tc>
        <w:tc>
          <w:tcPr>
            <w:tcW w:w="120" w:type="dxa"/>
            <w:tcBorders>
              <w:bottom w:val="single" w:sz="8" w:space="0" w:color="4C4C4C"/>
            </w:tcBorders>
            <w:tcMar>
              <w:bottom w:w="28" w:type="dxa"/>
            </w:tcMar>
            <w:vAlign w:val="center"/>
          </w:tcPr>
          <w:p>
            <w:pPr>
              <w:pStyle w:val="TableContents"/>
              <w:bidi w:val="0"/>
              <w:spacing w:before="0" w:after="283"/>
              <w:jc w:val="left"/>
              <w:rPr/>
            </w:pPr>
            <w:r>
              <w:rPr/>
              <w:t>  </w:t>
            </w:r>
          </w:p>
        </w:tc>
        <w:tc>
          <w:tcPr>
            <w:tcW w:w="7589" w:type="dxa"/>
            <w:tcBorders>
              <w:bottom w:val="single" w:sz="8" w:space="0" w:color="4C4C4C"/>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Yr. 1 – 4.86 percent</w:t>
            </w:r>
          </w:p>
          <w:p>
            <w:pPr>
              <w:pStyle w:val="TableContents"/>
              <w:bidi w:val="0"/>
              <w:spacing w:before="0" w:after="0"/>
              <w:jc w:val="left"/>
              <w:rPr>
                <w:rFonts w:ascii="Times New Roman" w:hAnsi="Times New Roman"/>
                <w:sz w:val="20"/>
              </w:rPr>
            </w:pPr>
            <w:r>
              <w:rPr>
                <w:rFonts w:ascii="Times New Roman" w:hAnsi="Times New Roman"/>
                <w:sz w:val="20"/>
              </w:rPr>
              <w:t>Yr. 2 – 5.00 percent</w:t>
            </w:r>
          </w:p>
          <w:p>
            <w:pPr>
              <w:pStyle w:val="TableContents"/>
              <w:bidi w:val="0"/>
              <w:spacing w:before="0" w:after="0"/>
              <w:jc w:val="left"/>
              <w:rPr>
                <w:rFonts w:ascii="Times New Roman" w:hAnsi="Times New Roman"/>
                <w:sz w:val="20"/>
              </w:rPr>
            </w:pPr>
            <w:r>
              <w:rPr>
                <w:rFonts w:ascii="Times New Roman" w:hAnsi="Times New Roman"/>
                <w:sz w:val="20"/>
              </w:rPr>
              <w:t>Yr. 3 – 5.10 percent</w:t>
            </w:r>
          </w:p>
          <w:p>
            <w:pPr>
              <w:pStyle w:val="TableContents"/>
              <w:bidi w:val="0"/>
              <w:spacing w:before="0" w:after="20"/>
              <w:jc w:val="left"/>
              <w:rPr/>
            </w:pPr>
            <w:r>
              <w:rPr/>
              <w:t> </w:t>
            </w:r>
          </w:p>
        </w:tc>
      </w:tr>
      <w:tr>
        <w:trPr/>
        <w:tc>
          <w:tcPr>
            <w:tcW w:w="2496" w:type="dxa"/>
            <w:tcBorders>
              <w:bottom w:val="single" w:sz="8" w:space="0" w:color="4C4C4C"/>
            </w:tcBorders>
            <w:tcMar>
              <w:bottom w:w="28" w:type="dxa"/>
            </w:tcMar>
            <w:vAlign w:val="center"/>
          </w:tcPr>
          <w:p>
            <w:pPr>
              <w:pStyle w:val="TableContents"/>
              <w:bidi w:val="0"/>
              <w:spacing w:before="0" w:after="283"/>
              <w:jc w:val="left"/>
              <w:rPr/>
            </w:pPr>
            <w:r>
              <w:rPr/>
              <w:t>Common equity ratio</w:t>
            </w:r>
          </w:p>
        </w:tc>
        <w:tc>
          <w:tcPr>
            <w:tcW w:w="120" w:type="dxa"/>
            <w:tcBorders>
              <w:bottom w:val="single" w:sz="8" w:space="0" w:color="4C4C4C"/>
            </w:tcBorders>
            <w:tcMar>
              <w:bottom w:w="28" w:type="dxa"/>
            </w:tcMar>
            <w:vAlign w:val="center"/>
          </w:tcPr>
          <w:p>
            <w:pPr>
              <w:pStyle w:val="TableContents"/>
              <w:bidi w:val="0"/>
              <w:spacing w:before="0" w:after="283"/>
              <w:jc w:val="left"/>
              <w:rPr/>
            </w:pPr>
            <w:r>
              <w:rPr/>
              <w:t>  </w:t>
            </w:r>
          </w:p>
        </w:tc>
        <w:tc>
          <w:tcPr>
            <w:tcW w:w="7589" w:type="dxa"/>
            <w:tcBorders>
              <w:bottom w:val="single" w:sz="8" w:space="0" w:color="4C4C4C"/>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48 percent</w:t>
            </w:r>
          </w:p>
          <w:p>
            <w:pPr>
              <w:pStyle w:val="TableContents"/>
              <w:bidi w:val="0"/>
              <w:spacing w:before="0" w:after="20"/>
              <w:jc w:val="left"/>
              <w:rPr/>
            </w:pPr>
            <w:r>
              <w:rPr/>
              <w:t>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(a)</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base rate increases shown above will be implemented on a shaped bill impact basis resulting in a consistent total bill impact of 3.5% each year with corresponding base rate increases of $26.6 million in Yr. 1; $27.5 million in Yr. 2; and $28.5 million in Yr. 3. New rates will be effective as of November 1, 2026. CECONY will begin billing customers at the new shaped rate once the Joint Proposal is approved by the NYSPSC. Any shortfall in revenues due to the timing of billing to customers will be collected through a surcharge.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amortization of the protected portion of the regulatory liability for excess deferred income taxes allocable to CECONY’s steam customers over the remaining lives of the related assets ($6 million in Yr. 1; $7 million in Yr. 2; and $7 million in Yr. 3).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(c)</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$0.5 million in annual steam revenue requirement ($1.5 million over three years) will be recovered through a rate adjustment mechanism, subject to refund to customers relating to the NYSDPS’ review of CECONY’s steam main welds.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(d)</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level of actual expense for property taxes, excluding the effect of property tax refunds, varies in any rate year from the projected level provided in rates, the full amount of the variation will be recovered from or credited to customers via surcharge/surcredit. Surcharge recoveries will be subject to an annual cap that produces no more than a half percent (0.5 percent) total customer bill impact (estimated to be $3.8 million, $3.9 million, $4.0 million for Yr. 1, Yr. 2 and Yr. 3, respectively). Amounts in excess of the annual surcharge cap in a specific year may be rolled forward for recovery and will count towards the following year’s surcharge cap. Amounts in excess of the surcharge cap will be deferred as a regulatory asset for recovery in CECONY’s next steam base rate case.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(e)</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general, if actual expenses for municipal infrastructure support (other than company labor) are below the amounts reflected in rates, CECONY will defer the difference for credit to customers, and if the actual expenses are above the amount reflected in rates, CECONY will defer for recovery from customers 80 percent of the difference subject to a maximum deferral, subject to certain conditions, of 30 percent of the amount reflected in the rate plan.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(f)</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addition, the NYSDPS continues its focused operations audit to investigate CECONY’s income tax accounting. Any adjustment to CECONY’s income tax accounting ordered by the NYSPSC is expected to be refunded to or collected from customers, as determined by the NYSPSC.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report includes forward-looking statements. The forward-looking statements reflect information available and assumptions at the time the statements are made, and accordingly, speak only as of that time. Actual results or developments might differ materially from those included in the forward-looking statements because of various factors including, but not limited to, those identified in reports each of Consolidated Edison, Inc. and CECONY has filed with the Securities and Exchange Commission.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each registrant has duly caused this report to be signed on its behalf by the undersigned hereunto duly authorized. </w:t>
      </w:r>
    </w:p>
    <w:p>
      <w:pPr>
        <w:pStyle w:val="TextBody"/>
        <w:bidi w:val="0"/>
        <w:spacing w:before="0" w:after="0"/>
        <w:jc w:val="left"/>
        <w:rPr/>
      </w:pPr>
      <w:r>
        <w:rPr/>
        <w:t> </w:t>
      </w:r>
    </w:p>
    <w:tbl>
      <w:tblPr>
        <w:tblW w:w="6558" w:type="dxa"/>
        <w:jc w:val="left"/>
        <w:tblInd w:w="0" w:type="dxa"/>
        <w:tblLayout w:type="fixed"/>
        <w:tblCellMar>
          <w:top w:w="0" w:type="dxa"/>
          <w:left w:w="0" w:type="dxa"/>
          <w:bottom w:w="0" w:type="dxa"/>
          <w:right w:w="0" w:type="dxa"/>
        </w:tblCellMar>
      </w:tblPr>
      <w:tblGrid>
        <w:gridCol w:w="427"/>
        <w:gridCol w:w="67"/>
        <w:gridCol w:w="6064"/>
      </w:tblGrid>
      <w:tr>
        <w:trPr/>
        <w:tc>
          <w:tcPr>
            <w:tcW w:w="42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064"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vAlign w:val="center"/>
          </w:tcPr>
          <w:p>
            <w:pPr>
              <w:pStyle w:val="TableContents"/>
              <w:bidi w:val="0"/>
              <w:spacing w:before="0" w:after="283"/>
              <w:jc w:val="left"/>
              <w:rPr/>
            </w:pPr>
            <w:r>
              <w:rPr/>
              <w:t>CONSOLIDATED EDISON, INC.</w:t>
            </w:r>
          </w:p>
        </w:tc>
      </w:tr>
      <w:tr>
        <w:trPr/>
        <w:tc>
          <w:tcPr>
            <w:tcW w:w="6558" w:type="dxa"/>
            <w:gridSpan w:val="3"/>
            <w:tcBorders/>
            <w:vAlign w:val="center"/>
          </w:tcPr>
          <w:p>
            <w:pPr>
              <w:pStyle w:val="TableContents"/>
              <w:bidi w:val="0"/>
              <w:spacing w:before="0" w:after="283"/>
              <w:jc w:val="left"/>
              <w:rPr/>
            </w:pPr>
            <w:r>
              <w:rPr/>
              <w:t>CONSOLIDATED EDISON COMPANY OF NEW YORK, INC.</w:t>
            </w:r>
          </w:p>
        </w:tc>
      </w:tr>
      <w:tr>
        <w:trPr/>
        <w:tc>
          <w:tcPr>
            <w:tcW w:w="427" w:type="dxa"/>
            <w:tcBorders/>
            <w:vAlign w:val="center"/>
          </w:tcPr>
          <w:p>
            <w:pPr>
              <w:pStyle w:val="TableContents"/>
              <w:bidi w:val="0"/>
              <w:spacing w:before="0" w:after="283"/>
              <w:jc w:val="left"/>
              <w:rPr>
                <w:sz w:val="4"/>
                <w:szCs w:val="4"/>
              </w:rPr>
            </w:pPr>
            <w:r>
              <w:rPr>
                <w:sz w:val="4"/>
                <w:szCs w:val="4"/>
              </w:rPr>
            </w:r>
          </w:p>
        </w:tc>
        <w:tc>
          <w:tcPr>
            <w:tcW w:w="6131"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pPr>
            <w:r>
              <w:rPr/>
              <w:t>By:</w:t>
            </w:r>
          </w:p>
        </w:tc>
        <w:tc>
          <w:tcPr>
            <w:tcW w:w="67" w:type="dxa"/>
            <w:tcBorders/>
            <w:vAlign w:val="center"/>
          </w:tcPr>
          <w:p>
            <w:pPr>
              <w:pStyle w:val="TableContents"/>
              <w:bidi w:val="0"/>
              <w:spacing w:before="0" w:after="283"/>
              <w:jc w:val="left"/>
              <w:rPr/>
            </w:pPr>
            <w:r>
              <w:rPr/>
              <w:t> </w:t>
            </w:r>
          </w:p>
        </w:tc>
        <w:tc>
          <w:tcPr>
            <w:tcW w:w="6064"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Joseph Miller</w:t>
            </w:r>
          </w:p>
        </w:tc>
      </w:tr>
      <w:tr>
        <w:trPr/>
        <w:tc>
          <w:tcPr>
            <w:tcW w:w="42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6064" w:type="dxa"/>
            <w:tcBorders/>
            <w:vAlign w:val="center"/>
          </w:tcPr>
          <w:p>
            <w:pPr>
              <w:pStyle w:val="TableContents"/>
              <w:bidi w:val="0"/>
              <w:spacing w:before="0" w:after="283"/>
              <w:jc w:val="left"/>
              <w:rPr/>
            </w:pPr>
            <w:r>
              <w:rPr/>
              <w:t>Joseph Miller</w:t>
            </w:r>
          </w:p>
        </w:tc>
      </w:tr>
      <w:tr>
        <w:trPr/>
        <w:tc>
          <w:tcPr>
            <w:tcW w:w="42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6064" w:type="dxa"/>
            <w:tcBorders/>
            <w:vAlign w:val="center"/>
          </w:tcPr>
          <w:p>
            <w:pPr>
              <w:pStyle w:val="TableContents"/>
              <w:bidi w:val="0"/>
              <w:spacing w:before="0" w:after="283"/>
              <w:jc w:val="left"/>
              <w:rPr/>
            </w:pPr>
            <w:r>
              <w:rPr/>
              <w:t>Vice President, Controller and Chief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4,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1272</Words>
  <Characters>6778</Characters>
  <CharactersWithSpaces>8066</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