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474980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440055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25"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Transition Report Pursuant to Section 13 or 15(d) of the Securities Exchange Act of 1934</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300" w:type="dxa"/>
            <w:vAlign w:val="bottom"/>
            <w:gridSpan w:val="5"/>
          </w:tcPr>
          <w:p>
            <w:pPr>
              <w:ind w:left="300"/>
              <w:spacing w:after="0"/>
              <w:rPr>
                <w:sz w:val="20"/>
                <w:szCs w:val="20"/>
                <w:color w:val="auto"/>
              </w:rPr>
            </w:pPr>
            <w:r>
              <w:rPr>
                <w:rFonts w:ascii="Arial" w:cs="Arial" w:eastAsia="Arial" w:hAnsi="Arial"/>
                <w:sz w:val="18"/>
                <w:szCs w:val="18"/>
                <w:color w:val="auto"/>
              </w:rPr>
              <w:t>For the transition period from</w:t>
            </w:r>
          </w:p>
        </w:tc>
        <w:tc>
          <w:tcPr>
            <w:tcW w:w="360" w:type="dxa"/>
            <w:vAlign w:val="bottom"/>
          </w:tcPr>
          <w:p>
            <w:pPr>
              <w:spacing w:after="0"/>
              <w:rPr>
                <w:sz w:val="17"/>
                <w:szCs w:val="17"/>
                <w:color w:val="auto"/>
              </w:rPr>
            </w:pPr>
          </w:p>
        </w:tc>
        <w:tc>
          <w:tcPr>
            <w:tcW w:w="1240" w:type="dxa"/>
            <w:vAlign w:val="bottom"/>
            <w:gridSpan w:val="4"/>
          </w:tcPr>
          <w:p>
            <w:pPr>
              <w:ind w:left="40"/>
              <w:spacing w:after="0"/>
              <w:rPr>
                <w:sz w:val="20"/>
                <w:szCs w:val="20"/>
                <w:color w:val="auto"/>
              </w:rPr>
            </w:pPr>
            <w:r>
              <w:rPr>
                <w:rFonts w:ascii="Arial" w:cs="Arial" w:eastAsia="Arial" w:hAnsi="Arial"/>
                <w:sz w:val="18"/>
                <w:szCs w:val="18"/>
                <w:color w:val="auto"/>
              </w:rPr>
              <w:t>to</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Commission</w:t>
            </w:r>
          </w:p>
        </w:tc>
        <w:tc>
          <w:tcPr>
            <w:tcW w:w="3660" w:type="dxa"/>
            <w:vAlign w:val="bottom"/>
            <w:gridSpan w:val="4"/>
          </w:tcPr>
          <w:p>
            <w:pPr>
              <w:ind w:left="2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5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jc w:val="center"/>
              <w:ind w:left="264"/>
              <w:spacing w:after="0"/>
              <w:rPr>
                <w:sz w:val="20"/>
                <w:szCs w:val="20"/>
                <w:color w:val="auto"/>
              </w:rPr>
            </w:pPr>
            <w:r>
              <w:rPr>
                <w:rFonts w:ascii="Arial" w:cs="Arial" w:eastAsia="Arial" w:hAnsi="Arial"/>
                <w:sz w:val="14"/>
                <w:szCs w:val="14"/>
                <w:b w:val="1"/>
                <w:bCs w:val="1"/>
                <w:color w:val="auto"/>
              </w:rPr>
              <w:t>State of</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75"/>
        </w:trPr>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File Number</w:t>
            </w:r>
          </w:p>
        </w:tc>
        <w:tc>
          <w:tcPr>
            <w:tcW w:w="4800" w:type="dxa"/>
            <w:vAlign w:val="bottom"/>
            <w:gridSpan w:val="7"/>
          </w:tcPr>
          <w:p>
            <w:pPr>
              <w:ind w:left="20"/>
              <w:spacing w:after="0"/>
              <w:rPr>
                <w:sz w:val="20"/>
                <w:szCs w:val="20"/>
                <w:color w:val="auto"/>
              </w:rPr>
            </w:pPr>
            <w:r>
              <w:rPr>
                <w:rFonts w:ascii="Arial" w:cs="Arial" w:eastAsia="Arial" w:hAnsi="Arial"/>
                <w:sz w:val="14"/>
                <w:szCs w:val="14"/>
                <w:b w:val="1"/>
                <w:bCs w:val="1"/>
                <w:color w:val="auto"/>
              </w:rPr>
              <w:t>and principal executive office address and telephone number</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Incorporation</w:t>
            </w:r>
          </w:p>
        </w:tc>
        <w:tc>
          <w:tcPr>
            <w:tcW w:w="1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ID. Number</w:t>
            </w:r>
          </w:p>
        </w:tc>
        <w:tc>
          <w:tcPr>
            <w:tcW w:w="0" w:type="dxa"/>
            <w:vAlign w:val="bottom"/>
          </w:tcPr>
          <w:p>
            <w:pPr>
              <w:spacing w:after="0"/>
              <w:rPr>
                <w:sz w:val="1"/>
                <w:szCs w:val="1"/>
                <w:color w:val="auto"/>
              </w:rPr>
            </w:pPr>
          </w:p>
        </w:tc>
      </w:tr>
      <w:tr>
        <w:trPr>
          <w:trHeight w:val="232"/>
        </w:trPr>
        <w:tc>
          <w:tcPr>
            <w:tcW w:w="13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1-14514</w:t>
            </w:r>
          </w:p>
        </w:tc>
        <w:tc>
          <w:tcPr>
            <w:tcW w:w="180" w:type="dxa"/>
            <w:vAlign w:val="bottom"/>
          </w:tcPr>
          <w:p>
            <w:pPr>
              <w:spacing w:after="0"/>
              <w:rPr>
                <w:sz w:val="20"/>
                <w:szCs w:val="20"/>
                <w:color w:val="auto"/>
              </w:rPr>
            </w:pPr>
          </w:p>
        </w:tc>
        <w:tc>
          <w:tcPr>
            <w:tcW w:w="25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Consolidated Edison, Inc.</w:t>
            </w:r>
          </w:p>
        </w:tc>
        <w:tc>
          <w:tcPr>
            <w:tcW w:w="1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New York</w:t>
            </w:r>
          </w:p>
        </w:tc>
        <w:tc>
          <w:tcPr>
            <w:tcW w:w="3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Borders>
              <w:top w:val="single" w:sz="8" w:color="auto"/>
            </w:tcBorders>
          </w:tcPr>
          <w:p>
            <w:pPr>
              <w:jc w:val="right"/>
              <w:ind w:right="199"/>
              <w:spacing w:after="0"/>
              <w:rPr>
                <w:sz w:val="20"/>
                <w:szCs w:val="20"/>
                <w:color w:val="auto"/>
              </w:rPr>
            </w:pPr>
            <w:r>
              <w:rPr>
                <w:rFonts w:ascii="Arial" w:cs="Arial" w:eastAsia="Arial" w:hAnsi="Arial"/>
                <w:sz w:val="18"/>
                <w:szCs w:val="18"/>
                <w:color w:val="auto"/>
                <w:w w:val="99"/>
              </w:rPr>
              <w:t>13-3965100</w:t>
            </w:r>
          </w:p>
        </w:tc>
        <w:tc>
          <w:tcPr>
            <w:tcW w:w="4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4 Irving Place,</w:t>
            </w:r>
          </w:p>
        </w:tc>
        <w:tc>
          <w:tcPr>
            <w:tcW w:w="1060" w:type="dxa"/>
            <w:vAlign w:val="bottom"/>
          </w:tcPr>
          <w:p>
            <w:pPr>
              <w:ind w:left="60"/>
              <w:spacing w:after="0"/>
              <w:rPr>
                <w:sz w:val="20"/>
                <w:szCs w:val="20"/>
                <w:color w:val="auto"/>
              </w:rPr>
            </w:pPr>
            <w:r>
              <w:rPr>
                <w:rFonts w:ascii="Arial" w:cs="Arial" w:eastAsia="Arial" w:hAnsi="Arial"/>
                <w:sz w:val="18"/>
                <w:szCs w:val="18"/>
                <w:color w:val="auto"/>
              </w:rPr>
              <w:t>New York,</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New York</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10003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(212)</w:t>
            </w:r>
          </w:p>
        </w:tc>
        <w:tc>
          <w:tcPr>
            <w:tcW w:w="940" w:type="dxa"/>
            <w:vAlign w:val="bottom"/>
          </w:tcPr>
          <w:p>
            <w:pPr>
              <w:jc w:val="right"/>
              <w:spacing w:after="0"/>
              <w:rPr>
                <w:sz w:val="20"/>
                <w:szCs w:val="20"/>
                <w:color w:val="auto"/>
              </w:rPr>
            </w:pPr>
            <w:r>
              <w:rPr>
                <w:rFonts w:ascii="Arial" w:cs="Arial" w:eastAsia="Arial" w:hAnsi="Arial"/>
                <w:sz w:val="18"/>
                <w:szCs w:val="18"/>
                <w:color w:val="auto"/>
              </w:rPr>
              <w:t>460-4600</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340" w:type="dxa"/>
            <w:vAlign w:val="bottom"/>
            <w:gridSpan w:val="2"/>
          </w:tcPr>
          <w:p>
            <w:pPr>
              <w:ind w:left="20"/>
              <w:spacing w:after="0"/>
              <w:rPr>
                <w:sz w:val="20"/>
                <w:szCs w:val="20"/>
                <w:color w:val="auto"/>
              </w:rPr>
            </w:pPr>
            <w:r>
              <w:rPr>
                <w:rFonts w:ascii="Arial" w:cs="Arial" w:eastAsia="Arial" w:hAnsi="Arial"/>
                <w:sz w:val="18"/>
                <w:szCs w:val="18"/>
                <w:color w:val="auto"/>
              </w:rPr>
              <w:t>1-1217</w:t>
            </w:r>
          </w:p>
        </w:tc>
        <w:tc>
          <w:tcPr>
            <w:tcW w:w="180" w:type="dxa"/>
            <w:vAlign w:val="bottom"/>
          </w:tcPr>
          <w:p>
            <w:pPr>
              <w:spacing w:after="0"/>
              <w:rPr>
                <w:sz w:val="20"/>
                <w:szCs w:val="20"/>
                <w:color w:val="auto"/>
              </w:rPr>
            </w:pPr>
          </w:p>
        </w:tc>
        <w:tc>
          <w:tcPr>
            <w:tcW w:w="4800" w:type="dxa"/>
            <w:vAlign w:val="bottom"/>
            <w:gridSpan w:val="7"/>
          </w:tcPr>
          <w:p>
            <w:pPr>
              <w:ind w:left="20"/>
              <w:spacing w:after="0"/>
              <w:rPr>
                <w:sz w:val="20"/>
                <w:szCs w:val="20"/>
                <w:color w:val="auto"/>
              </w:rPr>
            </w:pPr>
            <w:r>
              <w:rPr>
                <w:rFonts w:ascii="Arial" w:cs="Arial" w:eastAsia="Arial" w:hAnsi="Arial"/>
                <w:sz w:val="18"/>
                <w:szCs w:val="18"/>
                <w:b w:val="1"/>
                <w:bCs w:val="1"/>
                <w:color w:val="auto"/>
              </w:rPr>
              <w:t>Consolidated Edison Company of New York, Inc.</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New York</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8"/>
                <w:szCs w:val="18"/>
                <w:color w:val="auto"/>
                <w:w w:val="99"/>
              </w:rPr>
              <w:t>13-5009340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4 Irving Place,</w:t>
            </w:r>
          </w:p>
        </w:tc>
        <w:tc>
          <w:tcPr>
            <w:tcW w:w="1060" w:type="dxa"/>
            <w:vAlign w:val="bottom"/>
          </w:tcPr>
          <w:p>
            <w:pPr>
              <w:ind w:left="60"/>
              <w:spacing w:after="0"/>
              <w:rPr>
                <w:sz w:val="20"/>
                <w:szCs w:val="20"/>
                <w:color w:val="auto"/>
              </w:rPr>
            </w:pPr>
            <w:r>
              <w:rPr>
                <w:rFonts w:ascii="Arial" w:cs="Arial" w:eastAsia="Arial" w:hAnsi="Arial"/>
                <w:sz w:val="18"/>
                <w:szCs w:val="18"/>
                <w:color w:val="auto"/>
              </w:rPr>
              <w:t>New York,</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New York</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10003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(212)</w:t>
            </w:r>
          </w:p>
        </w:tc>
        <w:tc>
          <w:tcPr>
            <w:tcW w:w="940" w:type="dxa"/>
            <w:vAlign w:val="bottom"/>
          </w:tcPr>
          <w:p>
            <w:pPr>
              <w:jc w:val="right"/>
              <w:spacing w:after="0"/>
              <w:rPr>
                <w:sz w:val="20"/>
                <w:szCs w:val="20"/>
                <w:color w:val="auto"/>
              </w:rPr>
            </w:pPr>
            <w:r>
              <w:rPr>
                <w:rFonts w:ascii="Arial" w:cs="Arial" w:eastAsia="Arial" w:hAnsi="Arial"/>
                <w:sz w:val="18"/>
                <w:szCs w:val="18"/>
                <w:color w:val="auto"/>
              </w:rPr>
              <w:t>460-4600</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4"/>
        </w:trPr>
        <w:tc>
          <w:tcPr>
            <w:tcW w:w="5180" w:type="dxa"/>
            <w:vAlign w:val="bottom"/>
            <w:gridSpan w:val="7"/>
          </w:tcPr>
          <w:p>
            <w:pPr>
              <w:jc w:val="right"/>
              <w:ind w:right="70"/>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40" w:type="dxa"/>
            <w:vAlign w:val="bottom"/>
          </w:tcPr>
          <w:p>
            <w:pPr>
              <w:spacing w:after="0"/>
              <w:rPr>
                <w:sz w:val="24"/>
                <w:szCs w:val="24"/>
                <w:color w:val="auto"/>
              </w:rPr>
            </w:pPr>
          </w:p>
        </w:tc>
        <w:tc>
          <w:tcPr>
            <w:tcW w:w="1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rPr>
              <w:t>Trading Symbol</w:t>
            </w:r>
          </w:p>
        </w:tc>
        <w:tc>
          <w:tcPr>
            <w:tcW w:w="8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Name of each exchange on which</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1640" w:type="dxa"/>
            <w:vAlign w:val="bottom"/>
            <w:tcBorders>
              <w:bottom w:val="single" w:sz="8" w:color="auto"/>
            </w:tcBorders>
            <w:gridSpan w:val="3"/>
            <w:vMerge w:val="continue"/>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right="879"/>
              <w:spacing w:after="0"/>
              <w:rPr>
                <w:sz w:val="20"/>
                <w:szCs w:val="20"/>
                <w:color w:val="auto"/>
              </w:rPr>
            </w:pPr>
            <w:r>
              <w:rPr>
                <w:rFonts w:ascii="Arial" w:cs="Arial" w:eastAsia="Arial" w:hAnsi="Arial"/>
                <w:sz w:val="14"/>
                <w:szCs w:val="14"/>
                <w:b w:val="1"/>
                <w:bCs w:val="1"/>
                <w:color w:val="auto"/>
              </w:rPr>
              <w:t>registered</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2580" w:type="dxa"/>
            <w:vAlign w:val="bottom"/>
            <w:gridSpan w:val="4"/>
          </w:tcPr>
          <w:p>
            <w:pPr>
              <w:ind w:left="20"/>
              <w:spacing w:after="0"/>
              <w:rPr>
                <w:sz w:val="20"/>
                <w:szCs w:val="20"/>
                <w:color w:val="auto"/>
              </w:rPr>
            </w:pPr>
            <w:r>
              <w:rPr>
                <w:rFonts w:ascii="Arial" w:cs="Arial" w:eastAsia="Arial" w:hAnsi="Arial"/>
                <w:sz w:val="18"/>
                <w:szCs w:val="18"/>
                <w:b w:val="1"/>
                <w:bCs w:val="1"/>
                <w:color w:val="auto"/>
              </w:rPr>
              <w:t>Consolidated Edison, Inc.,</w:t>
            </w: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rPr>
              <w: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40" w:type="dxa"/>
            <w:vAlign w:val="bottom"/>
            <w:gridSpan w:val="5"/>
          </w:tcPr>
          <w:p>
            <w:pPr>
              <w:jc w:val="center"/>
              <w:ind w:right="420"/>
              <w:spacing w:after="0"/>
              <w:rPr>
                <w:sz w:val="20"/>
                <w:szCs w:val="20"/>
                <w:color w:val="auto"/>
              </w:rPr>
            </w:pPr>
            <w:r>
              <w:rPr>
                <w:rFonts w:ascii="Arial" w:cs="Arial" w:eastAsia="Arial" w:hAnsi="Arial"/>
                <w:sz w:val="18"/>
                <w:szCs w:val="18"/>
                <w:color w:val="auto"/>
                <w:w w:val="99"/>
              </w:rPr>
              <w:t>New York Stock Exchange</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3640" w:type="dxa"/>
            <w:vAlign w:val="bottom"/>
            <w:gridSpan w:val="5"/>
          </w:tcPr>
          <w:p>
            <w:pPr>
              <w:ind w:left="20"/>
              <w:spacing w:after="0"/>
              <w:rPr>
                <w:sz w:val="20"/>
                <w:szCs w:val="20"/>
                <w:color w:val="auto"/>
              </w:rPr>
            </w:pPr>
            <w:r>
              <w:rPr>
                <w:rFonts w:ascii="Arial" w:cs="Arial" w:eastAsia="Arial" w:hAnsi="Arial"/>
                <w:sz w:val="18"/>
                <w:szCs w:val="18"/>
                <w:color w:val="auto"/>
              </w:rPr>
              <w:t>Common Shares ($.10 par value)</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4"/>
          <w:szCs w:val="24"/>
          <w:color w:val="auto"/>
        </w:rPr>
      </w:pPr>
    </w:p>
    <w:p>
      <w:pPr>
        <w:ind w:right="6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1" w:lineRule="exact"/>
        <w:rPr>
          <w:sz w:val="24"/>
          <w:szCs w:val="24"/>
          <w:color w:val="auto"/>
        </w:rPr>
      </w:pPr>
    </w:p>
    <w:p>
      <w:pPr>
        <w:ind w:left="20"/>
        <w:spacing w:after="0" w:line="207" w:lineRule="exact"/>
        <w:tabs>
          <w:tab w:leader="none" w:pos="9000" w:val="left"/>
          <w:tab w:leader="none" w:pos="10760" w:val="left"/>
        </w:tabs>
        <w:rPr>
          <w:sz w:val="20"/>
          <w:szCs w:val="20"/>
          <w:color w:val="auto"/>
        </w:rPr>
      </w:pPr>
      <w:r>
        <w:rPr>
          <w:rFonts w:ascii="Arial" w:cs="Arial" w:eastAsia="Arial" w:hAnsi="Arial"/>
          <w:sz w:val="18"/>
          <w:szCs w:val="18"/>
          <w:color w:val="auto"/>
        </w:rPr>
        <w:t>Consolidated Edison, Inc. (Con Edison)</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65" w:lineRule="exact"/>
        <w:rPr>
          <w:sz w:val="24"/>
          <w:szCs w:val="24"/>
          <w:color w:val="auto"/>
        </w:rPr>
      </w:pPr>
    </w:p>
    <w:p>
      <w:pPr>
        <w:ind w:left="20"/>
        <w:spacing w:after="0" w:line="207" w:lineRule="exact"/>
        <w:tabs>
          <w:tab w:leader="none" w:pos="9000" w:val="left"/>
          <w:tab w:leader="none" w:pos="10760" w:val="left"/>
        </w:tabs>
        <w:rPr>
          <w:sz w:val="20"/>
          <w:szCs w:val="20"/>
          <w:color w:val="auto"/>
        </w:rPr>
      </w:pPr>
      <w:r>
        <w:rPr>
          <w:rFonts w:ascii="Arial" w:cs="Arial" w:eastAsia="Arial" w:hAnsi="Arial"/>
          <w:sz w:val="18"/>
          <w:szCs w:val="18"/>
          <w:color w:val="auto"/>
        </w:rPr>
        <w:t>Consolidated Edison Company of New York, Inc. (CECONY)</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ind w:right="26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5" w:lineRule="exact"/>
        <w:rPr>
          <w:sz w:val="24"/>
          <w:szCs w:val="24"/>
          <w:color w:val="auto"/>
        </w:rPr>
      </w:pPr>
    </w:p>
    <w:p>
      <w:pPr>
        <w:ind w:left="20"/>
        <w:spacing w:after="0" w:line="207" w:lineRule="exact"/>
        <w:tabs>
          <w:tab w:leader="none" w:pos="9000" w:val="left"/>
          <w:tab w:leader="none" w:pos="10760" w:val="left"/>
        </w:tabs>
        <w:rPr>
          <w:sz w:val="20"/>
          <w:szCs w:val="20"/>
          <w:color w:val="auto"/>
        </w:rPr>
      </w:pPr>
      <w:r>
        <w:rPr>
          <w:rFonts w:ascii="Arial" w:cs="Arial" w:eastAsia="Arial" w:hAnsi="Arial"/>
          <w:sz w:val="18"/>
          <w:szCs w:val="18"/>
          <w:color w:val="auto"/>
        </w:rPr>
        <w:t>Con Edison</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65" w:lineRule="exact"/>
        <w:rPr>
          <w:sz w:val="24"/>
          <w:szCs w:val="24"/>
          <w:color w:val="auto"/>
        </w:rPr>
      </w:pPr>
    </w:p>
    <w:p>
      <w:pPr>
        <w:ind w:left="20"/>
        <w:spacing w:after="0" w:line="207" w:lineRule="exact"/>
        <w:tabs>
          <w:tab w:leader="none" w:pos="9000" w:val="left"/>
          <w:tab w:leader="none" w:pos="10760" w:val="left"/>
        </w:tabs>
        <w:rPr>
          <w:sz w:val="20"/>
          <w:szCs w:val="20"/>
          <w:color w:val="auto"/>
        </w:rPr>
      </w:pPr>
      <w:r>
        <w:rPr>
          <w:rFonts w:ascii="Arial" w:cs="Arial" w:eastAsia="Arial" w:hAnsi="Arial"/>
          <w:sz w:val="18"/>
          <w:szCs w:val="18"/>
          <w:color w:val="auto"/>
        </w:rPr>
        <w:t>CECONY</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94" w:lineRule="exact"/>
        <w:rPr>
          <w:sz w:val="24"/>
          <w:szCs w:val="24"/>
          <w:color w:val="auto"/>
        </w:rPr>
      </w:pPr>
    </w:p>
    <w:p>
      <w:pPr>
        <w:ind w:right="32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20" w:type="dxa"/>
        <w:tblCellMar>
          <w:top w:w="0" w:type="dxa"/>
          <w:left w:w="0" w:type="dxa"/>
          <w:bottom w:w="0" w:type="dxa"/>
          <w:right w:w="0" w:type="dxa"/>
        </w:tblCellMar>
      </w:tblPr>
      <w:tr>
        <w:trPr>
          <w:trHeight w:val="217"/>
        </w:trPr>
        <w:tc>
          <w:tcPr>
            <w:tcW w:w="2260" w:type="dxa"/>
            <w:vAlign w:val="bottom"/>
          </w:tcPr>
          <w:p>
            <w:pPr>
              <w:spacing w:after="0"/>
              <w:rPr>
                <w:sz w:val="20"/>
                <w:szCs w:val="20"/>
                <w:color w:val="auto"/>
              </w:rPr>
            </w:pPr>
            <w:r>
              <w:rPr>
                <w:rFonts w:ascii="Arial" w:cs="Arial" w:eastAsia="Arial" w:hAnsi="Arial"/>
                <w:sz w:val="18"/>
                <w:szCs w:val="18"/>
                <w:color w:val="auto"/>
              </w:rPr>
              <w:t>Con Edison</w:t>
            </w:r>
          </w:p>
        </w:tc>
        <w:tc>
          <w:tcPr>
            <w:tcW w:w="1340" w:type="dxa"/>
            <w:vAlign w:val="bottom"/>
          </w:tcPr>
          <w:p>
            <w:pPr>
              <w:spacing w:after="0"/>
              <w:rPr>
                <w:sz w:val="18"/>
                <w:szCs w:val="18"/>
                <w:color w:val="auto"/>
              </w:rPr>
            </w:pPr>
          </w:p>
        </w:tc>
        <w:tc>
          <w:tcPr>
            <w:tcW w:w="3120" w:type="dxa"/>
            <w:vAlign w:val="bottom"/>
            <w:vMerge w:val="restart"/>
          </w:tcPr>
          <w:p>
            <w:pPr>
              <w:ind w:left="6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260" w:type="dxa"/>
            <w:vAlign w:val="bottom"/>
          </w:tcPr>
          <w:p>
            <w:pPr>
              <w:spacing w:after="0"/>
              <w:rPr>
                <w:sz w:val="21"/>
                <w:szCs w:val="21"/>
                <w:color w:val="auto"/>
              </w:rPr>
            </w:pPr>
          </w:p>
        </w:tc>
        <w:tc>
          <w:tcPr>
            <w:tcW w:w="134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120" w:type="dxa"/>
            <w:vAlign w:val="bottom"/>
            <w:vMerge w:val="continue"/>
          </w:tcPr>
          <w:p>
            <w:pPr>
              <w:spacing w:after="0"/>
              <w:rPr>
                <w:sz w:val="21"/>
                <w:szCs w:val="21"/>
                <w:color w:val="auto"/>
              </w:rPr>
            </w:pPr>
          </w:p>
        </w:tc>
        <w:tc>
          <w:tcPr>
            <w:tcW w:w="3480" w:type="dxa"/>
            <w:vAlign w:val="bottom"/>
          </w:tcPr>
          <w:p>
            <w:pPr>
              <w:spacing w:after="0"/>
              <w:rPr>
                <w:sz w:val="21"/>
                <w:szCs w:val="21"/>
                <w:color w:val="auto"/>
              </w:rPr>
            </w:pPr>
          </w:p>
        </w:tc>
        <w:tc>
          <w:tcPr>
            <w:tcW w:w="42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0"/>
        </w:trPr>
        <w:tc>
          <w:tcPr>
            <w:tcW w:w="2260" w:type="dxa"/>
            <w:vAlign w:val="bottom"/>
          </w:tcPr>
          <w:p>
            <w:pPr>
              <w:spacing w:after="0" w:line="189" w:lineRule="exact"/>
              <w:rPr>
                <w:sz w:val="20"/>
                <w:szCs w:val="20"/>
                <w:color w:val="auto"/>
              </w:rPr>
            </w:pPr>
            <w:r>
              <w:rPr>
                <w:rFonts w:ascii="Arial" w:cs="Arial" w:eastAsia="Arial" w:hAnsi="Arial"/>
                <w:sz w:val="18"/>
                <w:szCs w:val="18"/>
                <w:color w:val="auto"/>
              </w:rPr>
              <w:t>Large accelerated filer</w:t>
            </w:r>
          </w:p>
        </w:tc>
        <w:tc>
          <w:tcPr>
            <w:tcW w:w="1340" w:type="dxa"/>
            <w:vAlign w:val="bottom"/>
            <w:vMerge w:val="continue"/>
          </w:tcPr>
          <w:p>
            <w:pPr>
              <w:spacing w:after="0"/>
              <w:rPr>
                <w:sz w:val="16"/>
                <w:szCs w:val="16"/>
                <w:color w:val="auto"/>
              </w:rPr>
            </w:pPr>
          </w:p>
        </w:tc>
        <w:tc>
          <w:tcPr>
            <w:tcW w:w="3120" w:type="dxa"/>
            <w:vAlign w:val="bottom"/>
          </w:tcPr>
          <w:p>
            <w:pPr>
              <w:spacing w:after="0"/>
              <w:rPr>
                <w:sz w:val="16"/>
                <w:szCs w:val="16"/>
                <w:color w:val="auto"/>
              </w:rPr>
            </w:pPr>
          </w:p>
        </w:tc>
        <w:tc>
          <w:tcPr>
            <w:tcW w:w="3480" w:type="dxa"/>
            <w:vAlign w:val="bottom"/>
          </w:tcPr>
          <w:p>
            <w:pPr>
              <w:ind w:left="1540"/>
              <w:spacing w:after="0" w:line="189" w:lineRule="exact"/>
              <w:rPr>
                <w:sz w:val="20"/>
                <w:szCs w:val="20"/>
                <w:color w:val="auto"/>
              </w:rPr>
            </w:pPr>
            <w:r>
              <w:rPr>
                <w:rFonts w:ascii="Arial" w:cs="Arial" w:eastAsia="Arial" w:hAnsi="Arial"/>
                <w:sz w:val="18"/>
                <w:szCs w:val="18"/>
                <w:color w:val="auto"/>
              </w:rPr>
              <w:t>Non-accelerated filer</w:t>
            </w:r>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260" w:type="dxa"/>
            <w:vAlign w:val="bottom"/>
          </w:tcPr>
          <w:p>
            <w:pPr>
              <w:spacing w:after="0"/>
              <w:rPr>
                <w:sz w:val="20"/>
                <w:szCs w:val="20"/>
                <w:color w:val="auto"/>
              </w:rPr>
            </w:pPr>
            <w:r>
              <w:rPr>
                <w:rFonts w:ascii="Arial" w:cs="Arial" w:eastAsia="Arial" w:hAnsi="Arial"/>
                <w:sz w:val="18"/>
                <w:szCs w:val="18"/>
                <w:color w:val="auto"/>
              </w:rPr>
              <w:t>Smaller reporting company</w:t>
            </w:r>
          </w:p>
        </w:tc>
        <w:tc>
          <w:tcPr>
            <w:tcW w:w="13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12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3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260" w:type="dxa"/>
            <w:vAlign w:val="bottom"/>
          </w:tcPr>
          <w:p>
            <w:pPr>
              <w:spacing w:after="0"/>
              <w:rPr>
                <w:sz w:val="20"/>
                <w:szCs w:val="20"/>
                <w:color w:val="auto"/>
              </w:rPr>
            </w:pPr>
            <w:r>
              <w:rPr>
                <w:rFonts w:ascii="Arial" w:cs="Arial" w:eastAsia="Arial" w:hAnsi="Arial"/>
                <w:sz w:val="18"/>
                <w:szCs w:val="18"/>
                <w:color w:val="auto"/>
              </w:rPr>
              <w:t>CECONY</w:t>
            </w:r>
          </w:p>
        </w:tc>
        <w:tc>
          <w:tcPr>
            <w:tcW w:w="134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120" w:type="dxa"/>
            <w:vAlign w:val="bottom"/>
            <w:vMerge w:val="restart"/>
          </w:tcPr>
          <w:p>
            <w:pPr>
              <w:ind w:left="6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480" w:type="dxa"/>
            <w:vAlign w:val="bottom"/>
          </w:tcPr>
          <w:p>
            <w:pPr>
              <w:spacing w:after="0"/>
              <w:rPr>
                <w:sz w:val="18"/>
                <w:szCs w:val="18"/>
                <w:color w:val="auto"/>
              </w:rPr>
            </w:pPr>
          </w:p>
        </w:tc>
        <w:tc>
          <w:tcPr>
            <w:tcW w:w="42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6"/>
        </w:trPr>
        <w:tc>
          <w:tcPr>
            <w:tcW w:w="2260" w:type="dxa"/>
            <w:vAlign w:val="bottom"/>
          </w:tcPr>
          <w:p>
            <w:pPr>
              <w:spacing w:after="0" w:line="196" w:lineRule="exact"/>
              <w:rPr>
                <w:sz w:val="20"/>
                <w:szCs w:val="20"/>
                <w:color w:val="auto"/>
              </w:rPr>
            </w:pPr>
            <w:r>
              <w:rPr>
                <w:rFonts w:ascii="Arial" w:cs="Arial" w:eastAsia="Arial" w:hAnsi="Arial"/>
                <w:sz w:val="18"/>
                <w:szCs w:val="18"/>
                <w:color w:val="auto"/>
              </w:rPr>
              <w:t>Large accelerated filer</w:t>
            </w:r>
          </w:p>
        </w:tc>
        <w:tc>
          <w:tcPr>
            <w:tcW w:w="1340" w:type="dxa"/>
            <w:vAlign w:val="bottom"/>
            <w:vMerge w:val="continue"/>
          </w:tcPr>
          <w:p>
            <w:pPr>
              <w:spacing w:after="0"/>
              <w:rPr>
                <w:sz w:val="17"/>
                <w:szCs w:val="17"/>
                <w:color w:val="auto"/>
              </w:rPr>
            </w:pPr>
          </w:p>
        </w:tc>
        <w:tc>
          <w:tcPr>
            <w:tcW w:w="3120" w:type="dxa"/>
            <w:vAlign w:val="bottom"/>
            <w:vMerge w:val="continue"/>
          </w:tcPr>
          <w:p>
            <w:pPr>
              <w:spacing w:after="0"/>
              <w:rPr>
                <w:sz w:val="17"/>
                <w:szCs w:val="17"/>
                <w:color w:val="auto"/>
              </w:rPr>
            </w:pPr>
          </w:p>
        </w:tc>
        <w:tc>
          <w:tcPr>
            <w:tcW w:w="3480" w:type="dxa"/>
            <w:vAlign w:val="bottom"/>
          </w:tcPr>
          <w:p>
            <w:pPr>
              <w:ind w:left="1540"/>
              <w:spacing w:after="0" w:line="196" w:lineRule="exact"/>
              <w:rPr>
                <w:sz w:val="20"/>
                <w:szCs w:val="20"/>
                <w:color w:val="auto"/>
              </w:rPr>
            </w:pPr>
            <w:r>
              <w:rPr>
                <w:rFonts w:ascii="Arial" w:cs="Arial" w:eastAsia="Arial" w:hAnsi="Arial"/>
                <w:sz w:val="18"/>
                <w:szCs w:val="18"/>
                <w:color w:val="auto"/>
              </w:rPr>
              <w:t>Non-accelerated filer</w:t>
            </w: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Smaller reporting company</w:t>
            </w:r>
          </w:p>
        </w:tc>
        <w:tc>
          <w:tcPr>
            <w:tcW w:w="13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12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3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40"/>
          </w:cols>
          <w:pgMar w:left="320" w:top="1048"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bookmarkStart w:id="1" w:name="page2"/>
    <w:bookmarkEnd w:id="1"/>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240"/>
          </w:cols>
          <w:pgMar w:left="320" w:top="463" w:right="339" w:bottom="1440" w:gutter="0" w:footer="0" w:header="0"/>
        </w:sectPr>
      </w:pP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 Edison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CECONY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7" w:lineRule="exact"/>
        <w:rPr>
          <w:sz w:val="20"/>
          <w:szCs w:val="20"/>
          <w:color w:val="auto"/>
        </w:rPr>
      </w:pPr>
    </w:p>
    <w:p>
      <w:pPr>
        <w:sectPr>
          <w:pgSz w:w="11900" w:h="16838" w:orient="portrait"/>
          <w:cols w:equalWidth="0" w:num="4">
            <w:col w:w="7440" w:space="720"/>
            <w:col w:w="300" w:space="340"/>
            <w:col w:w="460" w:space="720"/>
            <w:col w:w="1260"/>
          </w:cols>
          <w:pgMar w:left="320" w:top="463" w:right="339" w:bottom="1440" w:gutter="0" w:footer="0" w:header="0"/>
          <w:type w:val="continuous"/>
        </w:sectPr>
      </w:pPr>
    </w:p>
    <w:p>
      <w:pPr>
        <w:spacing w:after="0" w:line="14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As of July 31, 2021, Con Edison had outstanding 353,381,808 Common Shares ($.10 par value). All of the outstanding common equity of CECONY is held by Con Edison.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Filing Format</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Quarterly Report on Form 10-Q is a combined report being filed separately by two different registrants: Consolidated Edison, Inc. (Con Edison) and Consolidated Edison Company of New York, Inc. (CECONY). CECONY is a wholly-owned subsidiary of Con Edison and, as such, the information in this report about CECONY also applies to Con Edison. As used in this report, the term the “Companies” refers to Con Edison and CECONY. However, CECONY makes no representation as to the information contained in this report relating to Con Edison or the subsidiaries of Con Edison other than itself.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96520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62230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Glossary of Terms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glossary of abbreviations or acronyms that are used in the Companies’ SEC reports:</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Con Edison Companies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Borders>
              <w:top w:val="single" w:sz="8" w:color="8C8272"/>
            </w:tcBorders>
          </w:tcPr>
          <w:p>
            <w:pPr>
              <w:ind w:left="20"/>
              <w:spacing w:after="0"/>
              <w:rPr>
                <w:sz w:val="20"/>
                <w:szCs w:val="20"/>
                <w:color w:val="auto"/>
              </w:rPr>
            </w:pPr>
            <w:r>
              <w:rPr>
                <w:rFonts w:ascii="Arial" w:cs="Arial" w:eastAsia="Arial" w:hAnsi="Arial"/>
                <w:sz w:val="14"/>
                <w:szCs w:val="14"/>
                <w:color w:val="auto"/>
              </w:rPr>
              <w:t>Con Edison</w:t>
            </w:r>
          </w:p>
        </w:tc>
        <w:tc>
          <w:tcPr>
            <w:tcW w:w="8680" w:type="dxa"/>
            <w:vAlign w:val="bottom"/>
            <w:tcBorders>
              <w:top w:val="single" w:sz="8" w:color="8C8272"/>
            </w:tcBorders>
          </w:tcPr>
          <w:p>
            <w:pPr>
              <w:ind w:left="840"/>
              <w:spacing w:after="0"/>
              <w:rPr>
                <w:sz w:val="20"/>
                <w:szCs w:val="20"/>
                <w:color w:val="auto"/>
              </w:rPr>
            </w:pPr>
            <w:r>
              <w:rPr>
                <w:rFonts w:ascii="Arial" w:cs="Arial" w:eastAsia="Arial" w:hAnsi="Arial"/>
                <w:sz w:val="14"/>
                <w:szCs w:val="14"/>
                <w:color w:val="auto"/>
              </w:rPr>
              <w:t>Consolidated Edison, Inc.</w:t>
            </w: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CECONY</w:t>
            </w:r>
          </w:p>
        </w:tc>
        <w:tc>
          <w:tcPr>
            <w:tcW w:w="8680" w:type="dxa"/>
            <w:vAlign w:val="bottom"/>
          </w:tcPr>
          <w:p>
            <w:pPr>
              <w:ind w:left="840"/>
              <w:spacing w:after="0"/>
              <w:rPr>
                <w:sz w:val="20"/>
                <w:szCs w:val="20"/>
                <w:color w:val="auto"/>
              </w:rPr>
            </w:pPr>
            <w:r>
              <w:rPr>
                <w:rFonts w:ascii="Arial" w:cs="Arial" w:eastAsia="Arial" w:hAnsi="Arial"/>
                <w:sz w:val="14"/>
                <w:szCs w:val="14"/>
                <w:color w:val="auto"/>
              </w:rPr>
              <w:t>Consolidated Edison Company of New York, Inc.</w:t>
            </w: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Clean Energy Businesses</w:t>
            </w:r>
          </w:p>
        </w:tc>
        <w:tc>
          <w:tcPr>
            <w:tcW w:w="8680" w:type="dxa"/>
            <w:vAlign w:val="bottom"/>
          </w:tcPr>
          <w:p>
            <w:pPr>
              <w:ind w:left="840"/>
              <w:spacing w:after="0"/>
              <w:rPr>
                <w:sz w:val="20"/>
                <w:szCs w:val="20"/>
                <w:color w:val="auto"/>
              </w:rPr>
            </w:pPr>
            <w:r>
              <w:rPr>
                <w:rFonts w:ascii="Arial" w:cs="Arial" w:eastAsia="Arial" w:hAnsi="Arial"/>
                <w:sz w:val="14"/>
                <w:szCs w:val="14"/>
                <w:color w:val="auto"/>
              </w:rPr>
              <w:t>Con Edison Clean Energy Businesses, Inc., together with its subsidiaries</w:t>
            </w: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Con Edison Transmission</w:t>
            </w:r>
          </w:p>
        </w:tc>
        <w:tc>
          <w:tcPr>
            <w:tcW w:w="8680" w:type="dxa"/>
            <w:vAlign w:val="bottom"/>
          </w:tcPr>
          <w:p>
            <w:pPr>
              <w:ind w:left="840"/>
              <w:spacing w:after="0"/>
              <w:rPr>
                <w:sz w:val="20"/>
                <w:szCs w:val="20"/>
                <w:color w:val="auto"/>
              </w:rPr>
            </w:pPr>
            <w:r>
              <w:rPr>
                <w:rFonts w:ascii="Arial" w:cs="Arial" w:eastAsia="Arial" w:hAnsi="Arial"/>
                <w:sz w:val="14"/>
                <w:szCs w:val="14"/>
                <w:color w:val="auto"/>
              </w:rPr>
              <w:t>Con Edison Transmission, Inc., together with its subsidiaries</w:t>
            </w: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CET Electric</w:t>
            </w:r>
          </w:p>
        </w:tc>
        <w:tc>
          <w:tcPr>
            <w:tcW w:w="8680" w:type="dxa"/>
            <w:vAlign w:val="bottom"/>
          </w:tcPr>
          <w:p>
            <w:pPr>
              <w:ind w:left="840"/>
              <w:spacing w:after="0"/>
              <w:rPr>
                <w:sz w:val="20"/>
                <w:szCs w:val="20"/>
                <w:color w:val="auto"/>
              </w:rPr>
            </w:pPr>
            <w:r>
              <w:rPr>
                <w:rFonts w:ascii="Arial" w:cs="Arial" w:eastAsia="Arial" w:hAnsi="Arial"/>
                <w:sz w:val="14"/>
                <w:szCs w:val="14"/>
                <w:color w:val="auto"/>
              </w:rPr>
              <w:t>Consolidated Edison Transmission, LLC</w:t>
            </w: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CET Gas</w:t>
            </w:r>
          </w:p>
        </w:tc>
        <w:tc>
          <w:tcPr>
            <w:tcW w:w="8680" w:type="dxa"/>
            <w:vAlign w:val="bottom"/>
          </w:tcPr>
          <w:p>
            <w:pPr>
              <w:ind w:left="840"/>
              <w:spacing w:after="0"/>
              <w:rPr>
                <w:sz w:val="20"/>
                <w:szCs w:val="20"/>
                <w:color w:val="auto"/>
              </w:rPr>
            </w:pPr>
            <w:r>
              <w:rPr>
                <w:rFonts w:ascii="Arial" w:cs="Arial" w:eastAsia="Arial" w:hAnsi="Arial"/>
                <w:sz w:val="14"/>
                <w:szCs w:val="14"/>
                <w:color w:val="auto"/>
              </w:rPr>
              <w:t>Con Edison Gas Pipeline and Storage, LLC</w:t>
            </w: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O&amp;R</w:t>
            </w:r>
          </w:p>
        </w:tc>
        <w:tc>
          <w:tcPr>
            <w:tcW w:w="8680" w:type="dxa"/>
            <w:vAlign w:val="bottom"/>
          </w:tcPr>
          <w:p>
            <w:pPr>
              <w:ind w:left="840"/>
              <w:spacing w:after="0"/>
              <w:rPr>
                <w:sz w:val="20"/>
                <w:szCs w:val="20"/>
                <w:color w:val="auto"/>
              </w:rPr>
            </w:pPr>
            <w:r>
              <w:rPr>
                <w:rFonts w:ascii="Arial" w:cs="Arial" w:eastAsia="Arial" w:hAnsi="Arial"/>
                <w:sz w:val="14"/>
                <w:szCs w:val="14"/>
                <w:color w:val="auto"/>
              </w:rPr>
              <w:t>Orange and Rockland Utilities, Inc.</w:t>
            </w: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RECO</w:t>
            </w:r>
          </w:p>
        </w:tc>
        <w:tc>
          <w:tcPr>
            <w:tcW w:w="8680" w:type="dxa"/>
            <w:vAlign w:val="bottom"/>
          </w:tcPr>
          <w:p>
            <w:pPr>
              <w:ind w:left="840"/>
              <w:spacing w:after="0"/>
              <w:rPr>
                <w:sz w:val="20"/>
                <w:szCs w:val="20"/>
                <w:color w:val="auto"/>
              </w:rPr>
            </w:pPr>
            <w:r>
              <w:rPr>
                <w:rFonts w:ascii="Arial" w:cs="Arial" w:eastAsia="Arial" w:hAnsi="Arial"/>
                <w:sz w:val="14"/>
                <w:szCs w:val="14"/>
                <w:color w:val="auto"/>
              </w:rPr>
              <w:t>Rockland Electric Company</w:t>
            </w: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The Companies</w:t>
            </w:r>
          </w:p>
        </w:tc>
        <w:tc>
          <w:tcPr>
            <w:tcW w:w="8680" w:type="dxa"/>
            <w:vAlign w:val="bottom"/>
          </w:tcPr>
          <w:p>
            <w:pPr>
              <w:ind w:left="840"/>
              <w:spacing w:after="0"/>
              <w:rPr>
                <w:sz w:val="20"/>
                <w:szCs w:val="20"/>
                <w:color w:val="auto"/>
              </w:rPr>
            </w:pPr>
            <w:r>
              <w:rPr>
                <w:rFonts w:ascii="Arial" w:cs="Arial" w:eastAsia="Arial" w:hAnsi="Arial"/>
                <w:sz w:val="14"/>
                <w:szCs w:val="14"/>
                <w:color w:val="auto"/>
              </w:rPr>
              <w:t>Con Edison and CECONY</w:t>
            </w: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The Utilities</w:t>
            </w:r>
          </w:p>
        </w:tc>
        <w:tc>
          <w:tcPr>
            <w:tcW w:w="8680" w:type="dxa"/>
            <w:vAlign w:val="bottom"/>
          </w:tcPr>
          <w:p>
            <w:pPr>
              <w:ind w:left="840"/>
              <w:spacing w:after="0"/>
              <w:rPr>
                <w:sz w:val="20"/>
                <w:szCs w:val="20"/>
                <w:color w:val="auto"/>
              </w:rPr>
            </w:pPr>
            <w:r>
              <w:rPr>
                <w:rFonts w:ascii="Arial" w:cs="Arial" w:eastAsia="Arial" w:hAnsi="Arial"/>
                <w:sz w:val="14"/>
                <w:szCs w:val="14"/>
                <w:color w:val="auto"/>
              </w:rPr>
              <w:t>CECONY and O&amp;R</w:t>
            </w:r>
          </w:p>
        </w:tc>
      </w:tr>
    </w:tbl>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Regulatory Agencies, Government Agencies and Other Organizations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60" w:type="dxa"/>
            <w:vAlign w:val="bottom"/>
            <w:tcBorders>
              <w:top w:val="single" w:sz="8" w:color="8C8272"/>
            </w:tcBorders>
          </w:tcPr>
          <w:p>
            <w:pPr>
              <w:ind w:left="20"/>
              <w:spacing w:after="0"/>
              <w:rPr>
                <w:sz w:val="20"/>
                <w:szCs w:val="20"/>
                <w:color w:val="auto"/>
              </w:rPr>
            </w:pPr>
            <w:r>
              <w:rPr>
                <w:rFonts w:ascii="Arial" w:cs="Arial" w:eastAsia="Arial" w:hAnsi="Arial"/>
                <w:sz w:val="14"/>
                <w:szCs w:val="14"/>
                <w:color w:val="auto"/>
              </w:rPr>
              <w:t>CPUC</w:t>
            </w:r>
          </w:p>
        </w:tc>
        <w:tc>
          <w:tcPr>
            <w:tcW w:w="9160" w:type="dxa"/>
            <w:vAlign w:val="bottom"/>
            <w:tcBorders>
              <w:top w:val="single" w:sz="8" w:color="8C8272"/>
            </w:tcBorders>
          </w:tcPr>
          <w:p>
            <w:pPr>
              <w:ind w:left="1320"/>
              <w:spacing w:after="0"/>
              <w:rPr>
                <w:sz w:val="20"/>
                <w:szCs w:val="20"/>
                <w:color w:val="auto"/>
              </w:rPr>
            </w:pPr>
            <w:r>
              <w:rPr>
                <w:rFonts w:ascii="Arial" w:cs="Arial" w:eastAsia="Arial" w:hAnsi="Arial"/>
                <w:sz w:val="14"/>
                <w:szCs w:val="14"/>
                <w:color w:val="auto"/>
              </w:rPr>
              <w:t>California Public Utilities Commission</w:t>
            </w: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EPA</w:t>
            </w:r>
          </w:p>
        </w:tc>
        <w:tc>
          <w:tcPr>
            <w:tcW w:w="9160" w:type="dxa"/>
            <w:vAlign w:val="bottom"/>
          </w:tcPr>
          <w:p>
            <w:pPr>
              <w:ind w:left="1320"/>
              <w:spacing w:after="0"/>
              <w:rPr>
                <w:sz w:val="20"/>
                <w:szCs w:val="20"/>
                <w:color w:val="auto"/>
              </w:rPr>
            </w:pPr>
            <w:r>
              <w:rPr>
                <w:rFonts w:ascii="Arial" w:cs="Arial" w:eastAsia="Arial" w:hAnsi="Arial"/>
                <w:sz w:val="14"/>
                <w:szCs w:val="14"/>
                <w:color w:val="auto"/>
              </w:rPr>
              <w:t>U.S. Environmental Protection Agency</w:t>
            </w: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FASB</w:t>
            </w:r>
          </w:p>
        </w:tc>
        <w:tc>
          <w:tcPr>
            <w:tcW w:w="9160" w:type="dxa"/>
            <w:vAlign w:val="bottom"/>
          </w:tcPr>
          <w:p>
            <w:pPr>
              <w:ind w:left="1320"/>
              <w:spacing w:after="0"/>
              <w:rPr>
                <w:sz w:val="20"/>
                <w:szCs w:val="20"/>
                <w:color w:val="auto"/>
              </w:rPr>
            </w:pPr>
            <w:r>
              <w:rPr>
                <w:rFonts w:ascii="Arial" w:cs="Arial" w:eastAsia="Arial" w:hAnsi="Arial"/>
                <w:sz w:val="14"/>
                <w:szCs w:val="14"/>
                <w:color w:val="auto"/>
              </w:rPr>
              <w:t>Financial Accounting Standards Board</w:t>
            </w: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FERC</w:t>
            </w:r>
          </w:p>
        </w:tc>
        <w:tc>
          <w:tcPr>
            <w:tcW w:w="9160" w:type="dxa"/>
            <w:vAlign w:val="bottom"/>
          </w:tcPr>
          <w:p>
            <w:pPr>
              <w:ind w:left="1320"/>
              <w:spacing w:after="0"/>
              <w:rPr>
                <w:sz w:val="20"/>
                <w:szCs w:val="20"/>
                <w:color w:val="auto"/>
              </w:rPr>
            </w:pPr>
            <w:r>
              <w:rPr>
                <w:rFonts w:ascii="Arial" w:cs="Arial" w:eastAsia="Arial" w:hAnsi="Arial"/>
                <w:sz w:val="14"/>
                <w:szCs w:val="14"/>
                <w:color w:val="auto"/>
              </w:rPr>
              <w:t>Federal Energy Regulatory Commission</w:t>
            </w: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IASB</w:t>
            </w:r>
          </w:p>
        </w:tc>
        <w:tc>
          <w:tcPr>
            <w:tcW w:w="9160" w:type="dxa"/>
            <w:vAlign w:val="bottom"/>
          </w:tcPr>
          <w:p>
            <w:pPr>
              <w:ind w:left="1320"/>
              <w:spacing w:after="0"/>
              <w:rPr>
                <w:sz w:val="20"/>
                <w:szCs w:val="20"/>
                <w:color w:val="auto"/>
              </w:rPr>
            </w:pPr>
            <w:r>
              <w:rPr>
                <w:rFonts w:ascii="Arial" w:cs="Arial" w:eastAsia="Arial" w:hAnsi="Arial"/>
                <w:sz w:val="14"/>
                <w:szCs w:val="14"/>
                <w:color w:val="auto"/>
              </w:rPr>
              <w:t>International Accounting Standards Board</w:t>
            </w: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IRS</w:t>
            </w:r>
          </w:p>
        </w:tc>
        <w:tc>
          <w:tcPr>
            <w:tcW w:w="9160" w:type="dxa"/>
            <w:vAlign w:val="bottom"/>
          </w:tcPr>
          <w:p>
            <w:pPr>
              <w:ind w:left="1320"/>
              <w:spacing w:after="0"/>
              <w:rPr>
                <w:sz w:val="20"/>
                <w:szCs w:val="20"/>
                <w:color w:val="auto"/>
              </w:rPr>
            </w:pPr>
            <w:r>
              <w:rPr>
                <w:rFonts w:ascii="Arial" w:cs="Arial" w:eastAsia="Arial" w:hAnsi="Arial"/>
                <w:sz w:val="14"/>
                <w:szCs w:val="14"/>
                <w:color w:val="auto"/>
              </w:rPr>
              <w:t>Internal Revenue Service</w:t>
            </w: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NERC</w:t>
            </w:r>
          </w:p>
        </w:tc>
        <w:tc>
          <w:tcPr>
            <w:tcW w:w="9160" w:type="dxa"/>
            <w:vAlign w:val="bottom"/>
          </w:tcPr>
          <w:p>
            <w:pPr>
              <w:ind w:left="1320"/>
              <w:spacing w:after="0"/>
              <w:rPr>
                <w:sz w:val="20"/>
                <w:szCs w:val="20"/>
                <w:color w:val="auto"/>
              </w:rPr>
            </w:pPr>
            <w:r>
              <w:rPr>
                <w:rFonts w:ascii="Arial" w:cs="Arial" w:eastAsia="Arial" w:hAnsi="Arial"/>
                <w:sz w:val="14"/>
                <w:szCs w:val="14"/>
                <w:color w:val="auto"/>
              </w:rPr>
              <w:t>North American Electric Reliability Corporation</w:t>
            </w: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NJBPU</w:t>
            </w:r>
          </w:p>
        </w:tc>
        <w:tc>
          <w:tcPr>
            <w:tcW w:w="9160" w:type="dxa"/>
            <w:vAlign w:val="bottom"/>
          </w:tcPr>
          <w:p>
            <w:pPr>
              <w:ind w:left="1320"/>
              <w:spacing w:after="0"/>
              <w:rPr>
                <w:sz w:val="20"/>
                <w:szCs w:val="20"/>
                <w:color w:val="auto"/>
              </w:rPr>
            </w:pPr>
            <w:r>
              <w:rPr>
                <w:rFonts w:ascii="Arial" w:cs="Arial" w:eastAsia="Arial" w:hAnsi="Arial"/>
                <w:sz w:val="14"/>
                <w:szCs w:val="14"/>
                <w:color w:val="auto"/>
              </w:rPr>
              <w:t>New Jersey Board of Public Utilities</w:t>
            </w: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NJDEP</w:t>
            </w:r>
          </w:p>
        </w:tc>
        <w:tc>
          <w:tcPr>
            <w:tcW w:w="9160" w:type="dxa"/>
            <w:vAlign w:val="bottom"/>
          </w:tcPr>
          <w:p>
            <w:pPr>
              <w:ind w:left="1320"/>
              <w:spacing w:after="0"/>
              <w:rPr>
                <w:sz w:val="20"/>
                <w:szCs w:val="20"/>
                <w:color w:val="auto"/>
              </w:rPr>
            </w:pPr>
            <w:r>
              <w:rPr>
                <w:rFonts w:ascii="Arial" w:cs="Arial" w:eastAsia="Arial" w:hAnsi="Arial"/>
                <w:sz w:val="14"/>
                <w:szCs w:val="14"/>
                <w:color w:val="auto"/>
              </w:rPr>
              <w:t>New Jersey Department of Environmental Protection</w:t>
            </w: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NYISO</w:t>
            </w:r>
          </w:p>
        </w:tc>
        <w:tc>
          <w:tcPr>
            <w:tcW w:w="9160" w:type="dxa"/>
            <w:vAlign w:val="bottom"/>
          </w:tcPr>
          <w:p>
            <w:pPr>
              <w:ind w:left="1320"/>
              <w:spacing w:after="0"/>
              <w:rPr>
                <w:sz w:val="20"/>
                <w:szCs w:val="20"/>
                <w:color w:val="auto"/>
              </w:rPr>
            </w:pPr>
            <w:r>
              <w:rPr>
                <w:rFonts w:ascii="Arial" w:cs="Arial" w:eastAsia="Arial" w:hAnsi="Arial"/>
                <w:sz w:val="14"/>
                <w:szCs w:val="14"/>
                <w:color w:val="auto"/>
              </w:rPr>
              <w:t>New York Independent System Operator</w:t>
            </w: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NYPA</w:t>
            </w:r>
          </w:p>
        </w:tc>
        <w:tc>
          <w:tcPr>
            <w:tcW w:w="9160" w:type="dxa"/>
            <w:vAlign w:val="bottom"/>
          </w:tcPr>
          <w:p>
            <w:pPr>
              <w:ind w:left="1320"/>
              <w:spacing w:after="0"/>
              <w:rPr>
                <w:sz w:val="20"/>
                <w:szCs w:val="20"/>
                <w:color w:val="auto"/>
              </w:rPr>
            </w:pPr>
            <w:r>
              <w:rPr>
                <w:rFonts w:ascii="Arial" w:cs="Arial" w:eastAsia="Arial" w:hAnsi="Arial"/>
                <w:sz w:val="14"/>
                <w:szCs w:val="14"/>
                <w:color w:val="auto"/>
              </w:rPr>
              <w:t>New York Power Authority</w:t>
            </w: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NYSDEC</w:t>
            </w:r>
          </w:p>
        </w:tc>
        <w:tc>
          <w:tcPr>
            <w:tcW w:w="9160" w:type="dxa"/>
            <w:vAlign w:val="bottom"/>
          </w:tcPr>
          <w:p>
            <w:pPr>
              <w:ind w:left="1320"/>
              <w:spacing w:after="0"/>
              <w:rPr>
                <w:sz w:val="20"/>
                <w:szCs w:val="20"/>
                <w:color w:val="auto"/>
              </w:rPr>
            </w:pPr>
            <w:r>
              <w:rPr>
                <w:rFonts w:ascii="Arial" w:cs="Arial" w:eastAsia="Arial" w:hAnsi="Arial"/>
                <w:sz w:val="14"/>
                <w:szCs w:val="14"/>
                <w:color w:val="auto"/>
              </w:rPr>
              <w:t>New York State Department of Environmental Conservation</w:t>
            </w: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NYSDPS</w:t>
            </w:r>
          </w:p>
        </w:tc>
        <w:tc>
          <w:tcPr>
            <w:tcW w:w="9160" w:type="dxa"/>
            <w:vAlign w:val="bottom"/>
          </w:tcPr>
          <w:p>
            <w:pPr>
              <w:ind w:left="1320"/>
              <w:spacing w:after="0"/>
              <w:rPr>
                <w:sz w:val="20"/>
                <w:szCs w:val="20"/>
                <w:color w:val="auto"/>
              </w:rPr>
            </w:pPr>
            <w:r>
              <w:rPr>
                <w:rFonts w:ascii="Arial" w:cs="Arial" w:eastAsia="Arial" w:hAnsi="Arial"/>
                <w:sz w:val="14"/>
                <w:szCs w:val="14"/>
                <w:color w:val="auto"/>
              </w:rPr>
              <w:t>New York State Department of Public Service</w:t>
            </w: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NYSERDA</w:t>
            </w:r>
          </w:p>
        </w:tc>
        <w:tc>
          <w:tcPr>
            <w:tcW w:w="9160" w:type="dxa"/>
            <w:vAlign w:val="bottom"/>
          </w:tcPr>
          <w:p>
            <w:pPr>
              <w:ind w:left="1320"/>
              <w:spacing w:after="0"/>
              <w:rPr>
                <w:sz w:val="20"/>
                <w:szCs w:val="20"/>
                <w:color w:val="auto"/>
              </w:rPr>
            </w:pPr>
            <w:r>
              <w:rPr>
                <w:rFonts w:ascii="Arial" w:cs="Arial" w:eastAsia="Arial" w:hAnsi="Arial"/>
                <w:sz w:val="14"/>
                <w:szCs w:val="14"/>
                <w:color w:val="auto"/>
              </w:rPr>
              <w:t>New York State Energy Research and Development Authority</w:t>
            </w: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NYSPSC</w:t>
            </w:r>
          </w:p>
        </w:tc>
        <w:tc>
          <w:tcPr>
            <w:tcW w:w="9160" w:type="dxa"/>
            <w:vAlign w:val="bottom"/>
          </w:tcPr>
          <w:p>
            <w:pPr>
              <w:ind w:left="1320"/>
              <w:spacing w:after="0"/>
              <w:rPr>
                <w:sz w:val="20"/>
                <w:szCs w:val="20"/>
                <w:color w:val="auto"/>
              </w:rPr>
            </w:pPr>
            <w:r>
              <w:rPr>
                <w:rFonts w:ascii="Arial" w:cs="Arial" w:eastAsia="Arial" w:hAnsi="Arial"/>
                <w:sz w:val="14"/>
                <w:szCs w:val="14"/>
                <w:color w:val="auto"/>
              </w:rPr>
              <w:t>New York State Public Service Commission</w:t>
            </w: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NYSRC</w:t>
            </w:r>
          </w:p>
        </w:tc>
        <w:tc>
          <w:tcPr>
            <w:tcW w:w="9160" w:type="dxa"/>
            <w:vAlign w:val="bottom"/>
          </w:tcPr>
          <w:p>
            <w:pPr>
              <w:ind w:left="1320"/>
              <w:spacing w:after="0"/>
              <w:rPr>
                <w:sz w:val="20"/>
                <w:szCs w:val="20"/>
                <w:color w:val="auto"/>
              </w:rPr>
            </w:pPr>
            <w:r>
              <w:rPr>
                <w:rFonts w:ascii="Arial" w:cs="Arial" w:eastAsia="Arial" w:hAnsi="Arial"/>
                <w:sz w:val="14"/>
                <w:szCs w:val="14"/>
                <w:color w:val="auto"/>
              </w:rPr>
              <w:t>New York State Reliability Council, LLC</w:t>
            </w: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PHMSA</w:t>
            </w:r>
          </w:p>
        </w:tc>
        <w:tc>
          <w:tcPr>
            <w:tcW w:w="9160" w:type="dxa"/>
            <w:vAlign w:val="bottom"/>
          </w:tcPr>
          <w:p>
            <w:pPr>
              <w:ind w:left="1320"/>
              <w:spacing w:after="0"/>
              <w:rPr>
                <w:sz w:val="20"/>
                <w:szCs w:val="20"/>
                <w:color w:val="auto"/>
              </w:rPr>
            </w:pPr>
            <w:r>
              <w:rPr>
                <w:rFonts w:ascii="Arial" w:cs="Arial" w:eastAsia="Arial" w:hAnsi="Arial"/>
                <w:sz w:val="14"/>
                <w:szCs w:val="14"/>
                <w:color w:val="auto"/>
              </w:rPr>
              <w:t>U.S. Department of Transportation’s Pipeline and Hazardous Materials Safety Administration</w:t>
            </w: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PJM</w:t>
            </w:r>
          </w:p>
        </w:tc>
        <w:tc>
          <w:tcPr>
            <w:tcW w:w="9160" w:type="dxa"/>
            <w:vAlign w:val="bottom"/>
          </w:tcPr>
          <w:p>
            <w:pPr>
              <w:ind w:left="1320"/>
              <w:spacing w:after="0"/>
              <w:rPr>
                <w:sz w:val="20"/>
                <w:szCs w:val="20"/>
                <w:color w:val="auto"/>
              </w:rPr>
            </w:pPr>
            <w:r>
              <w:rPr>
                <w:rFonts w:ascii="Arial" w:cs="Arial" w:eastAsia="Arial" w:hAnsi="Arial"/>
                <w:sz w:val="14"/>
                <w:szCs w:val="14"/>
                <w:color w:val="auto"/>
              </w:rPr>
              <w:t>PJM Interconnection LLC</w:t>
            </w: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SEC</w:t>
            </w:r>
          </w:p>
        </w:tc>
        <w:tc>
          <w:tcPr>
            <w:tcW w:w="9160" w:type="dxa"/>
            <w:vAlign w:val="bottom"/>
          </w:tcPr>
          <w:p>
            <w:pPr>
              <w:ind w:left="1320"/>
              <w:spacing w:after="0"/>
              <w:rPr>
                <w:sz w:val="20"/>
                <w:szCs w:val="20"/>
                <w:color w:val="auto"/>
              </w:rPr>
            </w:pPr>
            <w:r>
              <w:rPr>
                <w:rFonts w:ascii="Arial" w:cs="Arial" w:eastAsia="Arial" w:hAnsi="Arial"/>
                <w:sz w:val="14"/>
                <w:szCs w:val="14"/>
                <w:color w:val="auto"/>
              </w:rPr>
              <w:t>U.S. Securities and Exchange Commission</w:t>
            </w:r>
          </w:p>
        </w:tc>
      </w:tr>
    </w:tbl>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Accounting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Borders>
              <w:top w:val="single" w:sz="8" w:color="8C8272"/>
            </w:tcBorders>
          </w:tcPr>
          <w:p>
            <w:pPr>
              <w:ind w:left="20"/>
              <w:spacing w:after="0"/>
              <w:rPr>
                <w:sz w:val="20"/>
                <w:szCs w:val="20"/>
                <w:color w:val="auto"/>
              </w:rPr>
            </w:pPr>
            <w:r>
              <w:rPr>
                <w:rFonts w:ascii="Arial" w:cs="Arial" w:eastAsia="Arial" w:hAnsi="Arial"/>
                <w:sz w:val="14"/>
                <w:szCs w:val="14"/>
                <w:color w:val="auto"/>
              </w:rPr>
              <w:t>AFUDC</w:t>
            </w:r>
          </w:p>
        </w:tc>
        <w:tc>
          <w:tcPr>
            <w:tcW w:w="9260" w:type="dxa"/>
            <w:vAlign w:val="bottom"/>
            <w:tcBorders>
              <w:top w:val="single" w:sz="8" w:color="8C8272"/>
            </w:tcBorders>
          </w:tcPr>
          <w:p>
            <w:pPr>
              <w:ind w:left="1420"/>
              <w:spacing w:after="0"/>
              <w:rPr>
                <w:sz w:val="20"/>
                <w:szCs w:val="20"/>
                <w:color w:val="auto"/>
              </w:rPr>
            </w:pPr>
            <w:r>
              <w:rPr>
                <w:rFonts w:ascii="Arial" w:cs="Arial" w:eastAsia="Arial" w:hAnsi="Arial"/>
                <w:sz w:val="14"/>
                <w:szCs w:val="14"/>
                <w:color w:val="auto"/>
              </w:rPr>
              <w:t>Allowance for Funds Used During Construction</w:t>
            </w:r>
          </w:p>
        </w:tc>
      </w:tr>
      <w:tr>
        <w:trPr>
          <w:trHeight w:val="189"/>
        </w:trPr>
        <w:tc>
          <w:tcPr>
            <w:tcW w:w="1960" w:type="dxa"/>
            <w:vAlign w:val="bottom"/>
          </w:tcPr>
          <w:p>
            <w:pPr>
              <w:ind w:left="20"/>
              <w:spacing w:after="0"/>
              <w:rPr>
                <w:sz w:val="20"/>
                <w:szCs w:val="20"/>
                <w:color w:val="auto"/>
              </w:rPr>
            </w:pPr>
            <w:r>
              <w:rPr>
                <w:rFonts w:ascii="Arial" w:cs="Arial" w:eastAsia="Arial" w:hAnsi="Arial"/>
                <w:sz w:val="14"/>
                <w:szCs w:val="14"/>
                <w:color w:val="auto"/>
              </w:rPr>
              <w:t>ASU</w:t>
            </w:r>
          </w:p>
        </w:tc>
        <w:tc>
          <w:tcPr>
            <w:tcW w:w="9260" w:type="dxa"/>
            <w:vAlign w:val="bottom"/>
          </w:tcPr>
          <w:p>
            <w:pPr>
              <w:ind w:left="1420"/>
              <w:spacing w:after="0"/>
              <w:rPr>
                <w:sz w:val="20"/>
                <w:szCs w:val="20"/>
                <w:color w:val="auto"/>
              </w:rPr>
            </w:pPr>
            <w:r>
              <w:rPr>
                <w:rFonts w:ascii="Arial" w:cs="Arial" w:eastAsia="Arial" w:hAnsi="Arial"/>
                <w:sz w:val="14"/>
                <w:szCs w:val="14"/>
                <w:color w:val="auto"/>
              </w:rPr>
              <w:t>Accounting Standards Update</w:t>
            </w:r>
          </w:p>
        </w:tc>
      </w:tr>
      <w:tr>
        <w:trPr>
          <w:trHeight w:val="189"/>
        </w:trPr>
        <w:tc>
          <w:tcPr>
            <w:tcW w:w="1960" w:type="dxa"/>
            <w:vAlign w:val="bottom"/>
          </w:tcPr>
          <w:p>
            <w:pPr>
              <w:ind w:left="20"/>
              <w:spacing w:after="0"/>
              <w:rPr>
                <w:sz w:val="20"/>
                <w:szCs w:val="20"/>
                <w:color w:val="auto"/>
              </w:rPr>
            </w:pPr>
            <w:r>
              <w:rPr>
                <w:rFonts w:ascii="Arial" w:cs="Arial" w:eastAsia="Arial" w:hAnsi="Arial"/>
                <w:sz w:val="14"/>
                <w:szCs w:val="14"/>
                <w:color w:val="auto"/>
              </w:rPr>
              <w:t>GAAP</w:t>
            </w:r>
          </w:p>
        </w:tc>
        <w:tc>
          <w:tcPr>
            <w:tcW w:w="9260" w:type="dxa"/>
            <w:vAlign w:val="bottom"/>
          </w:tcPr>
          <w:p>
            <w:pPr>
              <w:ind w:left="1420"/>
              <w:spacing w:after="0"/>
              <w:rPr>
                <w:sz w:val="20"/>
                <w:szCs w:val="20"/>
                <w:color w:val="auto"/>
              </w:rPr>
            </w:pPr>
            <w:r>
              <w:rPr>
                <w:rFonts w:ascii="Arial" w:cs="Arial" w:eastAsia="Arial" w:hAnsi="Arial"/>
                <w:sz w:val="14"/>
                <w:szCs w:val="14"/>
                <w:color w:val="auto"/>
              </w:rPr>
              <w:t>Generally Accepted Accounting Principles in the United States of America</w:t>
            </w:r>
          </w:p>
        </w:tc>
      </w:tr>
      <w:tr>
        <w:trPr>
          <w:trHeight w:val="189"/>
        </w:trPr>
        <w:tc>
          <w:tcPr>
            <w:tcW w:w="1960" w:type="dxa"/>
            <w:vAlign w:val="bottom"/>
          </w:tcPr>
          <w:p>
            <w:pPr>
              <w:ind w:left="20"/>
              <w:spacing w:after="0"/>
              <w:rPr>
                <w:sz w:val="20"/>
                <w:szCs w:val="20"/>
                <w:color w:val="auto"/>
              </w:rPr>
            </w:pPr>
            <w:r>
              <w:rPr>
                <w:rFonts w:ascii="Arial" w:cs="Arial" w:eastAsia="Arial" w:hAnsi="Arial"/>
                <w:sz w:val="14"/>
                <w:szCs w:val="14"/>
                <w:color w:val="auto"/>
              </w:rPr>
              <w:t>HLBV</w:t>
            </w:r>
          </w:p>
        </w:tc>
        <w:tc>
          <w:tcPr>
            <w:tcW w:w="9260" w:type="dxa"/>
            <w:vAlign w:val="bottom"/>
          </w:tcPr>
          <w:p>
            <w:pPr>
              <w:ind w:left="1420"/>
              <w:spacing w:after="0"/>
              <w:rPr>
                <w:sz w:val="20"/>
                <w:szCs w:val="20"/>
                <w:color w:val="auto"/>
              </w:rPr>
            </w:pPr>
            <w:r>
              <w:rPr>
                <w:rFonts w:ascii="Arial" w:cs="Arial" w:eastAsia="Arial" w:hAnsi="Arial"/>
                <w:sz w:val="14"/>
                <w:szCs w:val="14"/>
                <w:color w:val="auto"/>
              </w:rPr>
              <w:t>Hypothetical Liquidation at Book Value</w:t>
            </w:r>
          </w:p>
        </w:tc>
      </w:tr>
      <w:tr>
        <w:trPr>
          <w:trHeight w:val="189"/>
        </w:trPr>
        <w:tc>
          <w:tcPr>
            <w:tcW w:w="1960" w:type="dxa"/>
            <w:vAlign w:val="bottom"/>
          </w:tcPr>
          <w:p>
            <w:pPr>
              <w:ind w:left="20"/>
              <w:spacing w:after="0"/>
              <w:rPr>
                <w:sz w:val="20"/>
                <w:szCs w:val="20"/>
                <w:color w:val="auto"/>
              </w:rPr>
            </w:pPr>
            <w:r>
              <w:rPr>
                <w:rFonts w:ascii="Arial" w:cs="Arial" w:eastAsia="Arial" w:hAnsi="Arial"/>
                <w:sz w:val="14"/>
                <w:szCs w:val="14"/>
                <w:color w:val="auto"/>
              </w:rPr>
              <w:t>NOL</w:t>
            </w:r>
          </w:p>
        </w:tc>
        <w:tc>
          <w:tcPr>
            <w:tcW w:w="9260" w:type="dxa"/>
            <w:vAlign w:val="bottom"/>
          </w:tcPr>
          <w:p>
            <w:pPr>
              <w:ind w:left="1420"/>
              <w:spacing w:after="0"/>
              <w:rPr>
                <w:sz w:val="20"/>
                <w:szCs w:val="20"/>
                <w:color w:val="auto"/>
              </w:rPr>
            </w:pPr>
            <w:r>
              <w:rPr>
                <w:rFonts w:ascii="Arial" w:cs="Arial" w:eastAsia="Arial" w:hAnsi="Arial"/>
                <w:sz w:val="14"/>
                <w:szCs w:val="14"/>
                <w:color w:val="auto"/>
              </w:rPr>
              <w:t>Net Operating Loss</w:t>
            </w:r>
          </w:p>
        </w:tc>
      </w:tr>
      <w:tr>
        <w:trPr>
          <w:trHeight w:val="189"/>
        </w:trPr>
        <w:tc>
          <w:tcPr>
            <w:tcW w:w="1960" w:type="dxa"/>
            <w:vAlign w:val="bottom"/>
          </w:tcPr>
          <w:p>
            <w:pPr>
              <w:ind w:left="20"/>
              <w:spacing w:after="0"/>
              <w:rPr>
                <w:sz w:val="20"/>
                <w:szCs w:val="20"/>
                <w:color w:val="auto"/>
              </w:rPr>
            </w:pPr>
            <w:r>
              <w:rPr>
                <w:rFonts w:ascii="Arial" w:cs="Arial" w:eastAsia="Arial" w:hAnsi="Arial"/>
                <w:sz w:val="14"/>
                <w:szCs w:val="14"/>
                <w:color w:val="auto"/>
              </w:rPr>
              <w:t>OCI</w:t>
            </w:r>
          </w:p>
        </w:tc>
        <w:tc>
          <w:tcPr>
            <w:tcW w:w="9260" w:type="dxa"/>
            <w:vAlign w:val="bottom"/>
          </w:tcPr>
          <w:p>
            <w:pPr>
              <w:ind w:left="1420"/>
              <w:spacing w:after="0"/>
              <w:rPr>
                <w:sz w:val="20"/>
                <w:szCs w:val="20"/>
                <w:color w:val="auto"/>
              </w:rPr>
            </w:pPr>
            <w:r>
              <w:rPr>
                <w:rFonts w:ascii="Arial" w:cs="Arial" w:eastAsia="Arial" w:hAnsi="Arial"/>
                <w:sz w:val="14"/>
                <w:szCs w:val="14"/>
                <w:color w:val="auto"/>
              </w:rPr>
              <w:t>Other Comprehensive Income</w:t>
            </w:r>
          </w:p>
        </w:tc>
      </w:tr>
      <w:tr>
        <w:trPr>
          <w:trHeight w:val="189"/>
        </w:trPr>
        <w:tc>
          <w:tcPr>
            <w:tcW w:w="1960" w:type="dxa"/>
            <w:vAlign w:val="bottom"/>
          </w:tcPr>
          <w:p>
            <w:pPr>
              <w:ind w:left="20"/>
              <w:spacing w:after="0"/>
              <w:rPr>
                <w:sz w:val="20"/>
                <w:szCs w:val="20"/>
                <w:color w:val="auto"/>
              </w:rPr>
            </w:pPr>
            <w:r>
              <w:rPr>
                <w:rFonts w:ascii="Arial" w:cs="Arial" w:eastAsia="Arial" w:hAnsi="Arial"/>
                <w:sz w:val="14"/>
                <w:szCs w:val="14"/>
                <w:color w:val="auto"/>
              </w:rPr>
              <w:t>VIE</w:t>
            </w:r>
          </w:p>
        </w:tc>
        <w:tc>
          <w:tcPr>
            <w:tcW w:w="9260" w:type="dxa"/>
            <w:vAlign w:val="bottom"/>
          </w:tcPr>
          <w:p>
            <w:pPr>
              <w:ind w:left="1420"/>
              <w:spacing w:after="0"/>
              <w:rPr>
                <w:sz w:val="20"/>
                <w:szCs w:val="20"/>
                <w:color w:val="auto"/>
              </w:rPr>
            </w:pPr>
            <w:r>
              <w:rPr>
                <w:rFonts w:ascii="Arial" w:cs="Arial" w:eastAsia="Arial" w:hAnsi="Arial"/>
                <w:sz w:val="14"/>
                <w:szCs w:val="14"/>
                <w:color w:val="auto"/>
              </w:rPr>
              <w:t>Variable Interest Entity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b w:val="1"/>
          <w:bCs w:val="1"/>
          <w:color w:val="828282"/>
        </w:rPr>
        <w:t>Environmental</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40" w:type="dxa"/>
            <w:vAlign w:val="bottom"/>
            <w:tcBorders>
              <w:top w:val="single" w:sz="8" w:color="8C8272"/>
            </w:tcBorders>
          </w:tcPr>
          <w:p>
            <w:pPr>
              <w:ind w:left="20"/>
              <w:spacing w:after="0"/>
              <w:rPr>
                <w:sz w:val="20"/>
                <w:szCs w:val="20"/>
                <w:color w:val="auto"/>
              </w:rPr>
            </w:pPr>
            <w:r>
              <w:rPr>
                <w:rFonts w:ascii="Arial" w:cs="Arial" w:eastAsia="Arial" w:hAnsi="Arial"/>
                <w:sz w:val="14"/>
                <w:szCs w:val="14"/>
                <w:color w:val="auto"/>
              </w:rPr>
              <w:t>CO2</w:t>
            </w:r>
          </w:p>
        </w:tc>
        <w:tc>
          <w:tcPr>
            <w:tcW w:w="9160" w:type="dxa"/>
            <w:vAlign w:val="bottom"/>
            <w:tcBorders>
              <w:top w:val="single" w:sz="8" w:color="8C8272"/>
            </w:tcBorders>
          </w:tcPr>
          <w:p>
            <w:pPr>
              <w:ind w:left="1340"/>
              <w:spacing w:after="0"/>
              <w:rPr>
                <w:sz w:val="20"/>
                <w:szCs w:val="20"/>
                <w:color w:val="auto"/>
              </w:rPr>
            </w:pPr>
            <w:r>
              <w:rPr>
                <w:rFonts w:ascii="Arial" w:cs="Arial" w:eastAsia="Arial" w:hAnsi="Arial"/>
                <w:sz w:val="14"/>
                <w:szCs w:val="14"/>
                <w:color w:val="auto"/>
              </w:rPr>
              <w:t>Carbon dioxide</w:t>
            </w:r>
          </w:p>
        </w:tc>
      </w:tr>
      <w:tr>
        <w:trPr>
          <w:trHeight w:val="189"/>
        </w:trPr>
        <w:tc>
          <w:tcPr>
            <w:tcW w:w="2040" w:type="dxa"/>
            <w:vAlign w:val="bottom"/>
          </w:tcPr>
          <w:p>
            <w:pPr>
              <w:ind w:left="20"/>
              <w:spacing w:after="0"/>
              <w:rPr>
                <w:sz w:val="20"/>
                <w:szCs w:val="20"/>
                <w:color w:val="auto"/>
              </w:rPr>
            </w:pPr>
            <w:r>
              <w:rPr>
                <w:rFonts w:ascii="Arial" w:cs="Arial" w:eastAsia="Arial" w:hAnsi="Arial"/>
                <w:sz w:val="14"/>
                <w:szCs w:val="14"/>
                <w:color w:val="auto"/>
              </w:rPr>
              <w:t>GHG</w:t>
            </w:r>
          </w:p>
        </w:tc>
        <w:tc>
          <w:tcPr>
            <w:tcW w:w="9160" w:type="dxa"/>
            <w:vAlign w:val="bottom"/>
          </w:tcPr>
          <w:p>
            <w:pPr>
              <w:ind w:left="1340"/>
              <w:spacing w:after="0"/>
              <w:rPr>
                <w:sz w:val="20"/>
                <w:szCs w:val="20"/>
                <w:color w:val="auto"/>
              </w:rPr>
            </w:pPr>
            <w:r>
              <w:rPr>
                <w:rFonts w:ascii="Arial" w:cs="Arial" w:eastAsia="Arial" w:hAnsi="Arial"/>
                <w:sz w:val="14"/>
                <w:szCs w:val="14"/>
                <w:color w:val="auto"/>
              </w:rPr>
              <w:t>Greenhouse gases</w:t>
            </w:r>
          </w:p>
        </w:tc>
      </w:tr>
      <w:tr>
        <w:trPr>
          <w:trHeight w:val="189"/>
        </w:trPr>
        <w:tc>
          <w:tcPr>
            <w:tcW w:w="2040" w:type="dxa"/>
            <w:vAlign w:val="bottom"/>
          </w:tcPr>
          <w:p>
            <w:pPr>
              <w:ind w:left="20"/>
              <w:spacing w:after="0"/>
              <w:rPr>
                <w:sz w:val="20"/>
                <w:szCs w:val="20"/>
                <w:color w:val="auto"/>
              </w:rPr>
            </w:pPr>
            <w:r>
              <w:rPr>
                <w:rFonts w:ascii="Arial" w:cs="Arial" w:eastAsia="Arial" w:hAnsi="Arial"/>
                <w:sz w:val="14"/>
                <w:szCs w:val="14"/>
                <w:color w:val="auto"/>
              </w:rPr>
              <w:t>MGP Sites</w:t>
            </w:r>
          </w:p>
        </w:tc>
        <w:tc>
          <w:tcPr>
            <w:tcW w:w="9160" w:type="dxa"/>
            <w:vAlign w:val="bottom"/>
          </w:tcPr>
          <w:p>
            <w:pPr>
              <w:ind w:left="1340"/>
              <w:spacing w:after="0"/>
              <w:rPr>
                <w:sz w:val="20"/>
                <w:szCs w:val="20"/>
                <w:color w:val="auto"/>
              </w:rPr>
            </w:pPr>
            <w:r>
              <w:rPr>
                <w:rFonts w:ascii="Arial" w:cs="Arial" w:eastAsia="Arial" w:hAnsi="Arial"/>
                <w:sz w:val="14"/>
                <w:szCs w:val="14"/>
                <w:color w:val="auto"/>
              </w:rPr>
              <w:t>Manufactured gas plant sites</w:t>
            </w:r>
          </w:p>
        </w:tc>
      </w:tr>
      <w:tr>
        <w:trPr>
          <w:trHeight w:val="189"/>
        </w:trPr>
        <w:tc>
          <w:tcPr>
            <w:tcW w:w="2040" w:type="dxa"/>
            <w:vAlign w:val="bottom"/>
          </w:tcPr>
          <w:p>
            <w:pPr>
              <w:ind w:left="20"/>
              <w:spacing w:after="0"/>
              <w:rPr>
                <w:sz w:val="20"/>
                <w:szCs w:val="20"/>
                <w:color w:val="auto"/>
              </w:rPr>
            </w:pPr>
            <w:r>
              <w:rPr>
                <w:rFonts w:ascii="Arial" w:cs="Arial" w:eastAsia="Arial" w:hAnsi="Arial"/>
                <w:sz w:val="14"/>
                <w:szCs w:val="14"/>
                <w:color w:val="auto"/>
              </w:rPr>
              <w:t>PCBs</w:t>
            </w:r>
          </w:p>
        </w:tc>
        <w:tc>
          <w:tcPr>
            <w:tcW w:w="9160" w:type="dxa"/>
            <w:vAlign w:val="bottom"/>
          </w:tcPr>
          <w:p>
            <w:pPr>
              <w:ind w:left="1340"/>
              <w:spacing w:after="0"/>
              <w:rPr>
                <w:sz w:val="20"/>
                <w:szCs w:val="20"/>
                <w:color w:val="auto"/>
              </w:rPr>
            </w:pPr>
            <w:r>
              <w:rPr>
                <w:rFonts w:ascii="Arial" w:cs="Arial" w:eastAsia="Arial" w:hAnsi="Arial"/>
                <w:sz w:val="14"/>
                <w:szCs w:val="14"/>
                <w:color w:val="auto"/>
              </w:rPr>
              <w:t>Polychlorinated biphenyls</w:t>
            </w:r>
          </w:p>
        </w:tc>
      </w:tr>
      <w:tr>
        <w:trPr>
          <w:trHeight w:val="189"/>
        </w:trPr>
        <w:tc>
          <w:tcPr>
            <w:tcW w:w="2040" w:type="dxa"/>
            <w:vAlign w:val="bottom"/>
          </w:tcPr>
          <w:p>
            <w:pPr>
              <w:ind w:left="20"/>
              <w:spacing w:after="0"/>
              <w:rPr>
                <w:sz w:val="20"/>
                <w:szCs w:val="20"/>
                <w:color w:val="auto"/>
              </w:rPr>
            </w:pPr>
            <w:r>
              <w:rPr>
                <w:rFonts w:ascii="Arial" w:cs="Arial" w:eastAsia="Arial" w:hAnsi="Arial"/>
                <w:sz w:val="14"/>
                <w:szCs w:val="14"/>
                <w:color w:val="auto"/>
              </w:rPr>
              <w:t>PRP</w:t>
            </w:r>
          </w:p>
        </w:tc>
        <w:tc>
          <w:tcPr>
            <w:tcW w:w="9160" w:type="dxa"/>
            <w:vAlign w:val="bottom"/>
          </w:tcPr>
          <w:p>
            <w:pPr>
              <w:ind w:left="1340"/>
              <w:spacing w:after="0"/>
              <w:rPr>
                <w:sz w:val="20"/>
                <w:szCs w:val="20"/>
                <w:color w:val="auto"/>
              </w:rPr>
            </w:pPr>
            <w:r>
              <w:rPr>
                <w:rFonts w:ascii="Arial" w:cs="Arial" w:eastAsia="Arial" w:hAnsi="Arial"/>
                <w:sz w:val="14"/>
                <w:szCs w:val="14"/>
                <w:color w:val="auto"/>
              </w:rPr>
              <w:t>Potentially responsible party</w:t>
            </w:r>
          </w:p>
        </w:tc>
      </w:tr>
      <w:tr>
        <w:trPr>
          <w:trHeight w:val="189"/>
        </w:trPr>
        <w:tc>
          <w:tcPr>
            <w:tcW w:w="2040" w:type="dxa"/>
            <w:vAlign w:val="bottom"/>
          </w:tcPr>
          <w:p>
            <w:pPr>
              <w:ind w:left="20"/>
              <w:spacing w:after="0"/>
              <w:rPr>
                <w:sz w:val="20"/>
                <w:szCs w:val="20"/>
                <w:color w:val="auto"/>
              </w:rPr>
            </w:pPr>
            <w:r>
              <w:rPr>
                <w:rFonts w:ascii="Arial" w:cs="Arial" w:eastAsia="Arial" w:hAnsi="Arial"/>
                <w:sz w:val="14"/>
                <w:szCs w:val="14"/>
                <w:color w:val="auto"/>
              </w:rPr>
              <w:t>RGGI</w:t>
            </w:r>
          </w:p>
        </w:tc>
        <w:tc>
          <w:tcPr>
            <w:tcW w:w="9160" w:type="dxa"/>
            <w:vAlign w:val="bottom"/>
          </w:tcPr>
          <w:p>
            <w:pPr>
              <w:ind w:left="1340"/>
              <w:spacing w:after="0"/>
              <w:rPr>
                <w:sz w:val="20"/>
                <w:szCs w:val="20"/>
                <w:color w:val="auto"/>
              </w:rPr>
            </w:pPr>
            <w:r>
              <w:rPr>
                <w:rFonts w:ascii="Arial" w:cs="Arial" w:eastAsia="Arial" w:hAnsi="Arial"/>
                <w:sz w:val="14"/>
                <w:szCs w:val="14"/>
                <w:color w:val="auto"/>
              </w:rPr>
              <w:t>Regional Greenhouse Gas Initiative</w:t>
            </w:r>
          </w:p>
        </w:tc>
      </w:tr>
      <w:tr>
        <w:trPr>
          <w:trHeight w:val="189"/>
        </w:trPr>
        <w:tc>
          <w:tcPr>
            <w:tcW w:w="2040" w:type="dxa"/>
            <w:vAlign w:val="bottom"/>
          </w:tcPr>
          <w:p>
            <w:pPr>
              <w:ind w:left="20"/>
              <w:spacing w:after="0"/>
              <w:rPr>
                <w:sz w:val="20"/>
                <w:szCs w:val="20"/>
                <w:color w:val="auto"/>
              </w:rPr>
            </w:pPr>
            <w:r>
              <w:rPr>
                <w:rFonts w:ascii="Arial" w:cs="Arial" w:eastAsia="Arial" w:hAnsi="Arial"/>
                <w:sz w:val="14"/>
                <w:szCs w:val="14"/>
                <w:color w:val="auto"/>
              </w:rPr>
              <w:t>Superfund</w:t>
            </w:r>
          </w:p>
        </w:tc>
        <w:tc>
          <w:tcPr>
            <w:tcW w:w="9160" w:type="dxa"/>
            <w:vAlign w:val="bottom"/>
          </w:tcPr>
          <w:p>
            <w:pPr>
              <w:ind w:left="1340"/>
              <w:spacing w:after="0"/>
              <w:rPr>
                <w:sz w:val="20"/>
                <w:szCs w:val="20"/>
                <w:color w:val="auto"/>
              </w:rPr>
            </w:pPr>
            <w:r>
              <w:rPr>
                <w:rFonts w:ascii="Arial" w:cs="Arial" w:eastAsia="Arial" w:hAnsi="Arial"/>
                <w:sz w:val="14"/>
                <w:szCs w:val="14"/>
                <w:color w:val="auto"/>
              </w:rPr>
              <w:t>Federal Comprehensive Environmental Response, Compensation and Liability Act of 1980 and similar state statutes</w:t>
            </w:r>
          </w:p>
        </w:tc>
      </w:tr>
    </w:tbl>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828282"/>
        </w:rPr>
        <w:t>Units of Measure</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880" w:type="dxa"/>
            <w:vAlign w:val="bottom"/>
            <w:tcBorders>
              <w:top w:val="single" w:sz="8" w:color="8C8272"/>
            </w:tcBorders>
          </w:tcPr>
          <w:p>
            <w:pPr>
              <w:ind w:left="20"/>
              <w:spacing w:after="0"/>
              <w:rPr>
                <w:sz w:val="20"/>
                <w:szCs w:val="20"/>
                <w:color w:val="auto"/>
              </w:rPr>
            </w:pPr>
            <w:r>
              <w:rPr>
                <w:rFonts w:ascii="Arial" w:cs="Arial" w:eastAsia="Arial" w:hAnsi="Arial"/>
                <w:sz w:val="14"/>
                <w:szCs w:val="14"/>
                <w:color w:val="auto"/>
              </w:rPr>
              <w:t>AC</w:t>
            </w:r>
          </w:p>
        </w:tc>
        <w:tc>
          <w:tcPr>
            <w:tcW w:w="9320" w:type="dxa"/>
            <w:vAlign w:val="bottom"/>
            <w:tcBorders>
              <w:top w:val="single" w:sz="8" w:color="8C8272"/>
            </w:tcBorders>
          </w:tcPr>
          <w:p>
            <w:pPr>
              <w:ind w:left="1500"/>
              <w:spacing w:after="0"/>
              <w:rPr>
                <w:sz w:val="20"/>
                <w:szCs w:val="20"/>
                <w:color w:val="auto"/>
              </w:rPr>
            </w:pPr>
            <w:r>
              <w:rPr>
                <w:rFonts w:ascii="Arial" w:cs="Arial" w:eastAsia="Arial" w:hAnsi="Arial"/>
                <w:sz w:val="14"/>
                <w:szCs w:val="14"/>
                <w:color w:val="auto"/>
              </w:rPr>
              <w:t>Alternating current</w:t>
            </w:r>
          </w:p>
        </w:tc>
      </w:tr>
      <w:tr>
        <w:trPr>
          <w:trHeight w:val="189"/>
        </w:trPr>
        <w:tc>
          <w:tcPr>
            <w:tcW w:w="1880" w:type="dxa"/>
            <w:vAlign w:val="bottom"/>
          </w:tcPr>
          <w:p>
            <w:pPr>
              <w:ind w:left="20"/>
              <w:spacing w:after="0"/>
              <w:rPr>
                <w:sz w:val="20"/>
                <w:szCs w:val="20"/>
                <w:color w:val="auto"/>
              </w:rPr>
            </w:pPr>
            <w:r>
              <w:rPr>
                <w:rFonts w:ascii="Arial" w:cs="Arial" w:eastAsia="Arial" w:hAnsi="Arial"/>
                <w:sz w:val="14"/>
                <w:szCs w:val="14"/>
                <w:color w:val="auto"/>
              </w:rPr>
              <w:t>Bcf</w:t>
            </w:r>
          </w:p>
        </w:tc>
        <w:tc>
          <w:tcPr>
            <w:tcW w:w="9320" w:type="dxa"/>
            <w:vAlign w:val="bottom"/>
          </w:tcPr>
          <w:p>
            <w:pPr>
              <w:ind w:left="1500"/>
              <w:spacing w:after="0"/>
              <w:rPr>
                <w:sz w:val="20"/>
                <w:szCs w:val="20"/>
                <w:color w:val="auto"/>
              </w:rPr>
            </w:pPr>
            <w:r>
              <w:rPr>
                <w:rFonts w:ascii="Arial" w:cs="Arial" w:eastAsia="Arial" w:hAnsi="Arial"/>
                <w:sz w:val="14"/>
                <w:szCs w:val="14"/>
                <w:color w:val="auto"/>
              </w:rPr>
              <w:t>Billion cubic feet</w:t>
            </w:r>
          </w:p>
        </w:tc>
      </w:tr>
      <w:tr>
        <w:trPr>
          <w:trHeight w:val="189"/>
        </w:trPr>
        <w:tc>
          <w:tcPr>
            <w:tcW w:w="1880" w:type="dxa"/>
            <w:vAlign w:val="bottom"/>
          </w:tcPr>
          <w:p>
            <w:pPr>
              <w:ind w:left="20"/>
              <w:spacing w:after="0"/>
              <w:rPr>
                <w:sz w:val="20"/>
                <w:szCs w:val="20"/>
                <w:color w:val="auto"/>
              </w:rPr>
            </w:pPr>
            <w:r>
              <w:rPr>
                <w:rFonts w:ascii="Arial" w:cs="Arial" w:eastAsia="Arial" w:hAnsi="Arial"/>
                <w:sz w:val="14"/>
                <w:szCs w:val="14"/>
                <w:color w:val="auto"/>
              </w:rPr>
              <w:t>Dt</w:t>
            </w:r>
          </w:p>
        </w:tc>
        <w:tc>
          <w:tcPr>
            <w:tcW w:w="9320" w:type="dxa"/>
            <w:vAlign w:val="bottom"/>
          </w:tcPr>
          <w:p>
            <w:pPr>
              <w:ind w:left="1500"/>
              <w:spacing w:after="0"/>
              <w:rPr>
                <w:sz w:val="20"/>
                <w:szCs w:val="20"/>
                <w:color w:val="auto"/>
              </w:rPr>
            </w:pPr>
            <w:r>
              <w:rPr>
                <w:rFonts w:ascii="Arial" w:cs="Arial" w:eastAsia="Arial" w:hAnsi="Arial"/>
                <w:sz w:val="14"/>
                <w:szCs w:val="14"/>
                <w:color w:val="auto"/>
              </w:rPr>
              <w:t>Dekatherms</w:t>
            </w:r>
          </w:p>
        </w:tc>
      </w:tr>
      <w:tr>
        <w:trPr>
          <w:trHeight w:val="189"/>
        </w:trPr>
        <w:tc>
          <w:tcPr>
            <w:tcW w:w="1880" w:type="dxa"/>
            <w:vAlign w:val="bottom"/>
          </w:tcPr>
          <w:p>
            <w:pPr>
              <w:ind w:left="20"/>
              <w:spacing w:after="0"/>
              <w:rPr>
                <w:sz w:val="20"/>
                <w:szCs w:val="20"/>
                <w:color w:val="auto"/>
              </w:rPr>
            </w:pPr>
            <w:r>
              <w:rPr>
                <w:rFonts w:ascii="Arial" w:cs="Arial" w:eastAsia="Arial" w:hAnsi="Arial"/>
                <w:sz w:val="14"/>
                <w:szCs w:val="14"/>
                <w:color w:val="auto"/>
              </w:rPr>
              <w:t>kV</w:t>
            </w:r>
          </w:p>
        </w:tc>
        <w:tc>
          <w:tcPr>
            <w:tcW w:w="9320" w:type="dxa"/>
            <w:vAlign w:val="bottom"/>
          </w:tcPr>
          <w:p>
            <w:pPr>
              <w:ind w:left="1500"/>
              <w:spacing w:after="0"/>
              <w:rPr>
                <w:sz w:val="20"/>
                <w:szCs w:val="20"/>
                <w:color w:val="auto"/>
              </w:rPr>
            </w:pPr>
            <w:r>
              <w:rPr>
                <w:rFonts w:ascii="Arial" w:cs="Arial" w:eastAsia="Arial" w:hAnsi="Arial"/>
                <w:sz w:val="14"/>
                <w:szCs w:val="14"/>
                <w:color w:val="auto"/>
              </w:rPr>
              <w:t>Kilovolt</w:t>
            </w:r>
          </w:p>
        </w:tc>
      </w:tr>
      <w:tr>
        <w:trPr>
          <w:trHeight w:val="189"/>
        </w:trPr>
        <w:tc>
          <w:tcPr>
            <w:tcW w:w="1880" w:type="dxa"/>
            <w:vAlign w:val="bottom"/>
          </w:tcPr>
          <w:p>
            <w:pPr>
              <w:ind w:left="20"/>
              <w:spacing w:after="0"/>
              <w:rPr>
                <w:sz w:val="20"/>
                <w:szCs w:val="20"/>
                <w:color w:val="auto"/>
              </w:rPr>
            </w:pPr>
            <w:r>
              <w:rPr>
                <w:rFonts w:ascii="Arial" w:cs="Arial" w:eastAsia="Arial" w:hAnsi="Arial"/>
                <w:sz w:val="14"/>
                <w:szCs w:val="14"/>
                <w:color w:val="auto"/>
              </w:rPr>
              <w:t>kWh</w:t>
            </w:r>
          </w:p>
        </w:tc>
        <w:tc>
          <w:tcPr>
            <w:tcW w:w="9320" w:type="dxa"/>
            <w:vAlign w:val="bottom"/>
          </w:tcPr>
          <w:p>
            <w:pPr>
              <w:ind w:left="1500"/>
              <w:spacing w:after="0"/>
              <w:rPr>
                <w:sz w:val="20"/>
                <w:szCs w:val="20"/>
                <w:color w:val="auto"/>
              </w:rPr>
            </w:pPr>
            <w:r>
              <w:rPr>
                <w:rFonts w:ascii="Arial" w:cs="Arial" w:eastAsia="Arial" w:hAnsi="Arial"/>
                <w:sz w:val="14"/>
                <w:szCs w:val="14"/>
                <w:color w:val="auto"/>
              </w:rPr>
              <w:t>Kilowatt-hour</w:t>
            </w:r>
          </w:p>
        </w:tc>
      </w:tr>
      <w:tr>
        <w:trPr>
          <w:trHeight w:val="189"/>
        </w:trPr>
        <w:tc>
          <w:tcPr>
            <w:tcW w:w="1880" w:type="dxa"/>
            <w:vAlign w:val="bottom"/>
          </w:tcPr>
          <w:p>
            <w:pPr>
              <w:ind w:left="20"/>
              <w:spacing w:after="0"/>
              <w:rPr>
                <w:sz w:val="20"/>
                <w:szCs w:val="20"/>
                <w:color w:val="auto"/>
              </w:rPr>
            </w:pPr>
            <w:r>
              <w:rPr>
                <w:rFonts w:ascii="Arial" w:cs="Arial" w:eastAsia="Arial" w:hAnsi="Arial"/>
                <w:sz w:val="14"/>
                <w:szCs w:val="14"/>
                <w:color w:val="auto"/>
              </w:rPr>
              <w:t>MDt</w:t>
            </w:r>
          </w:p>
        </w:tc>
        <w:tc>
          <w:tcPr>
            <w:tcW w:w="9320" w:type="dxa"/>
            <w:vAlign w:val="bottom"/>
          </w:tcPr>
          <w:p>
            <w:pPr>
              <w:ind w:left="1500"/>
              <w:spacing w:after="0"/>
              <w:rPr>
                <w:sz w:val="20"/>
                <w:szCs w:val="20"/>
                <w:color w:val="auto"/>
              </w:rPr>
            </w:pPr>
            <w:r>
              <w:rPr>
                <w:rFonts w:ascii="Arial" w:cs="Arial" w:eastAsia="Arial" w:hAnsi="Arial"/>
                <w:sz w:val="14"/>
                <w:szCs w:val="14"/>
                <w:color w:val="auto"/>
              </w:rPr>
              <w:t>Thousand dekatherms</w:t>
            </w:r>
          </w:p>
        </w:tc>
      </w:tr>
      <w:tr>
        <w:trPr>
          <w:trHeight w:val="189"/>
        </w:trPr>
        <w:tc>
          <w:tcPr>
            <w:tcW w:w="1880" w:type="dxa"/>
            <w:vAlign w:val="bottom"/>
          </w:tcPr>
          <w:p>
            <w:pPr>
              <w:ind w:left="20"/>
              <w:spacing w:after="0"/>
              <w:rPr>
                <w:sz w:val="20"/>
                <w:szCs w:val="20"/>
                <w:color w:val="auto"/>
              </w:rPr>
            </w:pPr>
            <w:r>
              <w:rPr>
                <w:rFonts w:ascii="Arial" w:cs="Arial" w:eastAsia="Arial" w:hAnsi="Arial"/>
                <w:sz w:val="14"/>
                <w:szCs w:val="14"/>
                <w:color w:val="auto"/>
              </w:rPr>
              <w:t>MMlb</w:t>
            </w:r>
          </w:p>
        </w:tc>
        <w:tc>
          <w:tcPr>
            <w:tcW w:w="9320" w:type="dxa"/>
            <w:vAlign w:val="bottom"/>
          </w:tcPr>
          <w:p>
            <w:pPr>
              <w:ind w:left="1500"/>
              <w:spacing w:after="0"/>
              <w:rPr>
                <w:sz w:val="20"/>
                <w:szCs w:val="20"/>
                <w:color w:val="auto"/>
              </w:rPr>
            </w:pPr>
            <w:r>
              <w:rPr>
                <w:rFonts w:ascii="Arial" w:cs="Arial" w:eastAsia="Arial" w:hAnsi="Arial"/>
                <w:sz w:val="14"/>
                <w:szCs w:val="14"/>
                <w:color w:val="auto"/>
              </w:rPr>
              <w:t>Million pounds</w:t>
            </w:r>
          </w:p>
        </w:tc>
      </w:tr>
      <w:tr>
        <w:trPr>
          <w:trHeight w:val="189"/>
        </w:trPr>
        <w:tc>
          <w:tcPr>
            <w:tcW w:w="1880" w:type="dxa"/>
            <w:vAlign w:val="bottom"/>
          </w:tcPr>
          <w:p>
            <w:pPr>
              <w:ind w:left="20"/>
              <w:spacing w:after="0"/>
              <w:rPr>
                <w:sz w:val="20"/>
                <w:szCs w:val="20"/>
                <w:color w:val="auto"/>
              </w:rPr>
            </w:pPr>
            <w:r>
              <w:rPr>
                <w:rFonts w:ascii="Arial" w:cs="Arial" w:eastAsia="Arial" w:hAnsi="Arial"/>
                <w:sz w:val="14"/>
                <w:szCs w:val="14"/>
                <w:color w:val="auto"/>
              </w:rPr>
              <w:t>MVA</w:t>
            </w:r>
          </w:p>
        </w:tc>
        <w:tc>
          <w:tcPr>
            <w:tcW w:w="9320" w:type="dxa"/>
            <w:vAlign w:val="bottom"/>
          </w:tcPr>
          <w:p>
            <w:pPr>
              <w:ind w:left="1500"/>
              <w:spacing w:after="0"/>
              <w:rPr>
                <w:sz w:val="20"/>
                <w:szCs w:val="20"/>
                <w:color w:val="auto"/>
              </w:rPr>
            </w:pPr>
            <w:r>
              <w:rPr>
                <w:rFonts w:ascii="Arial" w:cs="Arial" w:eastAsia="Arial" w:hAnsi="Arial"/>
                <w:sz w:val="14"/>
                <w:szCs w:val="14"/>
                <w:color w:val="auto"/>
              </w:rPr>
              <w:t>Megavolt ampere</w:t>
            </w:r>
          </w:p>
        </w:tc>
      </w:tr>
      <w:tr>
        <w:trPr>
          <w:trHeight w:val="189"/>
        </w:trPr>
        <w:tc>
          <w:tcPr>
            <w:tcW w:w="1880" w:type="dxa"/>
            <w:vAlign w:val="bottom"/>
          </w:tcPr>
          <w:p>
            <w:pPr>
              <w:ind w:left="20"/>
              <w:spacing w:after="0"/>
              <w:rPr>
                <w:sz w:val="20"/>
                <w:szCs w:val="20"/>
                <w:color w:val="auto"/>
              </w:rPr>
            </w:pPr>
            <w:r>
              <w:rPr>
                <w:rFonts w:ascii="Arial" w:cs="Arial" w:eastAsia="Arial" w:hAnsi="Arial"/>
                <w:sz w:val="14"/>
                <w:szCs w:val="14"/>
                <w:color w:val="auto"/>
              </w:rPr>
              <w:t>MW</w:t>
            </w:r>
          </w:p>
        </w:tc>
        <w:tc>
          <w:tcPr>
            <w:tcW w:w="9320" w:type="dxa"/>
            <w:vAlign w:val="bottom"/>
          </w:tcPr>
          <w:p>
            <w:pPr>
              <w:ind w:left="1500"/>
              <w:spacing w:after="0"/>
              <w:rPr>
                <w:sz w:val="20"/>
                <w:szCs w:val="20"/>
                <w:color w:val="auto"/>
              </w:rPr>
            </w:pPr>
            <w:r>
              <w:rPr>
                <w:rFonts w:ascii="Arial" w:cs="Arial" w:eastAsia="Arial" w:hAnsi="Arial"/>
                <w:sz w:val="14"/>
                <w:szCs w:val="14"/>
                <w:color w:val="auto"/>
              </w:rPr>
              <w:t>Megawatt or thousand kilowatts</w:t>
            </w:r>
          </w:p>
        </w:tc>
      </w:tr>
      <w:tr>
        <w:trPr>
          <w:trHeight w:val="189"/>
        </w:trPr>
        <w:tc>
          <w:tcPr>
            <w:tcW w:w="1880" w:type="dxa"/>
            <w:vAlign w:val="bottom"/>
          </w:tcPr>
          <w:p>
            <w:pPr>
              <w:ind w:left="20"/>
              <w:spacing w:after="0"/>
              <w:rPr>
                <w:sz w:val="20"/>
                <w:szCs w:val="20"/>
                <w:color w:val="auto"/>
              </w:rPr>
            </w:pPr>
            <w:r>
              <w:rPr>
                <w:rFonts w:ascii="Arial" w:cs="Arial" w:eastAsia="Arial" w:hAnsi="Arial"/>
                <w:sz w:val="14"/>
                <w:szCs w:val="14"/>
                <w:color w:val="auto"/>
              </w:rPr>
              <w:t>MWh</w:t>
            </w:r>
          </w:p>
        </w:tc>
        <w:tc>
          <w:tcPr>
            <w:tcW w:w="9320" w:type="dxa"/>
            <w:vAlign w:val="bottom"/>
          </w:tcPr>
          <w:p>
            <w:pPr>
              <w:ind w:left="1500"/>
              <w:spacing w:after="0"/>
              <w:rPr>
                <w:sz w:val="20"/>
                <w:szCs w:val="20"/>
                <w:color w:val="auto"/>
              </w:rPr>
            </w:pPr>
            <w:r>
              <w:rPr>
                <w:rFonts w:ascii="Arial" w:cs="Arial" w:eastAsia="Arial" w:hAnsi="Arial"/>
                <w:sz w:val="14"/>
                <w:szCs w:val="14"/>
                <w:color w:val="auto"/>
              </w:rPr>
              <w:t>Megawatt hour</w:t>
            </w:r>
          </w:p>
        </w:tc>
      </w:tr>
    </w:tbl>
    <w:p>
      <w:pPr>
        <w:spacing w:after="0" w:line="2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828282"/>
        </w:rPr>
        <w:t>Other</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580" w:type="dxa"/>
            <w:vAlign w:val="bottom"/>
            <w:tcBorders>
              <w:top w:val="single" w:sz="8" w:color="8C8272"/>
            </w:tcBorders>
          </w:tcPr>
          <w:p>
            <w:pPr>
              <w:ind w:left="20"/>
              <w:spacing w:after="0"/>
              <w:rPr>
                <w:sz w:val="20"/>
                <w:szCs w:val="20"/>
                <w:color w:val="auto"/>
              </w:rPr>
            </w:pPr>
            <w:r>
              <w:rPr>
                <w:rFonts w:ascii="Arial" w:cs="Arial" w:eastAsia="Arial" w:hAnsi="Arial"/>
                <w:sz w:val="14"/>
                <w:szCs w:val="14"/>
                <w:color w:val="auto"/>
              </w:rPr>
              <w:t>AMI</w:t>
            </w:r>
          </w:p>
        </w:tc>
        <w:tc>
          <w:tcPr>
            <w:tcW w:w="8620" w:type="dxa"/>
            <w:vAlign w:val="bottom"/>
            <w:tcBorders>
              <w:top w:val="single" w:sz="8" w:color="8C8272"/>
            </w:tcBorders>
          </w:tcPr>
          <w:p>
            <w:pPr>
              <w:ind w:left="800"/>
              <w:spacing w:after="0"/>
              <w:rPr>
                <w:sz w:val="20"/>
                <w:szCs w:val="20"/>
                <w:color w:val="auto"/>
              </w:rPr>
            </w:pPr>
            <w:r>
              <w:rPr>
                <w:rFonts w:ascii="Arial" w:cs="Arial" w:eastAsia="Arial" w:hAnsi="Arial"/>
                <w:sz w:val="14"/>
                <w:szCs w:val="14"/>
                <w:color w:val="auto"/>
              </w:rPr>
              <w:t>Advanced metering infrastructure</w:t>
            </w: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CARES Act</w:t>
            </w:r>
          </w:p>
        </w:tc>
        <w:tc>
          <w:tcPr>
            <w:tcW w:w="8620" w:type="dxa"/>
            <w:vAlign w:val="bottom"/>
          </w:tcPr>
          <w:p>
            <w:pPr>
              <w:ind w:left="800"/>
              <w:spacing w:after="0"/>
              <w:rPr>
                <w:sz w:val="20"/>
                <w:szCs w:val="20"/>
                <w:color w:val="auto"/>
              </w:rPr>
            </w:pPr>
            <w:r>
              <w:rPr>
                <w:rFonts w:ascii="Arial" w:cs="Arial" w:eastAsia="Arial" w:hAnsi="Arial"/>
                <w:sz w:val="14"/>
                <w:szCs w:val="14"/>
                <w:color w:val="auto"/>
              </w:rPr>
              <w:t>Coronavirus Aid, Relief, and Economic Security Act, as enacted on March 27, 2020</w:t>
            </w: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COSO</w:t>
            </w:r>
          </w:p>
        </w:tc>
        <w:tc>
          <w:tcPr>
            <w:tcW w:w="8620" w:type="dxa"/>
            <w:vAlign w:val="bottom"/>
          </w:tcPr>
          <w:p>
            <w:pPr>
              <w:ind w:left="800"/>
              <w:spacing w:after="0"/>
              <w:rPr>
                <w:sz w:val="20"/>
                <w:szCs w:val="20"/>
                <w:color w:val="auto"/>
              </w:rPr>
            </w:pPr>
            <w:r>
              <w:rPr>
                <w:rFonts w:ascii="Arial" w:cs="Arial" w:eastAsia="Arial" w:hAnsi="Arial"/>
                <w:sz w:val="14"/>
                <w:szCs w:val="14"/>
                <w:color w:val="auto"/>
              </w:rPr>
              <w:t>Committee of Sponsoring Organizations of the Treadway Commission</w:t>
            </w: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COVID-19</w:t>
            </w:r>
          </w:p>
        </w:tc>
        <w:tc>
          <w:tcPr>
            <w:tcW w:w="8620" w:type="dxa"/>
            <w:vAlign w:val="bottom"/>
          </w:tcPr>
          <w:p>
            <w:pPr>
              <w:ind w:left="800"/>
              <w:spacing w:after="0"/>
              <w:rPr>
                <w:sz w:val="20"/>
                <w:szCs w:val="20"/>
                <w:color w:val="auto"/>
              </w:rPr>
            </w:pPr>
            <w:r>
              <w:rPr>
                <w:rFonts w:ascii="Arial" w:cs="Arial" w:eastAsia="Arial" w:hAnsi="Arial"/>
                <w:sz w:val="14"/>
                <w:szCs w:val="14"/>
                <w:color w:val="auto"/>
              </w:rPr>
              <w:t>Coronavirus Disease 2019</w:t>
            </w: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DER</w:t>
            </w:r>
          </w:p>
        </w:tc>
        <w:tc>
          <w:tcPr>
            <w:tcW w:w="8620" w:type="dxa"/>
            <w:vAlign w:val="bottom"/>
          </w:tcPr>
          <w:p>
            <w:pPr>
              <w:ind w:left="800"/>
              <w:spacing w:after="0"/>
              <w:rPr>
                <w:sz w:val="20"/>
                <w:szCs w:val="20"/>
                <w:color w:val="auto"/>
              </w:rPr>
            </w:pPr>
            <w:r>
              <w:rPr>
                <w:rFonts w:ascii="Arial" w:cs="Arial" w:eastAsia="Arial" w:hAnsi="Arial"/>
                <w:sz w:val="14"/>
                <w:szCs w:val="14"/>
                <w:color w:val="auto"/>
              </w:rPr>
              <w:t>Distributed energy resources</w:t>
            </w: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Fitch</w:t>
            </w:r>
          </w:p>
        </w:tc>
        <w:tc>
          <w:tcPr>
            <w:tcW w:w="8620" w:type="dxa"/>
            <w:vAlign w:val="bottom"/>
          </w:tcPr>
          <w:p>
            <w:pPr>
              <w:ind w:left="800"/>
              <w:spacing w:after="0"/>
              <w:rPr>
                <w:sz w:val="20"/>
                <w:szCs w:val="20"/>
                <w:color w:val="auto"/>
              </w:rPr>
            </w:pPr>
            <w:r>
              <w:rPr>
                <w:rFonts w:ascii="Arial" w:cs="Arial" w:eastAsia="Arial" w:hAnsi="Arial"/>
                <w:sz w:val="14"/>
                <w:szCs w:val="14"/>
                <w:color w:val="auto"/>
              </w:rPr>
              <w:t>Fitch Ratings</w:t>
            </w: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First Quarter Form 10-Q</w:t>
            </w:r>
          </w:p>
        </w:tc>
        <w:tc>
          <w:tcPr>
            <w:tcW w:w="8620" w:type="dxa"/>
            <w:vAlign w:val="bottom"/>
          </w:tcPr>
          <w:p>
            <w:pPr>
              <w:ind w:left="800"/>
              <w:spacing w:after="0"/>
              <w:rPr>
                <w:sz w:val="20"/>
                <w:szCs w:val="20"/>
                <w:color w:val="auto"/>
              </w:rPr>
            </w:pPr>
            <w:r>
              <w:rPr>
                <w:rFonts w:ascii="Arial" w:cs="Arial" w:eastAsia="Arial" w:hAnsi="Arial"/>
                <w:sz w:val="14"/>
                <w:szCs w:val="14"/>
                <w:color w:val="auto"/>
              </w:rPr>
              <w:t>The Companies' combined Quarterly Report on Form 10-Q for the quarterly period ended March 31 of the current year</w:t>
            </w: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Second Quarter Form 10-Q</w:t>
            </w:r>
          </w:p>
        </w:tc>
        <w:tc>
          <w:tcPr>
            <w:tcW w:w="8620" w:type="dxa"/>
            <w:vAlign w:val="bottom"/>
          </w:tcPr>
          <w:p>
            <w:pPr>
              <w:ind w:left="800"/>
              <w:spacing w:after="0"/>
              <w:rPr>
                <w:sz w:val="20"/>
                <w:szCs w:val="20"/>
                <w:color w:val="auto"/>
              </w:rPr>
            </w:pPr>
            <w:r>
              <w:rPr>
                <w:rFonts w:ascii="Arial" w:cs="Arial" w:eastAsia="Arial" w:hAnsi="Arial"/>
                <w:sz w:val="14"/>
                <w:szCs w:val="14"/>
                <w:color w:val="auto"/>
              </w:rPr>
              <w:t>The Companies' combined Quarterly Report on Form 10-Q for the quarterly period ended June 30 of the current year</w:t>
            </w: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Form 10-K</w:t>
            </w:r>
          </w:p>
        </w:tc>
        <w:tc>
          <w:tcPr>
            <w:tcW w:w="8620" w:type="dxa"/>
            <w:vAlign w:val="bottom"/>
          </w:tcPr>
          <w:p>
            <w:pPr>
              <w:ind w:left="800"/>
              <w:spacing w:after="0"/>
              <w:rPr>
                <w:sz w:val="20"/>
                <w:szCs w:val="20"/>
                <w:color w:val="auto"/>
              </w:rPr>
            </w:pPr>
            <w:r>
              <w:rPr>
                <w:rFonts w:ascii="Arial" w:cs="Arial" w:eastAsia="Arial" w:hAnsi="Arial"/>
                <w:sz w:val="14"/>
                <w:szCs w:val="14"/>
                <w:color w:val="auto"/>
              </w:rPr>
              <w:t>The Companies’ combined Annual Report on Form 10-K for the year ended December 31, 2020</w:t>
            </w: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LTIP</w:t>
            </w:r>
          </w:p>
        </w:tc>
        <w:tc>
          <w:tcPr>
            <w:tcW w:w="8620" w:type="dxa"/>
            <w:vAlign w:val="bottom"/>
          </w:tcPr>
          <w:p>
            <w:pPr>
              <w:ind w:left="800"/>
              <w:spacing w:after="0"/>
              <w:rPr>
                <w:sz w:val="20"/>
                <w:szCs w:val="20"/>
                <w:color w:val="auto"/>
              </w:rPr>
            </w:pPr>
            <w:r>
              <w:rPr>
                <w:rFonts w:ascii="Arial" w:cs="Arial" w:eastAsia="Arial" w:hAnsi="Arial"/>
                <w:sz w:val="14"/>
                <w:szCs w:val="14"/>
                <w:color w:val="auto"/>
              </w:rPr>
              <w:t>Long Term Incentive Plan</w:t>
            </w: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Moody’s</w:t>
            </w:r>
          </w:p>
        </w:tc>
        <w:tc>
          <w:tcPr>
            <w:tcW w:w="8620" w:type="dxa"/>
            <w:vAlign w:val="bottom"/>
          </w:tcPr>
          <w:p>
            <w:pPr>
              <w:ind w:left="800"/>
              <w:spacing w:after="0"/>
              <w:rPr>
                <w:sz w:val="20"/>
                <w:szCs w:val="20"/>
                <w:color w:val="auto"/>
              </w:rPr>
            </w:pPr>
            <w:r>
              <w:rPr>
                <w:rFonts w:ascii="Arial" w:cs="Arial" w:eastAsia="Arial" w:hAnsi="Arial"/>
                <w:sz w:val="14"/>
                <w:szCs w:val="14"/>
                <w:color w:val="auto"/>
              </w:rPr>
              <w:t>Moody’s Investors Service, Inc.</w:t>
            </w: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REV</w:t>
            </w:r>
          </w:p>
        </w:tc>
        <w:tc>
          <w:tcPr>
            <w:tcW w:w="8620" w:type="dxa"/>
            <w:vAlign w:val="bottom"/>
          </w:tcPr>
          <w:p>
            <w:pPr>
              <w:ind w:left="800"/>
              <w:spacing w:after="0"/>
              <w:rPr>
                <w:sz w:val="20"/>
                <w:szCs w:val="20"/>
                <w:color w:val="auto"/>
              </w:rPr>
            </w:pPr>
            <w:r>
              <w:rPr>
                <w:rFonts w:ascii="Arial" w:cs="Arial" w:eastAsia="Arial" w:hAnsi="Arial"/>
                <w:sz w:val="14"/>
                <w:szCs w:val="14"/>
                <w:color w:val="auto"/>
              </w:rPr>
              <w:t>Reforming the Energy Vision</w:t>
            </w: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S&amp;P</w:t>
            </w:r>
          </w:p>
        </w:tc>
        <w:tc>
          <w:tcPr>
            <w:tcW w:w="8620" w:type="dxa"/>
            <w:vAlign w:val="bottom"/>
          </w:tcPr>
          <w:p>
            <w:pPr>
              <w:ind w:left="800"/>
              <w:spacing w:after="0"/>
              <w:rPr>
                <w:sz w:val="20"/>
                <w:szCs w:val="20"/>
                <w:color w:val="auto"/>
              </w:rPr>
            </w:pPr>
            <w:r>
              <w:rPr>
                <w:rFonts w:ascii="Arial" w:cs="Arial" w:eastAsia="Arial" w:hAnsi="Arial"/>
                <w:sz w:val="14"/>
                <w:szCs w:val="14"/>
                <w:color w:val="auto"/>
              </w:rPr>
              <w:t>S&amp;P Global Ratings</w:t>
            </w: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TCJA</w:t>
            </w:r>
          </w:p>
        </w:tc>
        <w:tc>
          <w:tcPr>
            <w:tcW w:w="8620" w:type="dxa"/>
            <w:vAlign w:val="bottom"/>
          </w:tcPr>
          <w:p>
            <w:pPr>
              <w:ind w:left="800"/>
              <w:spacing w:after="0"/>
              <w:rPr>
                <w:sz w:val="20"/>
                <w:szCs w:val="20"/>
                <w:color w:val="auto"/>
              </w:rPr>
            </w:pPr>
            <w:r>
              <w:rPr>
                <w:rFonts w:ascii="Arial" w:cs="Arial" w:eastAsia="Arial" w:hAnsi="Arial"/>
                <w:sz w:val="14"/>
                <w:szCs w:val="14"/>
                <w:color w:val="auto"/>
              </w:rPr>
              <w:t>The federal Tax Cuts and Jobs Act of 2017, as enacted on December 22, 2017</w:t>
            </w: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VaR</w:t>
            </w:r>
          </w:p>
        </w:tc>
        <w:tc>
          <w:tcPr>
            <w:tcW w:w="8620" w:type="dxa"/>
            <w:vAlign w:val="bottom"/>
          </w:tcPr>
          <w:p>
            <w:pPr>
              <w:ind w:left="800"/>
              <w:spacing w:after="0"/>
              <w:rPr>
                <w:sz w:val="20"/>
                <w:szCs w:val="20"/>
                <w:color w:val="auto"/>
              </w:rPr>
            </w:pPr>
            <w:r>
              <w:rPr>
                <w:rFonts w:ascii="Arial" w:cs="Arial" w:eastAsia="Arial" w:hAnsi="Arial"/>
                <w:sz w:val="14"/>
                <w:szCs w:val="14"/>
                <w:color w:val="auto"/>
              </w:rPr>
              <w:t>Value-at-Risk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1" w:right="35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TABLE OF CONTENTS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bottom w:val="single" w:sz="8" w:color="8C8272"/>
            </w:tcBorders>
          </w:tcPr>
          <w:p>
            <w:pPr>
              <w:spacing w:after="0"/>
              <w:rPr>
                <w:sz w:val="16"/>
                <w:szCs w:val="16"/>
                <w:color w:val="auto"/>
              </w:rPr>
            </w:pPr>
          </w:p>
        </w:tc>
        <w:tc>
          <w:tcPr>
            <w:tcW w:w="860" w:type="dxa"/>
            <w:vAlign w:val="bottom"/>
            <w:tcBorders>
              <w:bottom w:val="single" w:sz="8" w:color="8C8272"/>
            </w:tcBorders>
          </w:tcPr>
          <w:p>
            <w:pPr>
              <w:spacing w:after="0"/>
              <w:rPr>
                <w:sz w:val="16"/>
                <w:szCs w:val="16"/>
                <w:color w:val="auto"/>
              </w:rPr>
            </w:pPr>
          </w:p>
        </w:tc>
        <w:tc>
          <w:tcPr>
            <w:tcW w:w="140" w:type="dxa"/>
            <w:vAlign w:val="bottom"/>
            <w:tcBorders>
              <w:bottom w:val="single" w:sz="8" w:color="8C8272"/>
            </w:tcBorders>
          </w:tcPr>
          <w:p>
            <w:pPr>
              <w:spacing w:after="0"/>
              <w:rPr>
                <w:sz w:val="16"/>
                <w:szCs w:val="16"/>
                <w:color w:val="auto"/>
              </w:rPr>
            </w:pPr>
          </w:p>
        </w:tc>
        <w:tc>
          <w:tcPr>
            <w:tcW w:w="380" w:type="dxa"/>
            <w:vAlign w:val="bottom"/>
            <w:tcBorders>
              <w:bottom w:val="single" w:sz="8" w:color="8C8272"/>
            </w:tcBorders>
          </w:tcPr>
          <w:p>
            <w:pPr>
              <w:spacing w:after="0"/>
              <w:rPr>
                <w:sz w:val="16"/>
                <w:szCs w:val="16"/>
                <w:color w:val="auto"/>
              </w:rPr>
            </w:pPr>
          </w:p>
        </w:tc>
        <w:tc>
          <w:tcPr>
            <w:tcW w:w="180" w:type="dxa"/>
            <w:vAlign w:val="bottom"/>
            <w:tcBorders>
              <w:bottom w:val="single" w:sz="8" w:color="8C8272"/>
            </w:tcBorders>
          </w:tcPr>
          <w:p>
            <w:pPr>
              <w:spacing w:after="0"/>
              <w:rPr>
                <w:sz w:val="16"/>
                <w:szCs w:val="16"/>
                <w:color w:val="auto"/>
              </w:rPr>
            </w:pPr>
          </w:p>
        </w:tc>
        <w:tc>
          <w:tcPr>
            <w:tcW w:w="100" w:type="dxa"/>
            <w:vAlign w:val="bottom"/>
            <w:tcBorders>
              <w:bottom w:val="single" w:sz="8" w:color="8C8272"/>
            </w:tcBorders>
          </w:tcPr>
          <w:p>
            <w:pPr>
              <w:spacing w:after="0"/>
              <w:rPr>
                <w:sz w:val="16"/>
                <w:szCs w:val="16"/>
                <w:color w:val="auto"/>
              </w:rPr>
            </w:pPr>
          </w:p>
        </w:tc>
        <w:tc>
          <w:tcPr>
            <w:tcW w:w="400" w:type="dxa"/>
            <w:vAlign w:val="bottom"/>
            <w:tcBorders>
              <w:bottom w:val="single" w:sz="8" w:color="8C8272"/>
            </w:tcBorders>
          </w:tcPr>
          <w:p>
            <w:pPr>
              <w:spacing w:after="0"/>
              <w:rPr>
                <w:sz w:val="16"/>
                <w:szCs w:val="16"/>
                <w:color w:val="auto"/>
              </w:rPr>
            </w:pPr>
          </w:p>
        </w:tc>
        <w:tc>
          <w:tcPr>
            <w:tcW w:w="280" w:type="dxa"/>
            <w:vAlign w:val="bottom"/>
            <w:tcBorders>
              <w:bottom w:val="single" w:sz="8" w:color="8C8272"/>
            </w:tcBorders>
          </w:tcPr>
          <w:p>
            <w:pPr>
              <w:spacing w:after="0"/>
              <w:rPr>
                <w:sz w:val="16"/>
                <w:szCs w:val="16"/>
                <w:color w:val="auto"/>
              </w:rPr>
            </w:pPr>
          </w:p>
        </w:tc>
        <w:tc>
          <w:tcPr>
            <w:tcW w:w="120" w:type="dxa"/>
            <w:vAlign w:val="bottom"/>
            <w:tcBorders>
              <w:bottom w:val="single" w:sz="8" w:color="8C8272"/>
            </w:tcBorders>
          </w:tcPr>
          <w:p>
            <w:pPr>
              <w:spacing w:after="0"/>
              <w:rPr>
                <w:sz w:val="16"/>
                <w:szCs w:val="16"/>
                <w:color w:val="auto"/>
              </w:rPr>
            </w:pPr>
          </w:p>
        </w:tc>
        <w:tc>
          <w:tcPr>
            <w:tcW w:w="120" w:type="dxa"/>
            <w:vAlign w:val="bottom"/>
            <w:tcBorders>
              <w:bottom w:val="single" w:sz="8" w:color="8C8272"/>
            </w:tcBorders>
          </w:tcPr>
          <w:p>
            <w:pPr>
              <w:spacing w:after="0"/>
              <w:rPr>
                <w:sz w:val="16"/>
                <w:szCs w:val="16"/>
                <w:color w:val="auto"/>
              </w:rPr>
            </w:pPr>
          </w:p>
        </w:tc>
        <w:tc>
          <w:tcPr>
            <w:tcW w:w="220" w:type="dxa"/>
            <w:vAlign w:val="bottom"/>
            <w:tcBorders>
              <w:bottom w:val="single" w:sz="8" w:color="8C8272"/>
            </w:tcBorders>
          </w:tcPr>
          <w:p>
            <w:pPr>
              <w:spacing w:after="0"/>
              <w:rPr>
                <w:sz w:val="16"/>
                <w:szCs w:val="16"/>
                <w:color w:val="auto"/>
              </w:rPr>
            </w:pPr>
          </w:p>
        </w:tc>
        <w:tc>
          <w:tcPr>
            <w:tcW w:w="240" w:type="dxa"/>
            <w:vAlign w:val="bottom"/>
            <w:tcBorders>
              <w:bottom w:val="single" w:sz="8" w:color="8C8272"/>
            </w:tcBorders>
          </w:tcPr>
          <w:p>
            <w:pPr>
              <w:spacing w:after="0"/>
              <w:rPr>
                <w:sz w:val="16"/>
                <w:szCs w:val="16"/>
                <w:color w:val="auto"/>
              </w:rPr>
            </w:pPr>
          </w:p>
        </w:tc>
        <w:tc>
          <w:tcPr>
            <w:tcW w:w="80" w:type="dxa"/>
            <w:vAlign w:val="bottom"/>
            <w:tcBorders>
              <w:bottom w:val="single" w:sz="8" w:color="8C8272"/>
            </w:tcBorders>
          </w:tcPr>
          <w:p>
            <w:pPr>
              <w:spacing w:after="0"/>
              <w:rPr>
                <w:sz w:val="16"/>
                <w:szCs w:val="16"/>
                <w:color w:val="auto"/>
              </w:rPr>
            </w:pPr>
          </w:p>
        </w:tc>
        <w:tc>
          <w:tcPr>
            <w:tcW w:w="360" w:type="dxa"/>
            <w:vAlign w:val="bottom"/>
            <w:tcBorders>
              <w:bottom w:val="single" w:sz="8" w:color="8C8272"/>
            </w:tcBorders>
          </w:tcPr>
          <w:p>
            <w:pPr>
              <w:spacing w:after="0"/>
              <w:rPr>
                <w:sz w:val="16"/>
                <w:szCs w:val="16"/>
                <w:color w:val="auto"/>
              </w:rPr>
            </w:pPr>
          </w:p>
        </w:tc>
        <w:tc>
          <w:tcPr>
            <w:tcW w:w="340" w:type="dxa"/>
            <w:vAlign w:val="bottom"/>
            <w:tcBorders>
              <w:bottom w:val="single" w:sz="8" w:color="8C8272"/>
            </w:tcBorders>
          </w:tcPr>
          <w:p>
            <w:pPr>
              <w:spacing w:after="0"/>
              <w:rPr>
                <w:sz w:val="16"/>
                <w:szCs w:val="16"/>
                <w:color w:val="auto"/>
              </w:rPr>
            </w:pPr>
          </w:p>
        </w:tc>
        <w:tc>
          <w:tcPr>
            <w:tcW w:w="240" w:type="dxa"/>
            <w:vAlign w:val="bottom"/>
            <w:tcBorders>
              <w:bottom w:val="single" w:sz="8" w:color="8C8272"/>
            </w:tcBorders>
          </w:tcPr>
          <w:p>
            <w:pPr>
              <w:spacing w:after="0"/>
              <w:rPr>
                <w:sz w:val="16"/>
                <w:szCs w:val="16"/>
                <w:color w:val="auto"/>
              </w:rPr>
            </w:pPr>
          </w:p>
        </w:tc>
        <w:tc>
          <w:tcPr>
            <w:tcW w:w="180" w:type="dxa"/>
            <w:vAlign w:val="bottom"/>
            <w:tcBorders>
              <w:bottom w:val="single" w:sz="8" w:color="8C8272"/>
            </w:tcBorders>
          </w:tcPr>
          <w:p>
            <w:pPr>
              <w:spacing w:after="0"/>
              <w:rPr>
                <w:sz w:val="16"/>
                <w:szCs w:val="16"/>
                <w:color w:val="auto"/>
              </w:rPr>
            </w:pPr>
          </w:p>
        </w:tc>
        <w:tc>
          <w:tcPr>
            <w:tcW w:w="400" w:type="dxa"/>
            <w:vAlign w:val="bottom"/>
            <w:tcBorders>
              <w:bottom w:val="single" w:sz="8" w:color="8C8272"/>
            </w:tcBorders>
          </w:tcPr>
          <w:p>
            <w:pPr>
              <w:spacing w:after="0"/>
              <w:rPr>
                <w:sz w:val="16"/>
                <w:szCs w:val="16"/>
                <w:color w:val="auto"/>
              </w:rPr>
            </w:pPr>
          </w:p>
        </w:tc>
        <w:tc>
          <w:tcPr>
            <w:tcW w:w="1880" w:type="dxa"/>
            <w:vAlign w:val="bottom"/>
            <w:tcBorders>
              <w:bottom w:val="single" w:sz="8" w:color="8C8272"/>
            </w:tcBorders>
          </w:tcPr>
          <w:p>
            <w:pPr>
              <w:spacing w:after="0"/>
              <w:rPr>
                <w:sz w:val="16"/>
                <w:szCs w:val="16"/>
                <w:color w:val="auto"/>
              </w:rPr>
            </w:pPr>
          </w:p>
        </w:tc>
        <w:tc>
          <w:tcPr>
            <w:tcW w:w="2040" w:type="dxa"/>
            <w:vAlign w:val="bottom"/>
            <w:tcBorders>
              <w:bottom w:val="single" w:sz="8" w:color="8C8272"/>
            </w:tcBorders>
          </w:tcPr>
          <w:p>
            <w:pPr>
              <w:spacing w:after="0"/>
              <w:rPr>
                <w:sz w:val="16"/>
                <w:szCs w:val="16"/>
                <w:color w:val="auto"/>
              </w:rPr>
            </w:pPr>
          </w:p>
        </w:tc>
        <w:tc>
          <w:tcPr>
            <w:tcW w:w="264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8560" w:type="dxa"/>
            <w:vAlign w:val="bottom"/>
            <w:gridSpan w:val="19"/>
          </w:tcPr>
          <w:p>
            <w:pPr>
              <w:spacing w:after="0" w:line="182" w:lineRule="exact"/>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I—Financial Information</w:t>
              </w:r>
            </w:hyperlink>
          </w:p>
        </w:tc>
        <w:tc>
          <w:tcPr>
            <w:tcW w:w="26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ITEM 1</w:t>
            </w:r>
          </w:p>
        </w:tc>
        <w:tc>
          <w:tcPr>
            <w:tcW w:w="7700" w:type="dxa"/>
            <w:vAlign w:val="bottom"/>
            <w:gridSpan w:val="18"/>
          </w:tcPr>
          <w:p>
            <w:pPr>
              <w:ind w:left="20"/>
              <w:spacing w:after="0"/>
              <w:rPr>
                <w:sz w:val="20"/>
                <w:szCs w:val="20"/>
                <w:color w:val="auto"/>
              </w:rPr>
            </w:pPr>
            <w:r>
              <w:rPr>
                <w:rFonts w:ascii="Arial" w:cs="Arial" w:eastAsia="Arial" w:hAnsi="Arial"/>
                <w:sz w:val="14"/>
                <w:szCs w:val="14"/>
                <w:color w:val="auto"/>
              </w:rPr>
              <w:t>Financial Statements (Unaudited)</w:t>
            </w:r>
          </w:p>
        </w:tc>
        <w:tc>
          <w:tcPr>
            <w:tcW w:w="264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700" w:type="dxa"/>
            <w:vAlign w:val="bottom"/>
            <w:gridSpan w:val="18"/>
          </w:tcPr>
          <w:p>
            <w:pPr>
              <w:ind w:left="20"/>
              <w:spacing w:after="0"/>
              <w:rPr>
                <w:sz w:val="20"/>
                <w:szCs w:val="20"/>
                <w:color w:val="auto"/>
              </w:rPr>
            </w:pPr>
            <w:r>
              <w:rPr>
                <w:rFonts w:ascii="Arial" w:cs="Arial" w:eastAsia="Arial" w:hAnsi="Arial"/>
                <w:sz w:val="14"/>
                <w:szCs w:val="14"/>
                <w:color w:val="auto"/>
              </w:rPr>
              <w:t>Con Edison</w:t>
            </w:r>
          </w:p>
        </w:tc>
        <w:tc>
          <w:tcPr>
            <w:tcW w:w="2640" w:type="dxa"/>
            <w:vAlign w:val="bottom"/>
          </w:tcPr>
          <w:p>
            <w:pPr>
              <w:spacing w:after="0"/>
              <w:rPr>
                <w:sz w:val="16"/>
                <w:szCs w:val="16"/>
                <w:color w:val="auto"/>
              </w:rPr>
            </w:pPr>
          </w:p>
        </w:tc>
      </w:t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Borders>
              <w:bottom w:val="single" w:sz="8" w:color="0000FF"/>
            </w:tcBorders>
            <w:gridSpan w:val="9"/>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Consolidated Income Statement</w:t>
              </w:r>
            </w:hyperlink>
          </w:p>
        </w:tc>
        <w:tc>
          <w:tcPr>
            <w:tcW w:w="5520" w:type="dxa"/>
            <w:vAlign w:val="bottom"/>
            <w:gridSpan w:val="8"/>
          </w:tcPr>
          <w:p>
            <w:pPr>
              <w:spacing w:after="0"/>
              <w:rPr>
                <w:sz w:val="13"/>
                <w:szCs w:val="13"/>
                <w:color w:val="auto"/>
              </w:rPr>
            </w:pPr>
          </w:p>
        </w:tc>
        <w:tc>
          <w:tcPr>
            <w:tcW w:w="2640" w:type="dxa"/>
            <w:vAlign w:val="bottom"/>
          </w:tcPr>
          <w:p>
            <w:pPr>
              <w:jc w:val="right"/>
              <w:spacing w:after="0"/>
              <w:rPr>
                <w:rFonts w:ascii="Arial" w:cs="Arial" w:eastAsia="Arial" w:hAnsi="Arial"/>
                <w:sz w:val="14"/>
                <w:szCs w:val="14"/>
                <w:color w:val="auto"/>
              </w:rPr>
            </w:pPr>
            <w:hyperlink w:anchor="page6">
              <w:r>
                <w:rPr>
                  <w:rFonts w:ascii="Arial" w:cs="Arial" w:eastAsia="Arial" w:hAnsi="Arial"/>
                  <w:sz w:val="14"/>
                  <w:szCs w:val="14"/>
                  <w:color w:val="auto"/>
                </w:rPr>
                <w:t>7</w:t>
              </w:r>
            </w:hyperlink>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560" w:type="dxa"/>
            <w:vAlign w:val="bottom"/>
            <w:gridSpan w:val="17"/>
          </w:tcPr>
          <w:p>
            <w:pPr>
              <w:spacing w:after="0"/>
              <w:rPr>
                <w:rFonts w:ascii="Arial" w:cs="Arial" w:eastAsia="Arial" w:hAnsi="Arial"/>
                <w:sz w:val="14"/>
                <w:szCs w:val="14"/>
                <w:color w:val="0000FF"/>
              </w:rPr>
            </w:pPr>
            <w:hyperlink w:anchor="page7">
              <w:r>
                <w:rPr>
                  <w:rFonts w:ascii="Arial" w:cs="Arial" w:eastAsia="Arial" w:hAnsi="Arial"/>
                  <w:sz w:val="14"/>
                  <w:szCs w:val="14"/>
                  <w:color w:val="0000FF"/>
                </w:rPr>
                <w:t>Consolidated Statement of Comprehensive Income</w:t>
              </w:r>
            </w:hyperlink>
          </w:p>
        </w:tc>
        <w:tc>
          <w:tcPr>
            <w:tcW w:w="2640" w:type="dxa"/>
            <w:vAlign w:val="bottom"/>
          </w:tcPr>
          <w:p>
            <w:pPr>
              <w:jc w:val="right"/>
              <w:spacing w:after="0"/>
              <w:rPr>
                <w:rFonts w:ascii="Arial" w:cs="Arial" w:eastAsia="Arial" w:hAnsi="Arial"/>
                <w:sz w:val="14"/>
                <w:szCs w:val="14"/>
                <w:color w:val="auto"/>
              </w:rPr>
            </w:pPr>
            <w:hyperlink w:anchor="page7">
              <w:r>
                <w:rPr>
                  <w:rFonts w:ascii="Arial" w:cs="Arial" w:eastAsia="Arial" w:hAnsi="Arial"/>
                  <w:sz w:val="14"/>
                  <w:szCs w:val="14"/>
                  <w:color w:val="auto"/>
                </w:rPr>
                <w:t>8</w:t>
              </w:r>
            </w:hyperlink>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tcBorders>
              <w:top w:val="single" w:sz="8" w:color="0000FF"/>
              <w:bottom w:val="single" w:sz="8" w:color="0000FF"/>
            </w:tcBorders>
            <w:gridSpan w:val="11"/>
          </w:tcPr>
          <w:p>
            <w:pPr>
              <w:spacing w:after="0"/>
              <w:rPr>
                <w:rFonts w:ascii="Arial" w:cs="Arial" w:eastAsia="Arial" w:hAnsi="Arial"/>
                <w:sz w:val="14"/>
                <w:szCs w:val="14"/>
                <w:color w:val="0000FF"/>
              </w:rPr>
            </w:pPr>
            <w:hyperlink w:anchor="page8">
              <w:r>
                <w:rPr>
                  <w:rFonts w:ascii="Arial" w:cs="Arial" w:eastAsia="Arial" w:hAnsi="Arial"/>
                  <w:sz w:val="14"/>
                  <w:szCs w:val="14"/>
                  <w:color w:val="0000FF"/>
                </w:rPr>
                <w:t>Consolidated Statement of Cash Flows</w:t>
              </w:r>
            </w:hyperlink>
          </w:p>
        </w:tc>
        <w:tc>
          <w:tcPr>
            <w:tcW w:w="760" w:type="dxa"/>
            <w:vAlign w:val="bottom"/>
            <w:tcBorders>
              <w:top w:val="single" w:sz="8" w:color="0000FF"/>
            </w:tcBorders>
            <w:gridSpan w:val="3"/>
          </w:tcPr>
          <w:p>
            <w:pPr>
              <w:spacing w:after="0"/>
              <w:rPr>
                <w:sz w:val="14"/>
                <w:szCs w:val="14"/>
                <w:color w:val="auto"/>
              </w:rPr>
            </w:pPr>
          </w:p>
        </w:tc>
        <w:tc>
          <w:tcPr>
            <w:tcW w:w="4320" w:type="dxa"/>
            <w:vAlign w:val="bottom"/>
            <w:gridSpan w:val="3"/>
          </w:tcPr>
          <w:p>
            <w:pPr>
              <w:spacing w:after="0"/>
              <w:rPr>
                <w:sz w:val="14"/>
                <w:szCs w:val="14"/>
                <w:color w:val="auto"/>
              </w:rPr>
            </w:pPr>
          </w:p>
        </w:tc>
        <w:tc>
          <w:tcPr>
            <w:tcW w:w="2640" w:type="dxa"/>
            <w:vAlign w:val="bottom"/>
          </w:tcPr>
          <w:p>
            <w:pPr>
              <w:jc w:val="right"/>
              <w:spacing w:after="0"/>
              <w:rPr>
                <w:rFonts w:ascii="Arial" w:cs="Arial" w:eastAsia="Arial" w:hAnsi="Arial"/>
                <w:sz w:val="14"/>
                <w:szCs w:val="14"/>
                <w:color w:val="auto"/>
              </w:rPr>
            </w:pPr>
            <w:hyperlink w:anchor="page8">
              <w:r>
                <w:rPr>
                  <w:rFonts w:ascii="Arial" w:cs="Arial" w:eastAsia="Arial" w:hAnsi="Arial"/>
                  <w:sz w:val="14"/>
                  <w:szCs w:val="14"/>
                  <w:color w:val="auto"/>
                </w:rPr>
                <w:t>9</w:t>
              </w:r>
            </w:hyperlink>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560" w:type="dxa"/>
            <w:vAlign w:val="bottom"/>
            <w:gridSpan w:val="17"/>
          </w:tcPr>
          <w:p>
            <w:pPr>
              <w:spacing w:after="0"/>
              <w:rPr>
                <w:rFonts w:ascii="Arial" w:cs="Arial" w:eastAsia="Arial" w:hAnsi="Arial"/>
                <w:sz w:val="14"/>
                <w:szCs w:val="14"/>
                <w:color w:val="0000FF"/>
              </w:rPr>
            </w:pPr>
            <w:hyperlink w:anchor="page9">
              <w:r>
                <w:rPr>
                  <w:rFonts w:ascii="Arial" w:cs="Arial" w:eastAsia="Arial" w:hAnsi="Arial"/>
                  <w:sz w:val="14"/>
                  <w:szCs w:val="14"/>
                  <w:color w:val="0000FF"/>
                </w:rPr>
                <w:t>Consolidated Balance Sheet</w:t>
              </w:r>
            </w:hyperlink>
          </w:p>
        </w:tc>
        <w:tc>
          <w:tcPr>
            <w:tcW w:w="2640" w:type="dxa"/>
            <w:vAlign w:val="bottom"/>
          </w:tcPr>
          <w:p>
            <w:pPr>
              <w:jc w:val="right"/>
              <w:spacing w:after="0"/>
              <w:rPr>
                <w:rFonts w:ascii="Arial" w:cs="Arial" w:eastAsia="Arial" w:hAnsi="Arial"/>
                <w:sz w:val="14"/>
                <w:szCs w:val="14"/>
                <w:color w:val="auto"/>
              </w:rPr>
            </w:pPr>
            <w:hyperlink w:anchor="page9">
              <w:r>
                <w:rPr>
                  <w:rFonts w:ascii="Arial" w:cs="Arial" w:eastAsia="Arial" w:hAnsi="Arial"/>
                  <w:sz w:val="14"/>
                  <w:szCs w:val="14"/>
                  <w:color w:val="auto"/>
                </w:rPr>
                <w:t>10</w:t>
              </w:r>
            </w:hyperlink>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560" w:type="dxa"/>
            <w:vAlign w:val="bottom"/>
            <w:gridSpan w:val="17"/>
          </w:tcPr>
          <w:p>
            <w:pPr>
              <w:spacing w:after="0"/>
              <w:rPr>
                <w:rFonts w:ascii="Arial" w:cs="Arial" w:eastAsia="Arial" w:hAnsi="Arial"/>
                <w:sz w:val="14"/>
                <w:szCs w:val="14"/>
                <w:color w:val="0000FF"/>
              </w:rPr>
            </w:pPr>
            <w:hyperlink w:anchor="page11">
              <w:r>
                <w:rPr>
                  <w:rFonts w:ascii="Arial" w:cs="Arial" w:eastAsia="Arial" w:hAnsi="Arial"/>
                  <w:sz w:val="14"/>
                  <w:szCs w:val="14"/>
                  <w:color w:val="0000FF"/>
                </w:rPr>
                <w:t>Consolidated Statement of Equity</w:t>
              </w:r>
            </w:hyperlink>
          </w:p>
        </w:tc>
        <w:tc>
          <w:tcPr>
            <w:tcW w:w="2640" w:type="dxa"/>
            <w:vAlign w:val="bottom"/>
          </w:tcPr>
          <w:p>
            <w:pPr>
              <w:jc w:val="right"/>
              <w:spacing w:after="0"/>
              <w:rPr>
                <w:rFonts w:ascii="Arial" w:cs="Arial" w:eastAsia="Arial" w:hAnsi="Arial"/>
                <w:sz w:val="14"/>
                <w:szCs w:val="14"/>
                <w:color w:val="auto"/>
              </w:rPr>
            </w:pPr>
            <w:hyperlink w:anchor="page11">
              <w:r>
                <w:rPr>
                  <w:rFonts w:ascii="Arial" w:cs="Arial" w:eastAsia="Arial" w:hAnsi="Arial"/>
                  <w:sz w:val="14"/>
                  <w:szCs w:val="14"/>
                  <w:color w:val="auto"/>
                </w:rPr>
                <w:t>12</w:t>
              </w:r>
            </w:hyperlink>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700" w:type="dxa"/>
            <w:vAlign w:val="bottom"/>
            <w:gridSpan w:val="18"/>
          </w:tcPr>
          <w:p>
            <w:pPr>
              <w:ind w:left="20"/>
              <w:spacing w:after="0"/>
              <w:rPr>
                <w:sz w:val="20"/>
                <w:szCs w:val="20"/>
                <w:color w:val="auto"/>
              </w:rPr>
            </w:pPr>
            <w:r>
              <w:rPr>
                <w:rFonts w:ascii="Arial" w:cs="Arial" w:eastAsia="Arial" w:hAnsi="Arial"/>
                <w:sz w:val="14"/>
                <w:szCs w:val="14"/>
                <w:color w:val="auto"/>
              </w:rPr>
              <w:t>CECONY</w:t>
            </w:r>
          </w:p>
        </w:tc>
        <w:tc>
          <w:tcPr>
            <w:tcW w:w="2640" w:type="dxa"/>
            <w:vAlign w:val="bottom"/>
          </w:tcPr>
          <w:p>
            <w:pPr>
              <w:spacing w:after="0"/>
              <w:rPr>
                <w:sz w:val="17"/>
                <w:szCs w:val="17"/>
                <w:color w:val="auto"/>
              </w:rPr>
            </w:pPr>
          </w:p>
        </w:tc>
      </w:t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Borders>
              <w:bottom w:val="single" w:sz="8" w:color="0000FF"/>
            </w:tcBorders>
            <w:gridSpan w:val="9"/>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Consolidated Income Statement</w:t>
              </w:r>
            </w:hyperlink>
          </w:p>
        </w:tc>
        <w:tc>
          <w:tcPr>
            <w:tcW w:w="5520" w:type="dxa"/>
            <w:vAlign w:val="bottom"/>
            <w:gridSpan w:val="8"/>
          </w:tcPr>
          <w:p>
            <w:pPr>
              <w:spacing w:after="0"/>
              <w:rPr>
                <w:sz w:val="13"/>
                <w:szCs w:val="13"/>
                <w:color w:val="auto"/>
              </w:rPr>
            </w:pPr>
          </w:p>
        </w:tc>
        <w:tc>
          <w:tcPr>
            <w:tcW w:w="2640" w:type="dxa"/>
            <w:vAlign w:val="bottom"/>
          </w:tcPr>
          <w:p>
            <w:pPr>
              <w:jc w:val="right"/>
              <w:spacing w:after="0"/>
              <w:rPr>
                <w:rFonts w:ascii="Arial" w:cs="Arial" w:eastAsia="Arial" w:hAnsi="Arial"/>
                <w:sz w:val="14"/>
                <w:szCs w:val="14"/>
                <w:color w:val="auto"/>
              </w:rPr>
            </w:pPr>
            <w:hyperlink w:anchor="page12">
              <w:r>
                <w:rPr>
                  <w:rFonts w:ascii="Arial" w:cs="Arial" w:eastAsia="Arial" w:hAnsi="Arial"/>
                  <w:sz w:val="14"/>
                  <w:szCs w:val="14"/>
                  <w:color w:val="auto"/>
                </w:rPr>
                <w:t>13</w:t>
              </w:r>
            </w:hyperlink>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560" w:type="dxa"/>
            <w:vAlign w:val="bottom"/>
            <w:gridSpan w:val="17"/>
          </w:tcPr>
          <w:p>
            <w:pPr>
              <w:spacing w:after="0"/>
              <w:rPr>
                <w:rFonts w:ascii="Arial" w:cs="Arial" w:eastAsia="Arial" w:hAnsi="Arial"/>
                <w:sz w:val="14"/>
                <w:szCs w:val="14"/>
                <w:color w:val="0000FF"/>
              </w:rPr>
            </w:pPr>
            <w:hyperlink w:anchor="page13">
              <w:r>
                <w:rPr>
                  <w:rFonts w:ascii="Arial" w:cs="Arial" w:eastAsia="Arial" w:hAnsi="Arial"/>
                  <w:sz w:val="14"/>
                  <w:szCs w:val="14"/>
                  <w:color w:val="0000FF"/>
                </w:rPr>
                <w:t>Consolidated Statement of Comprehensive Income</w:t>
              </w:r>
            </w:hyperlink>
          </w:p>
        </w:tc>
        <w:tc>
          <w:tcPr>
            <w:tcW w:w="2640" w:type="dxa"/>
            <w:vAlign w:val="bottom"/>
          </w:tcPr>
          <w:p>
            <w:pPr>
              <w:jc w:val="right"/>
              <w:spacing w:after="0"/>
              <w:rPr>
                <w:rFonts w:ascii="Arial" w:cs="Arial" w:eastAsia="Arial" w:hAnsi="Arial"/>
                <w:sz w:val="14"/>
                <w:szCs w:val="14"/>
                <w:color w:val="auto"/>
              </w:rPr>
            </w:pPr>
            <w:hyperlink w:anchor="page13">
              <w:r>
                <w:rPr>
                  <w:rFonts w:ascii="Arial" w:cs="Arial" w:eastAsia="Arial" w:hAnsi="Arial"/>
                  <w:sz w:val="14"/>
                  <w:szCs w:val="14"/>
                  <w:color w:val="auto"/>
                </w:rPr>
                <w:t>14</w:t>
              </w:r>
            </w:hyperlink>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tcBorders>
              <w:top w:val="single" w:sz="8" w:color="0000FF"/>
              <w:bottom w:val="single" w:sz="8" w:color="0000FF"/>
            </w:tcBorders>
            <w:gridSpan w:val="11"/>
          </w:tcPr>
          <w:p>
            <w:pPr>
              <w:spacing w:after="0"/>
              <w:rPr>
                <w:rFonts w:ascii="Arial" w:cs="Arial" w:eastAsia="Arial" w:hAnsi="Arial"/>
                <w:sz w:val="14"/>
                <w:szCs w:val="14"/>
                <w:color w:val="0000FF"/>
              </w:rPr>
            </w:pPr>
            <w:hyperlink w:anchor="page14">
              <w:r>
                <w:rPr>
                  <w:rFonts w:ascii="Arial" w:cs="Arial" w:eastAsia="Arial" w:hAnsi="Arial"/>
                  <w:sz w:val="14"/>
                  <w:szCs w:val="14"/>
                  <w:color w:val="0000FF"/>
                </w:rPr>
                <w:t>Consolidated Statement of Cash Flows</w:t>
              </w:r>
            </w:hyperlink>
          </w:p>
        </w:tc>
        <w:tc>
          <w:tcPr>
            <w:tcW w:w="760" w:type="dxa"/>
            <w:vAlign w:val="bottom"/>
            <w:tcBorders>
              <w:top w:val="single" w:sz="8" w:color="0000FF"/>
            </w:tcBorders>
            <w:gridSpan w:val="3"/>
          </w:tcPr>
          <w:p>
            <w:pPr>
              <w:spacing w:after="0"/>
              <w:rPr>
                <w:sz w:val="14"/>
                <w:szCs w:val="14"/>
                <w:color w:val="auto"/>
              </w:rPr>
            </w:pPr>
          </w:p>
        </w:tc>
        <w:tc>
          <w:tcPr>
            <w:tcW w:w="4320" w:type="dxa"/>
            <w:vAlign w:val="bottom"/>
            <w:gridSpan w:val="3"/>
          </w:tcPr>
          <w:p>
            <w:pPr>
              <w:spacing w:after="0"/>
              <w:rPr>
                <w:sz w:val="14"/>
                <w:szCs w:val="14"/>
                <w:color w:val="auto"/>
              </w:rPr>
            </w:pPr>
          </w:p>
        </w:tc>
        <w:tc>
          <w:tcPr>
            <w:tcW w:w="2640" w:type="dxa"/>
            <w:vAlign w:val="bottom"/>
          </w:tcPr>
          <w:p>
            <w:pPr>
              <w:jc w:val="right"/>
              <w:spacing w:after="0"/>
              <w:rPr>
                <w:rFonts w:ascii="Arial" w:cs="Arial" w:eastAsia="Arial" w:hAnsi="Arial"/>
                <w:sz w:val="14"/>
                <w:szCs w:val="14"/>
                <w:color w:val="auto"/>
              </w:rPr>
            </w:pPr>
            <w:hyperlink w:anchor="page14">
              <w:r>
                <w:rPr>
                  <w:rFonts w:ascii="Arial" w:cs="Arial" w:eastAsia="Arial" w:hAnsi="Arial"/>
                  <w:sz w:val="14"/>
                  <w:szCs w:val="14"/>
                  <w:color w:val="auto"/>
                </w:rPr>
                <w:t>15</w:t>
              </w:r>
            </w:hyperlink>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560" w:type="dxa"/>
            <w:vAlign w:val="bottom"/>
            <w:gridSpan w:val="17"/>
          </w:tcPr>
          <w:p>
            <w:pPr>
              <w:spacing w:after="0"/>
              <w:rPr>
                <w:rFonts w:ascii="Arial" w:cs="Arial" w:eastAsia="Arial" w:hAnsi="Arial"/>
                <w:sz w:val="14"/>
                <w:szCs w:val="14"/>
                <w:color w:val="0000FF"/>
              </w:rPr>
            </w:pPr>
            <w:hyperlink w:anchor="page15">
              <w:r>
                <w:rPr>
                  <w:rFonts w:ascii="Arial" w:cs="Arial" w:eastAsia="Arial" w:hAnsi="Arial"/>
                  <w:sz w:val="14"/>
                  <w:szCs w:val="14"/>
                  <w:color w:val="0000FF"/>
                </w:rPr>
                <w:t>Consolidated Balance Sheet</w:t>
              </w:r>
            </w:hyperlink>
          </w:p>
        </w:tc>
        <w:tc>
          <w:tcPr>
            <w:tcW w:w="2640" w:type="dxa"/>
            <w:vAlign w:val="bottom"/>
          </w:tcPr>
          <w:p>
            <w:pPr>
              <w:jc w:val="right"/>
              <w:spacing w:after="0"/>
              <w:rPr>
                <w:rFonts w:ascii="Arial" w:cs="Arial" w:eastAsia="Arial" w:hAnsi="Arial"/>
                <w:sz w:val="14"/>
                <w:szCs w:val="14"/>
                <w:color w:val="auto"/>
              </w:rPr>
            </w:pPr>
            <w:hyperlink w:anchor="page15">
              <w:r>
                <w:rPr>
                  <w:rFonts w:ascii="Arial" w:cs="Arial" w:eastAsia="Arial" w:hAnsi="Arial"/>
                  <w:sz w:val="14"/>
                  <w:szCs w:val="14"/>
                  <w:color w:val="auto"/>
                </w:rPr>
                <w:t>16</w:t>
              </w:r>
            </w:hyperlink>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tcBorders>
              <w:bottom w:val="single" w:sz="8" w:color="0000FF"/>
            </w:tcBorders>
            <w:gridSpan w:val="13"/>
          </w:tcPr>
          <w:p>
            <w:pPr>
              <w:spacing w:after="0"/>
              <w:rPr>
                <w:rFonts w:ascii="Arial" w:cs="Arial" w:eastAsia="Arial" w:hAnsi="Arial"/>
                <w:sz w:val="14"/>
                <w:szCs w:val="14"/>
                <w:color w:val="0000FF"/>
              </w:rPr>
            </w:pPr>
            <w:hyperlink w:anchor="page17">
              <w:r>
                <w:rPr>
                  <w:rFonts w:ascii="Arial" w:cs="Arial" w:eastAsia="Arial" w:hAnsi="Arial"/>
                  <w:sz w:val="14"/>
                  <w:szCs w:val="14"/>
                  <w:color w:val="0000FF"/>
                </w:rPr>
                <w:t>Consolidated Statement of Shareholder’s Equity</w:t>
              </w:r>
            </w:hyperlink>
          </w:p>
        </w:tc>
        <w:tc>
          <w:tcPr>
            <w:tcW w:w="4500" w:type="dxa"/>
            <w:vAlign w:val="bottom"/>
            <w:gridSpan w:val="4"/>
          </w:tcPr>
          <w:p>
            <w:pPr>
              <w:spacing w:after="0"/>
              <w:rPr>
                <w:sz w:val="14"/>
                <w:szCs w:val="14"/>
                <w:color w:val="auto"/>
              </w:rPr>
            </w:pPr>
          </w:p>
        </w:tc>
        <w:tc>
          <w:tcPr>
            <w:tcW w:w="2640" w:type="dxa"/>
            <w:vAlign w:val="bottom"/>
          </w:tcPr>
          <w:p>
            <w:pPr>
              <w:jc w:val="right"/>
              <w:spacing w:after="0"/>
              <w:rPr>
                <w:rFonts w:ascii="Arial" w:cs="Arial" w:eastAsia="Arial" w:hAnsi="Arial"/>
                <w:sz w:val="14"/>
                <w:szCs w:val="14"/>
                <w:color w:val="auto"/>
              </w:rPr>
            </w:pPr>
            <w:hyperlink w:anchor="page17">
              <w:r>
                <w:rPr>
                  <w:rFonts w:ascii="Arial" w:cs="Arial" w:eastAsia="Arial" w:hAnsi="Arial"/>
                  <w:sz w:val="14"/>
                  <w:szCs w:val="14"/>
                  <w:color w:val="auto"/>
                </w:rPr>
                <w:t>18</w:t>
              </w:r>
            </w:hyperlink>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700" w:type="dxa"/>
            <w:vAlign w:val="bottom"/>
            <w:gridSpan w:val="18"/>
          </w:tcPr>
          <w:p>
            <w:pPr>
              <w:ind w:left="20"/>
              <w:spacing w:after="0"/>
              <w:rPr>
                <w:rFonts w:ascii="Arial" w:cs="Arial" w:eastAsia="Arial" w:hAnsi="Arial"/>
                <w:sz w:val="14"/>
                <w:szCs w:val="14"/>
                <w:color w:val="0000FF"/>
              </w:rPr>
            </w:pPr>
            <w:hyperlink w:anchor="page18">
              <w:r>
                <w:rPr>
                  <w:rFonts w:ascii="Arial" w:cs="Arial" w:eastAsia="Arial" w:hAnsi="Arial"/>
                  <w:sz w:val="14"/>
                  <w:szCs w:val="14"/>
                  <w:color w:val="0000FF"/>
                </w:rPr>
                <w:t>Notes to the Financial Statements (Unaudited)</w:t>
              </w:r>
            </w:hyperlink>
          </w:p>
        </w:tc>
        <w:tc>
          <w:tcPr>
            <w:tcW w:w="2640" w:type="dxa"/>
            <w:vAlign w:val="bottom"/>
          </w:tcPr>
          <w:p>
            <w:pPr>
              <w:jc w:val="right"/>
              <w:spacing w:after="0"/>
              <w:rPr>
                <w:rFonts w:ascii="Arial" w:cs="Arial" w:eastAsia="Arial" w:hAnsi="Arial"/>
                <w:sz w:val="14"/>
                <w:szCs w:val="14"/>
                <w:color w:val="auto"/>
              </w:rPr>
            </w:pPr>
            <w:hyperlink w:anchor="page18">
              <w:r>
                <w:rPr>
                  <w:rFonts w:ascii="Arial" w:cs="Arial" w:eastAsia="Arial" w:hAnsi="Arial"/>
                  <w:sz w:val="14"/>
                  <w:szCs w:val="14"/>
                  <w:color w:val="auto"/>
                </w:rPr>
                <w:t>19</w:t>
              </w:r>
            </w:hyperlink>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ITEM 2</w:t>
            </w:r>
          </w:p>
        </w:tc>
        <w:tc>
          <w:tcPr>
            <w:tcW w:w="7700" w:type="dxa"/>
            <w:vAlign w:val="bottom"/>
            <w:gridSpan w:val="18"/>
          </w:tcPr>
          <w:p>
            <w:pPr>
              <w:ind w:left="20"/>
              <w:spacing w:after="0"/>
              <w:rPr>
                <w:rFonts w:ascii="Arial" w:cs="Arial" w:eastAsia="Arial" w:hAnsi="Arial"/>
                <w:sz w:val="14"/>
                <w:szCs w:val="14"/>
                <w:color w:val="0000FF"/>
              </w:rPr>
            </w:pPr>
            <w:hyperlink w:anchor="page51">
              <w:r>
                <w:rPr>
                  <w:rFonts w:ascii="Arial" w:cs="Arial" w:eastAsia="Arial" w:hAnsi="Arial"/>
                  <w:sz w:val="14"/>
                  <w:szCs w:val="14"/>
                  <w:color w:val="0000FF"/>
                </w:rPr>
                <w:t>Management’s Discussion and Analysis of Financial Condition and Results of Operations</w:t>
              </w:r>
            </w:hyperlink>
          </w:p>
        </w:tc>
        <w:tc>
          <w:tcPr>
            <w:tcW w:w="2640" w:type="dxa"/>
            <w:vAlign w:val="bottom"/>
          </w:tcPr>
          <w:p>
            <w:pPr>
              <w:jc w:val="right"/>
              <w:spacing w:after="0"/>
              <w:rPr>
                <w:rFonts w:ascii="Arial" w:cs="Arial" w:eastAsia="Arial" w:hAnsi="Arial"/>
                <w:sz w:val="14"/>
                <w:szCs w:val="14"/>
                <w:color w:val="auto"/>
              </w:rPr>
            </w:pPr>
            <w:hyperlink w:anchor="page51">
              <w:r>
                <w:rPr>
                  <w:rFonts w:ascii="Arial" w:cs="Arial" w:eastAsia="Arial" w:hAnsi="Arial"/>
                  <w:sz w:val="14"/>
                  <w:szCs w:val="14"/>
                  <w:color w:val="auto"/>
                </w:rPr>
                <w:t>52</w:t>
              </w:r>
            </w:hyperlink>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ITEM 3</w:t>
            </w:r>
          </w:p>
        </w:tc>
        <w:tc>
          <w:tcPr>
            <w:tcW w:w="3780" w:type="dxa"/>
            <w:vAlign w:val="bottom"/>
            <w:tcBorders>
              <w:top w:val="single" w:sz="8" w:color="0000FF"/>
              <w:bottom w:val="single" w:sz="8" w:color="0000FF"/>
            </w:tcBorders>
            <w:gridSpan w:val="16"/>
          </w:tcPr>
          <w:p>
            <w:pPr>
              <w:ind w:left="20"/>
              <w:spacing w:after="0"/>
              <w:rPr>
                <w:rFonts w:ascii="Arial" w:cs="Arial" w:eastAsia="Arial" w:hAnsi="Arial"/>
                <w:sz w:val="14"/>
                <w:szCs w:val="14"/>
                <w:color w:val="0000FF"/>
              </w:rPr>
            </w:pPr>
            <w:hyperlink w:anchor="page86">
              <w:r>
                <w:rPr>
                  <w:rFonts w:ascii="Arial" w:cs="Arial" w:eastAsia="Arial" w:hAnsi="Arial"/>
                  <w:sz w:val="14"/>
                  <w:szCs w:val="14"/>
                  <w:color w:val="0000FF"/>
                </w:rPr>
                <w:t>Quantitative and Qualitative Disclosures About Market Risk</w:t>
              </w:r>
            </w:hyperlink>
          </w:p>
        </w:tc>
        <w:tc>
          <w:tcPr>
            <w:tcW w:w="1880" w:type="dxa"/>
            <w:vAlign w:val="bottom"/>
            <w:tcBorders>
              <w:top w:val="single" w:sz="8" w:color="0000FF"/>
            </w:tcBorders>
          </w:tcPr>
          <w:p>
            <w:pPr>
              <w:spacing w:after="0"/>
              <w:rPr>
                <w:sz w:val="14"/>
                <w:szCs w:val="14"/>
                <w:color w:val="auto"/>
              </w:rPr>
            </w:pPr>
          </w:p>
        </w:tc>
        <w:tc>
          <w:tcPr>
            <w:tcW w:w="2040" w:type="dxa"/>
            <w:vAlign w:val="bottom"/>
          </w:tcPr>
          <w:p>
            <w:pPr>
              <w:spacing w:after="0"/>
              <w:rPr>
                <w:sz w:val="14"/>
                <w:szCs w:val="14"/>
                <w:color w:val="auto"/>
              </w:rPr>
            </w:pPr>
          </w:p>
        </w:tc>
        <w:tc>
          <w:tcPr>
            <w:tcW w:w="2640" w:type="dxa"/>
            <w:vAlign w:val="bottom"/>
          </w:tcPr>
          <w:p>
            <w:pPr>
              <w:jc w:val="right"/>
              <w:spacing w:after="0"/>
              <w:rPr>
                <w:rFonts w:ascii="Arial" w:cs="Arial" w:eastAsia="Arial" w:hAnsi="Arial"/>
                <w:sz w:val="14"/>
                <w:szCs w:val="14"/>
                <w:color w:val="auto"/>
              </w:rPr>
            </w:pPr>
            <w:hyperlink w:anchor="page86">
              <w:r>
                <w:rPr>
                  <w:rFonts w:ascii="Arial" w:cs="Arial" w:eastAsia="Arial" w:hAnsi="Arial"/>
                  <w:sz w:val="14"/>
                  <w:szCs w:val="14"/>
                  <w:color w:val="auto"/>
                </w:rPr>
                <w:t>87</w:t>
              </w:r>
            </w:hyperlink>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ITEM 4</w:t>
            </w:r>
          </w:p>
        </w:tc>
        <w:tc>
          <w:tcPr>
            <w:tcW w:w="7700" w:type="dxa"/>
            <w:vAlign w:val="bottom"/>
            <w:gridSpan w:val="18"/>
          </w:tcPr>
          <w:p>
            <w:pPr>
              <w:ind w:left="20"/>
              <w:spacing w:after="0"/>
              <w:rPr>
                <w:rFonts w:ascii="Arial" w:cs="Arial" w:eastAsia="Arial" w:hAnsi="Arial"/>
                <w:sz w:val="14"/>
                <w:szCs w:val="14"/>
                <w:color w:val="0000FF"/>
              </w:rPr>
            </w:pPr>
            <w:hyperlink w:anchor="page87">
              <w:r>
                <w:rPr>
                  <w:rFonts w:ascii="Arial" w:cs="Arial" w:eastAsia="Arial" w:hAnsi="Arial"/>
                  <w:sz w:val="14"/>
                  <w:szCs w:val="14"/>
                  <w:color w:val="0000FF"/>
                </w:rPr>
                <w:t>Controls and Procedures</w:t>
              </w:r>
            </w:hyperlink>
          </w:p>
        </w:tc>
        <w:tc>
          <w:tcPr>
            <w:tcW w:w="2640" w:type="dxa"/>
            <w:vAlign w:val="bottom"/>
          </w:tcPr>
          <w:p>
            <w:pPr>
              <w:jc w:val="right"/>
              <w:spacing w:after="0"/>
              <w:rPr>
                <w:rFonts w:ascii="Arial" w:cs="Arial" w:eastAsia="Arial" w:hAnsi="Arial"/>
                <w:sz w:val="14"/>
                <w:szCs w:val="14"/>
                <w:color w:val="auto"/>
              </w:rPr>
            </w:pPr>
            <w:hyperlink w:anchor="page87">
              <w:r>
                <w:rPr>
                  <w:rFonts w:ascii="Arial" w:cs="Arial" w:eastAsia="Arial" w:hAnsi="Arial"/>
                  <w:sz w:val="14"/>
                  <w:szCs w:val="14"/>
                  <w:color w:val="auto"/>
                </w:rPr>
                <w:t>87</w:t>
              </w:r>
            </w:hyperlink>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100" w:type="dxa"/>
            <w:vAlign w:val="bottom"/>
            <w:gridSpan w:val="11"/>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40" w:type="dxa"/>
            <w:vAlign w:val="bottom"/>
            <w:tcBorders>
              <w:bottom w:val="single" w:sz="8" w:color="0000FF"/>
            </w:tcBorders>
            <w:gridSpan w:val="7"/>
          </w:tcPr>
          <w:p>
            <w:pPr>
              <w:spacing w:after="0" w:line="182" w:lineRule="exact"/>
              <w:rPr>
                <w:rFonts w:ascii="Arial" w:cs="Arial" w:eastAsia="Arial" w:hAnsi="Arial"/>
                <w:sz w:val="18"/>
                <w:szCs w:val="18"/>
                <w:b w:val="1"/>
                <w:bCs w:val="1"/>
                <w:color w:val="0000FF"/>
                <w:w w:val="99"/>
              </w:rPr>
            </w:pPr>
            <w:hyperlink w:anchor="page87">
              <w:r>
                <w:rPr>
                  <w:rFonts w:ascii="Arial" w:cs="Arial" w:eastAsia="Arial" w:hAnsi="Arial"/>
                  <w:sz w:val="18"/>
                  <w:szCs w:val="18"/>
                  <w:b w:val="1"/>
                  <w:bCs w:val="1"/>
                  <w:color w:val="0000FF"/>
                  <w:w w:val="99"/>
                </w:rPr>
                <w:t>PART II—Other Information</w:t>
              </w:r>
            </w:hyperlink>
          </w:p>
        </w:tc>
        <w:tc>
          <w:tcPr>
            <w:tcW w:w="6220" w:type="dxa"/>
            <w:vAlign w:val="bottom"/>
            <w:gridSpan w:val="12"/>
          </w:tcPr>
          <w:p>
            <w:pPr>
              <w:spacing w:after="0"/>
              <w:rPr>
                <w:sz w:val="17"/>
                <w:szCs w:val="17"/>
                <w:color w:val="auto"/>
              </w:rPr>
            </w:pPr>
          </w:p>
        </w:tc>
        <w:tc>
          <w:tcPr>
            <w:tcW w:w="2640" w:type="dxa"/>
            <w:vAlign w:val="bottom"/>
          </w:tcPr>
          <w:p>
            <w:pPr>
              <w:jc w:val="right"/>
              <w:spacing w:after="0"/>
              <w:rPr>
                <w:rFonts w:ascii="Arial" w:cs="Arial" w:eastAsia="Arial" w:hAnsi="Arial"/>
                <w:sz w:val="14"/>
                <w:szCs w:val="14"/>
                <w:color w:val="auto"/>
              </w:rPr>
            </w:pPr>
            <w:hyperlink w:anchor="page87">
              <w:r>
                <w:rPr>
                  <w:rFonts w:ascii="Arial" w:cs="Arial" w:eastAsia="Arial" w:hAnsi="Arial"/>
                  <w:sz w:val="14"/>
                  <w:szCs w:val="14"/>
                  <w:color w:val="auto"/>
                </w:rPr>
                <w:t>88</w:t>
              </w:r>
            </w:hyperlink>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ITEM 1</w:t>
            </w:r>
          </w:p>
        </w:tc>
        <w:tc>
          <w:tcPr>
            <w:tcW w:w="7700" w:type="dxa"/>
            <w:vAlign w:val="bottom"/>
            <w:gridSpan w:val="18"/>
          </w:tcPr>
          <w:p>
            <w:pPr>
              <w:ind w:left="20"/>
              <w:spacing w:after="0"/>
              <w:rPr>
                <w:rFonts w:ascii="Arial" w:cs="Arial" w:eastAsia="Arial" w:hAnsi="Arial"/>
                <w:sz w:val="14"/>
                <w:szCs w:val="14"/>
                <w:color w:val="0000FF"/>
              </w:rPr>
            </w:pPr>
            <w:hyperlink w:anchor="page88">
              <w:r>
                <w:rPr>
                  <w:rFonts w:ascii="Arial" w:cs="Arial" w:eastAsia="Arial" w:hAnsi="Arial"/>
                  <w:sz w:val="14"/>
                  <w:szCs w:val="14"/>
                  <w:color w:val="0000FF"/>
                </w:rPr>
                <w:t>Legal Proceedings</w:t>
              </w:r>
            </w:hyperlink>
          </w:p>
        </w:tc>
        <w:tc>
          <w:tcPr>
            <w:tcW w:w="2640" w:type="dxa"/>
            <w:vAlign w:val="bottom"/>
          </w:tcPr>
          <w:p>
            <w:pPr>
              <w:jc w:val="right"/>
              <w:spacing w:after="0"/>
              <w:rPr>
                <w:rFonts w:ascii="Arial" w:cs="Arial" w:eastAsia="Arial" w:hAnsi="Arial"/>
                <w:sz w:val="14"/>
                <w:szCs w:val="14"/>
                <w:color w:val="auto"/>
              </w:rPr>
            </w:pPr>
            <w:hyperlink w:anchor="page88">
              <w:r>
                <w:rPr>
                  <w:rFonts w:ascii="Arial" w:cs="Arial" w:eastAsia="Arial" w:hAnsi="Arial"/>
                  <w:sz w:val="14"/>
                  <w:szCs w:val="14"/>
                  <w:color w:val="auto"/>
                </w:rPr>
                <w:t>88</w:t>
              </w:r>
            </w:hyperlink>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ITEM 1A</w:t>
            </w:r>
          </w:p>
        </w:tc>
        <w:tc>
          <w:tcPr>
            <w:tcW w:w="1200" w:type="dxa"/>
            <w:vAlign w:val="bottom"/>
            <w:tcBorders>
              <w:top w:val="single" w:sz="8" w:color="0000FF"/>
            </w:tcBorders>
            <w:gridSpan w:val="5"/>
          </w:tcPr>
          <w:p>
            <w:pPr>
              <w:ind w:left="20"/>
              <w:spacing w:after="0"/>
              <w:rPr>
                <w:rFonts w:ascii="Arial" w:cs="Arial" w:eastAsia="Arial" w:hAnsi="Arial"/>
                <w:sz w:val="14"/>
                <w:szCs w:val="14"/>
                <w:color w:val="0000FF"/>
              </w:rPr>
            </w:pPr>
            <w:hyperlink w:anchor="page88">
              <w:r>
                <w:rPr>
                  <w:rFonts w:ascii="Arial" w:cs="Arial" w:eastAsia="Arial" w:hAnsi="Arial"/>
                  <w:sz w:val="14"/>
                  <w:szCs w:val="14"/>
                  <w:color w:val="0000FF"/>
                </w:rPr>
                <w:t>Risk Factors</w:t>
              </w:r>
            </w:hyperlink>
          </w:p>
        </w:tc>
        <w:tc>
          <w:tcPr>
            <w:tcW w:w="6500" w:type="dxa"/>
            <w:vAlign w:val="bottom"/>
            <w:gridSpan w:val="13"/>
          </w:tcPr>
          <w:p>
            <w:pPr>
              <w:spacing w:after="0"/>
              <w:rPr>
                <w:sz w:val="14"/>
                <w:szCs w:val="14"/>
                <w:color w:val="auto"/>
              </w:rPr>
            </w:pPr>
          </w:p>
        </w:tc>
        <w:tc>
          <w:tcPr>
            <w:tcW w:w="2640" w:type="dxa"/>
            <w:vAlign w:val="bottom"/>
          </w:tcPr>
          <w:p>
            <w:pPr>
              <w:jc w:val="right"/>
              <w:spacing w:after="0"/>
              <w:rPr>
                <w:rFonts w:ascii="Arial" w:cs="Arial" w:eastAsia="Arial" w:hAnsi="Arial"/>
                <w:sz w:val="14"/>
                <w:szCs w:val="14"/>
                <w:color w:val="auto"/>
              </w:rPr>
            </w:pPr>
            <w:hyperlink w:anchor="page88">
              <w:r>
                <w:rPr>
                  <w:rFonts w:ascii="Arial" w:cs="Arial" w:eastAsia="Arial" w:hAnsi="Arial"/>
                  <w:sz w:val="14"/>
                  <w:szCs w:val="14"/>
                  <w:color w:val="auto"/>
                </w:rPr>
                <w:t>88</w:t>
              </w:r>
            </w:hyperlink>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ITEM 6</w:t>
            </w:r>
          </w:p>
        </w:tc>
        <w:tc>
          <w:tcPr>
            <w:tcW w:w="520" w:type="dxa"/>
            <w:vAlign w:val="bottom"/>
            <w:tcBorders>
              <w:top w:val="single" w:sz="8" w:color="0000FF"/>
              <w:bottom w:val="single" w:sz="8" w:color="0000FF"/>
            </w:tcBorders>
            <w:gridSpan w:val="2"/>
          </w:tcPr>
          <w:p>
            <w:pPr>
              <w:ind w:left="20"/>
              <w:spacing w:after="0"/>
              <w:rPr>
                <w:rFonts w:ascii="Arial" w:cs="Arial" w:eastAsia="Arial" w:hAnsi="Arial"/>
                <w:sz w:val="14"/>
                <w:szCs w:val="14"/>
                <w:color w:val="0000FF"/>
                <w:w w:val="97"/>
              </w:rPr>
            </w:pPr>
            <w:hyperlink w:anchor="page88">
              <w:r>
                <w:rPr>
                  <w:rFonts w:ascii="Arial" w:cs="Arial" w:eastAsia="Arial" w:hAnsi="Arial"/>
                  <w:sz w:val="14"/>
                  <w:szCs w:val="14"/>
                  <w:color w:val="0000FF"/>
                  <w:w w:val="97"/>
                </w:rPr>
                <w:t>Exhibits</w:t>
              </w:r>
            </w:hyperlink>
          </w:p>
        </w:tc>
        <w:tc>
          <w:tcPr>
            <w:tcW w:w="280" w:type="dxa"/>
            <w:vAlign w:val="bottom"/>
            <w:tcBorders>
              <w:top w:val="single" w:sz="8" w:color="0000FF"/>
            </w:tcBorders>
            <w:gridSpan w:val="2"/>
          </w:tcPr>
          <w:p>
            <w:pPr>
              <w:spacing w:after="0"/>
              <w:rPr>
                <w:sz w:val="14"/>
                <w:szCs w:val="14"/>
                <w:color w:val="auto"/>
              </w:rPr>
            </w:pPr>
          </w:p>
        </w:tc>
        <w:tc>
          <w:tcPr>
            <w:tcW w:w="6900" w:type="dxa"/>
            <w:vAlign w:val="bottom"/>
            <w:gridSpan w:val="14"/>
          </w:tcPr>
          <w:p>
            <w:pPr>
              <w:spacing w:after="0"/>
              <w:rPr>
                <w:sz w:val="14"/>
                <w:szCs w:val="14"/>
                <w:color w:val="auto"/>
              </w:rPr>
            </w:pPr>
          </w:p>
        </w:tc>
        <w:tc>
          <w:tcPr>
            <w:tcW w:w="2640" w:type="dxa"/>
            <w:vAlign w:val="bottom"/>
          </w:tcPr>
          <w:p>
            <w:pPr>
              <w:jc w:val="right"/>
              <w:spacing w:after="0"/>
              <w:rPr>
                <w:rFonts w:ascii="Arial" w:cs="Arial" w:eastAsia="Arial" w:hAnsi="Arial"/>
                <w:sz w:val="14"/>
                <w:szCs w:val="14"/>
                <w:color w:val="auto"/>
              </w:rPr>
            </w:pPr>
            <w:hyperlink w:anchor="page88">
              <w:r>
                <w:rPr>
                  <w:rFonts w:ascii="Arial" w:cs="Arial" w:eastAsia="Arial" w:hAnsi="Arial"/>
                  <w:sz w:val="14"/>
                  <w:szCs w:val="14"/>
                  <w:color w:val="auto"/>
                </w:rPr>
                <w:t>88</w:t>
              </w:r>
            </w:hyperlink>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Borders>
              <w:bottom w:val="single" w:sz="8" w:color="0000FF"/>
            </w:tcBorders>
            <w:gridSpan w:val="3"/>
          </w:tcPr>
          <w:p>
            <w:pPr>
              <w:ind w:left="20"/>
              <w:spacing w:after="0"/>
              <w:rPr>
                <w:rFonts w:ascii="Arial" w:cs="Arial" w:eastAsia="Arial" w:hAnsi="Arial"/>
                <w:sz w:val="14"/>
                <w:szCs w:val="14"/>
                <w:color w:val="0000FF"/>
                <w:w w:val="98"/>
              </w:rPr>
            </w:pPr>
            <w:hyperlink w:anchor="page88">
              <w:r>
                <w:rPr>
                  <w:rFonts w:ascii="Arial" w:cs="Arial" w:eastAsia="Arial" w:hAnsi="Arial"/>
                  <w:sz w:val="14"/>
                  <w:szCs w:val="14"/>
                  <w:color w:val="0000FF"/>
                  <w:w w:val="98"/>
                </w:rPr>
                <w:t>Signatures</w:t>
              </w:r>
            </w:hyperlink>
          </w:p>
        </w:tc>
        <w:tc>
          <w:tcPr>
            <w:tcW w:w="7000" w:type="dxa"/>
            <w:vAlign w:val="bottom"/>
            <w:gridSpan w:val="15"/>
          </w:tcPr>
          <w:p>
            <w:pPr>
              <w:spacing w:after="0"/>
              <w:rPr>
                <w:sz w:val="14"/>
                <w:szCs w:val="14"/>
                <w:color w:val="auto"/>
              </w:rPr>
            </w:pPr>
          </w:p>
        </w:tc>
        <w:tc>
          <w:tcPr>
            <w:tcW w:w="2640" w:type="dxa"/>
            <w:vAlign w:val="bottom"/>
          </w:tcPr>
          <w:p>
            <w:pPr>
              <w:jc w:val="right"/>
              <w:spacing w:after="0"/>
              <w:rPr>
                <w:rFonts w:ascii="Arial" w:cs="Arial" w:eastAsia="Arial" w:hAnsi="Arial"/>
                <w:sz w:val="14"/>
                <w:szCs w:val="14"/>
                <w:color w:val="auto"/>
              </w:rPr>
            </w:pPr>
            <w:hyperlink w:anchor="page88">
              <w:r>
                <w:rPr>
                  <w:rFonts w:ascii="Arial" w:cs="Arial" w:eastAsia="Arial" w:hAnsi="Arial"/>
                  <w:sz w:val="14"/>
                  <w:szCs w:val="14"/>
                  <w:color w:val="auto"/>
                </w:rPr>
                <w:t>89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report contains forward-looking statements that are intended to qualify for the safe-harbor provisions of Section 27A of the Securities Act of 1933, as amended, and Section 21E of the Securities Exchange Act of 1934, as amended. Forward-looking statements are statements of future expectation and not facts. Words such as “forecasts,” “expects,” “estimates,” “anticipates,” “intends,” “believes,” “plans,” “will,” "target," "guidance" and similar expressions identify forward-looking statements. The forward-looking statements reflect information available and assumptions at the time the statements are made, and accordingly speak only as of that time. Actual results or developments might differ materially from those included in the forward-looking statements because of various factors including, but not limited to:</w:t>
      </w:r>
    </w:p>
    <w:p>
      <w:pPr>
        <w:spacing w:after="0" w:line="10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828282"/>
        </w:rPr>
      </w:pPr>
      <w:r>
        <w:rPr>
          <w:rFonts w:ascii="Arial" w:cs="Arial" w:eastAsia="Arial" w:hAnsi="Arial"/>
          <w:sz w:val="18"/>
          <w:szCs w:val="18"/>
          <w:color w:val="auto"/>
        </w:rPr>
        <w:t>the Companies are extensively regulated and are subject to penalties;</w:t>
      </w:r>
    </w:p>
    <w:p>
      <w:pPr>
        <w:spacing w:after="0" w:line="117" w:lineRule="exact"/>
        <w:rPr>
          <w:rFonts w:ascii="Arial" w:cs="Arial" w:eastAsia="Arial" w:hAnsi="Arial"/>
          <w:sz w:val="18"/>
          <w:szCs w:val="18"/>
          <w:color w:val="828282"/>
        </w:rPr>
      </w:pPr>
    </w:p>
    <w:p>
      <w:pPr>
        <w:ind w:left="660" w:hanging="328"/>
        <w:spacing w:after="0"/>
        <w:tabs>
          <w:tab w:leader="none" w:pos="660" w:val="left"/>
        </w:tabs>
        <w:numPr>
          <w:ilvl w:val="0"/>
          <w:numId w:val="3"/>
        </w:numPr>
        <w:rPr>
          <w:rFonts w:ascii="Arial" w:cs="Arial" w:eastAsia="Arial" w:hAnsi="Arial"/>
          <w:sz w:val="18"/>
          <w:szCs w:val="18"/>
          <w:color w:val="828282"/>
        </w:rPr>
      </w:pPr>
      <w:r>
        <w:rPr>
          <w:rFonts w:ascii="Arial" w:cs="Arial" w:eastAsia="Arial" w:hAnsi="Arial"/>
          <w:sz w:val="18"/>
          <w:szCs w:val="18"/>
          <w:color w:val="auto"/>
        </w:rPr>
        <w:t>the Utilities’ rate plans may not provide a reasonable return;</w:t>
      </w:r>
    </w:p>
    <w:p>
      <w:pPr>
        <w:spacing w:after="0" w:line="117" w:lineRule="exact"/>
        <w:rPr>
          <w:rFonts w:ascii="Arial" w:cs="Arial" w:eastAsia="Arial" w:hAnsi="Arial"/>
          <w:sz w:val="18"/>
          <w:szCs w:val="18"/>
          <w:color w:val="828282"/>
        </w:rPr>
      </w:pPr>
    </w:p>
    <w:p>
      <w:pPr>
        <w:ind w:left="660" w:hanging="328"/>
        <w:spacing w:after="0"/>
        <w:tabs>
          <w:tab w:leader="none" w:pos="660" w:val="left"/>
        </w:tabs>
        <w:numPr>
          <w:ilvl w:val="0"/>
          <w:numId w:val="3"/>
        </w:numPr>
        <w:rPr>
          <w:rFonts w:ascii="Arial" w:cs="Arial" w:eastAsia="Arial" w:hAnsi="Arial"/>
          <w:sz w:val="18"/>
          <w:szCs w:val="18"/>
          <w:color w:val="828282"/>
        </w:rPr>
      </w:pPr>
      <w:r>
        <w:rPr>
          <w:rFonts w:ascii="Arial" w:cs="Arial" w:eastAsia="Arial" w:hAnsi="Arial"/>
          <w:sz w:val="18"/>
          <w:szCs w:val="18"/>
          <w:color w:val="auto"/>
        </w:rPr>
        <w:t>the Companies may be adversely affected by changes to the Utilities’ rate plans;</w:t>
      </w:r>
    </w:p>
    <w:p>
      <w:pPr>
        <w:spacing w:after="0" w:line="117" w:lineRule="exact"/>
        <w:rPr>
          <w:rFonts w:ascii="Arial" w:cs="Arial" w:eastAsia="Arial" w:hAnsi="Arial"/>
          <w:sz w:val="18"/>
          <w:szCs w:val="18"/>
          <w:color w:val="828282"/>
        </w:rPr>
      </w:pPr>
    </w:p>
    <w:p>
      <w:pPr>
        <w:ind w:left="660" w:hanging="328"/>
        <w:spacing w:after="0"/>
        <w:tabs>
          <w:tab w:leader="none" w:pos="660" w:val="left"/>
        </w:tabs>
        <w:numPr>
          <w:ilvl w:val="0"/>
          <w:numId w:val="3"/>
        </w:numPr>
        <w:rPr>
          <w:rFonts w:ascii="Arial" w:cs="Arial" w:eastAsia="Arial" w:hAnsi="Arial"/>
          <w:sz w:val="18"/>
          <w:szCs w:val="18"/>
          <w:color w:val="828282"/>
        </w:rPr>
      </w:pPr>
      <w:r>
        <w:rPr>
          <w:rFonts w:ascii="Arial" w:cs="Arial" w:eastAsia="Arial" w:hAnsi="Arial"/>
          <w:sz w:val="18"/>
          <w:szCs w:val="18"/>
          <w:color w:val="auto"/>
        </w:rPr>
        <w:t>the failure of, or damage to, the Companies’ facilities could adversely affect the Companies;</w:t>
      </w:r>
    </w:p>
    <w:p>
      <w:pPr>
        <w:spacing w:after="0" w:line="117" w:lineRule="exact"/>
        <w:rPr>
          <w:rFonts w:ascii="Arial" w:cs="Arial" w:eastAsia="Arial" w:hAnsi="Arial"/>
          <w:sz w:val="18"/>
          <w:szCs w:val="18"/>
          <w:color w:val="828282"/>
        </w:rPr>
      </w:pPr>
    </w:p>
    <w:p>
      <w:pPr>
        <w:ind w:left="660" w:hanging="328"/>
        <w:spacing w:after="0"/>
        <w:tabs>
          <w:tab w:leader="none" w:pos="660" w:val="left"/>
        </w:tabs>
        <w:numPr>
          <w:ilvl w:val="0"/>
          <w:numId w:val="3"/>
        </w:numPr>
        <w:rPr>
          <w:rFonts w:ascii="Arial" w:cs="Arial" w:eastAsia="Arial" w:hAnsi="Arial"/>
          <w:sz w:val="18"/>
          <w:szCs w:val="18"/>
          <w:color w:val="828282"/>
        </w:rPr>
      </w:pPr>
      <w:r>
        <w:rPr>
          <w:rFonts w:ascii="Arial" w:cs="Arial" w:eastAsia="Arial" w:hAnsi="Arial"/>
          <w:sz w:val="18"/>
          <w:szCs w:val="18"/>
          <w:color w:val="auto"/>
        </w:rPr>
        <w:t>a cyber attack could adversely affect the Companies;</w:t>
      </w:r>
    </w:p>
    <w:p>
      <w:pPr>
        <w:spacing w:after="0" w:line="117" w:lineRule="exact"/>
        <w:rPr>
          <w:rFonts w:ascii="Arial" w:cs="Arial" w:eastAsia="Arial" w:hAnsi="Arial"/>
          <w:sz w:val="18"/>
          <w:szCs w:val="18"/>
          <w:color w:val="828282"/>
        </w:rPr>
      </w:pPr>
    </w:p>
    <w:p>
      <w:pPr>
        <w:ind w:left="660" w:hanging="328"/>
        <w:spacing w:after="0"/>
        <w:tabs>
          <w:tab w:leader="none" w:pos="660" w:val="left"/>
        </w:tabs>
        <w:numPr>
          <w:ilvl w:val="0"/>
          <w:numId w:val="3"/>
        </w:numPr>
        <w:rPr>
          <w:rFonts w:ascii="Arial" w:cs="Arial" w:eastAsia="Arial" w:hAnsi="Arial"/>
          <w:sz w:val="18"/>
          <w:szCs w:val="18"/>
          <w:color w:val="828282"/>
        </w:rPr>
      </w:pPr>
      <w:r>
        <w:rPr>
          <w:rFonts w:ascii="Arial" w:cs="Arial" w:eastAsia="Arial" w:hAnsi="Arial"/>
          <w:sz w:val="18"/>
          <w:szCs w:val="18"/>
          <w:color w:val="auto"/>
        </w:rPr>
        <w:t>the failure of processes and systems and the performance of employees and contractors could adversely affect the Companies;</w:t>
      </w:r>
    </w:p>
    <w:p>
      <w:pPr>
        <w:spacing w:after="0" w:line="117" w:lineRule="exact"/>
        <w:rPr>
          <w:rFonts w:ascii="Arial" w:cs="Arial" w:eastAsia="Arial" w:hAnsi="Arial"/>
          <w:sz w:val="18"/>
          <w:szCs w:val="18"/>
          <w:color w:val="828282"/>
        </w:rPr>
      </w:pPr>
    </w:p>
    <w:p>
      <w:pPr>
        <w:ind w:left="660" w:right="200" w:hanging="328"/>
        <w:spacing w:after="0" w:line="261" w:lineRule="auto"/>
        <w:tabs>
          <w:tab w:leader="none" w:pos="655" w:val="left"/>
        </w:tabs>
        <w:numPr>
          <w:ilvl w:val="0"/>
          <w:numId w:val="3"/>
        </w:numPr>
        <w:rPr>
          <w:rFonts w:ascii="Arial" w:cs="Arial" w:eastAsia="Arial" w:hAnsi="Arial"/>
          <w:sz w:val="18"/>
          <w:szCs w:val="18"/>
          <w:color w:val="828282"/>
        </w:rPr>
      </w:pPr>
      <w:r>
        <w:rPr>
          <w:rFonts w:ascii="Arial" w:cs="Arial" w:eastAsia="Arial" w:hAnsi="Arial"/>
          <w:sz w:val="18"/>
          <w:szCs w:val="18"/>
          <w:color w:val="auto"/>
        </w:rPr>
        <w:t>the Companies are exposed to risks from the environmental consequences of their operations, including increased costs related to climate change;</w:t>
      </w:r>
    </w:p>
    <w:p>
      <w:pPr>
        <w:spacing w:after="0" w:line="89" w:lineRule="exact"/>
        <w:rPr>
          <w:rFonts w:ascii="Arial" w:cs="Arial" w:eastAsia="Arial" w:hAnsi="Arial"/>
          <w:sz w:val="18"/>
          <w:szCs w:val="18"/>
          <w:color w:val="828282"/>
        </w:rPr>
      </w:pPr>
    </w:p>
    <w:p>
      <w:pPr>
        <w:ind w:left="660" w:hanging="328"/>
        <w:spacing w:after="0"/>
        <w:tabs>
          <w:tab w:leader="none" w:pos="660" w:val="left"/>
        </w:tabs>
        <w:numPr>
          <w:ilvl w:val="0"/>
          <w:numId w:val="3"/>
        </w:numPr>
        <w:rPr>
          <w:rFonts w:ascii="Arial" w:cs="Arial" w:eastAsia="Arial" w:hAnsi="Arial"/>
          <w:sz w:val="18"/>
          <w:szCs w:val="18"/>
          <w:color w:val="828282"/>
        </w:rPr>
      </w:pPr>
      <w:r>
        <w:rPr>
          <w:rFonts w:ascii="Arial" w:cs="Arial" w:eastAsia="Arial" w:hAnsi="Arial"/>
          <w:sz w:val="18"/>
          <w:szCs w:val="18"/>
          <w:color w:val="auto"/>
        </w:rPr>
        <w:t>a disruption in the wholesale energy markets or failure by an energy supplier or customer could adversely affect the Companies;</w:t>
      </w:r>
    </w:p>
    <w:p>
      <w:pPr>
        <w:spacing w:after="0" w:line="117" w:lineRule="exact"/>
        <w:rPr>
          <w:rFonts w:ascii="Arial" w:cs="Arial" w:eastAsia="Arial" w:hAnsi="Arial"/>
          <w:sz w:val="18"/>
          <w:szCs w:val="18"/>
          <w:color w:val="828282"/>
        </w:rPr>
      </w:pPr>
    </w:p>
    <w:p>
      <w:pPr>
        <w:ind w:left="660" w:hanging="328"/>
        <w:spacing w:after="0"/>
        <w:tabs>
          <w:tab w:leader="none" w:pos="660" w:val="left"/>
        </w:tabs>
        <w:numPr>
          <w:ilvl w:val="0"/>
          <w:numId w:val="3"/>
        </w:numPr>
        <w:rPr>
          <w:rFonts w:ascii="Arial" w:cs="Arial" w:eastAsia="Arial" w:hAnsi="Arial"/>
          <w:sz w:val="18"/>
          <w:szCs w:val="18"/>
          <w:color w:val="828282"/>
        </w:rPr>
      </w:pPr>
      <w:r>
        <w:rPr>
          <w:rFonts w:ascii="Arial" w:cs="Arial" w:eastAsia="Arial" w:hAnsi="Arial"/>
          <w:sz w:val="18"/>
          <w:szCs w:val="18"/>
          <w:color w:val="auto"/>
        </w:rPr>
        <w:t>the Companies have substantial unfunded pension and other postretirement benefit liabilities;</w:t>
      </w:r>
    </w:p>
    <w:p>
      <w:pPr>
        <w:spacing w:after="0" w:line="117" w:lineRule="exact"/>
        <w:rPr>
          <w:rFonts w:ascii="Arial" w:cs="Arial" w:eastAsia="Arial" w:hAnsi="Arial"/>
          <w:sz w:val="18"/>
          <w:szCs w:val="18"/>
          <w:color w:val="828282"/>
        </w:rPr>
      </w:pPr>
    </w:p>
    <w:p>
      <w:pPr>
        <w:ind w:left="660" w:hanging="328"/>
        <w:spacing w:after="0"/>
        <w:tabs>
          <w:tab w:leader="none" w:pos="660" w:val="left"/>
        </w:tabs>
        <w:numPr>
          <w:ilvl w:val="0"/>
          <w:numId w:val="3"/>
        </w:numPr>
        <w:rPr>
          <w:rFonts w:ascii="Arial" w:cs="Arial" w:eastAsia="Arial" w:hAnsi="Arial"/>
          <w:sz w:val="18"/>
          <w:szCs w:val="18"/>
          <w:color w:val="828282"/>
        </w:rPr>
      </w:pPr>
      <w:r>
        <w:rPr>
          <w:rFonts w:ascii="Arial" w:cs="Arial" w:eastAsia="Arial" w:hAnsi="Arial"/>
          <w:sz w:val="18"/>
          <w:szCs w:val="18"/>
          <w:color w:val="auto"/>
        </w:rPr>
        <w:t>Con Edison’s ability to pay dividends or interest depends on dividends from its subsidiaries;</w:t>
      </w:r>
    </w:p>
    <w:p>
      <w:pPr>
        <w:spacing w:after="0" w:line="117" w:lineRule="exact"/>
        <w:rPr>
          <w:rFonts w:ascii="Arial" w:cs="Arial" w:eastAsia="Arial" w:hAnsi="Arial"/>
          <w:sz w:val="18"/>
          <w:szCs w:val="18"/>
          <w:color w:val="828282"/>
        </w:rPr>
      </w:pPr>
    </w:p>
    <w:p>
      <w:pPr>
        <w:ind w:left="660" w:hanging="328"/>
        <w:spacing w:after="0"/>
        <w:tabs>
          <w:tab w:leader="none" w:pos="660" w:val="left"/>
        </w:tabs>
        <w:numPr>
          <w:ilvl w:val="0"/>
          <w:numId w:val="3"/>
        </w:numPr>
        <w:rPr>
          <w:rFonts w:ascii="Arial" w:cs="Arial" w:eastAsia="Arial" w:hAnsi="Arial"/>
          <w:sz w:val="18"/>
          <w:szCs w:val="18"/>
          <w:color w:val="828282"/>
        </w:rPr>
      </w:pPr>
      <w:r>
        <w:rPr>
          <w:rFonts w:ascii="Arial" w:cs="Arial" w:eastAsia="Arial" w:hAnsi="Arial"/>
          <w:sz w:val="18"/>
          <w:szCs w:val="18"/>
          <w:color w:val="auto"/>
        </w:rPr>
        <w:t>the Companies require access to capital markets to satisfy funding requirements;</w:t>
      </w:r>
    </w:p>
    <w:p>
      <w:pPr>
        <w:spacing w:after="0" w:line="117" w:lineRule="exact"/>
        <w:rPr>
          <w:rFonts w:ascii="Arial" w:cs="Arial" w:eastAsia="Arial" w:hAnsi="Arial"/>
          <w:sz w:val="18"/>
          <w:szCs w:val="18"/>
          <w:color w:val="828282"/>
        </w:rPr>
      </w:pPr>
    </w:p>
    <w:p>
      <w:pPr>
        <w:ind w:left="660" w:hanging="328"/>
        <w:spacing w:after="0"/>
        <w:tabs>
          <w:tab w:leader="none" w:pos="660" w:val="left"/>
        </w:tabs>
        <w:numPr>
          <w:ilvl w:val="0"/>
          <w:numId w:val="3"/>
        </w:numPr>
        <w:rPr>
          <w:rFonts w:ascii="Arial" w:cs="Arial" w:eastAsia="Arial" w:hAnsi="Arial"/>
          <w:sz w:val="18"/>
          <w:szCs w:val="18"/>
          <w:color w:val="828282"/>
        </w:rPr>
      </w:pPr>
      <w:r>
        <w:rPr>
          <w:rFonts w:ascii="Arial" w:cs="Arial" w:eastAsia="Arial" w:hAnsi="Arial"/>
          <w:sz w:val="18"/>
          <w:szCs w:val="18"/>
          <w:color w:val="auto"/>
        </w:rPr>
        <w:t>changes to tax laws could adversely affect the Companies;</w:t>
      </w:r>
    </w:p>
    <w:p>
      <w:pPr>
        <w:spacing w:after="0" w:line="117" w:lineRule="exact"/>
        <w:rPr>
          <w:rFonts w:ascii="Arial" w:cs="Arial" w:eastAsia="Arial" w:hAnsi="Arial"/>
          <w:sz w:val="18"/>
          <w:szCs w:val="18"/>
          <w:color w:val="828282"/>
        </w:rPr>
      </w:pPr>
    </w:p>
    <w:p>
      <w:pPr>
        <w:ind w:left="660" w:hanging="328"/>
        <w:spacing w:after="0"/>
        <w:tabs>
          <w:tab w:leader="none" w:pos="660" w:val="left"/>
        </w:tabs>
        <w:numPr>
          <w:ilvl w:val="0"/>
          <w:numId w:val="3"/>
        </w:numPr>
        <w:rPr>
          <w:rFonts w:ascii="Arial" w:cs="Arial" w:eastAsia="Arial" w:hAnsi="Arial"/>
          <w:sz w:val="18"/>
          <w:szCs w:val="18"/>
          <w:color w:val="828282"/>
        </w:rPr>
      </w:pPr>
      <w:r>
        <w:rPr>
          <w:rFonts w:ascii="Arial" w:cs="Arial" w:eastAsia="Arial" w:hAnsi="Arial"/>
          <w:sz w:val="18"/>
          <w:szCs w:val="18"/>
          <w:color w:val="auto"/>
        </w:rPr>
        <w:t>the Companies’ strategies may not be effective to address changes in the external business environment;</w:t>
      </w:r>
    </w:p>
    <w:p>
      <w:pPr>
        <w:spacing w:after="0" w:line="117" w:lineRule="exact"/>
        <w:rPr>
          <w:rFonts w:ascii="Arial" w:cs="Arial" w:eastAsia="Arial" w:hAnsi="Arial"/>
          <w:sz w:val="18"/>
          <w:szCs w:val="18"/>
          <w:color w:val="828282"/>
        </w:rPr>
      </w:pPr>
    </w:p>
    <w:p>
      <w:pPr>
        <w:ind w:left="660" w:hanging="328"/>
        <w:spacing w:after="0"/>
        <w:tabs>
          <w:tab w:leader="none" w:pos="660" w:val="left"/>
        </w:tabs>
        <w:numPr>
          <w:ilvl w:val="0"/>
          <w:numId w:val="3"/>
        </w:numPr>
        <w:rPr>
          <w:rFonts w:ascii="Arial" w:cs="Arial" w:eastAsia="Arial" w:hAnsi="Arial"/>
          <w:sz w:val="18"/>
          <w:szCs w:val="18"/>
          <w:color w:val="828282"/>
        </w:rPr>
      </w:pPr>
      <w:r>
        <w:rPr>
          <w:rFonts w:ascii="Arial" w:cs="Arial" w:eastAsia="Arial" w:hAnsi="Arial"/>
          <w:sz w:val="18"/>
          <w:szCs w:val="18"/>
          <w:color w:val="auto"/>
        </w:rPr>
        <w:t>the Companies face risks related to health epidemics and other outbreaks, including the COVID-19 pandemic; and</w:t>
      </w:r>
    </w:p>
    <w:p>
      <w:pPr>
        <w:spacing w:after="0" w:line="117" w:lineRule="exact"/>
        <w:rPr>
          <w:rFonts w:ascii="Arial" w:cs="Arial" w:eastAsia="Arial" w:hAnsi="Arial"/>
          <w:sz w:val="18"/>
          <w:szCs w:val="18"/>
          <w:color w:val="828282"/>
        </w:rPr>
      </w:pPr>
    </w:p>
    <w:p>
      <w:pPr>
        <w:ind w:left="660" w:hanging="328"/>
        <w:spacing w:after="0"/>
        <w:tabs>
          <w:tab w:leader="none" w:pos="660" w:val="left"/>
        </w:tabs>
        <w:numPr>
          <w:ilvl w:val="0"/>
          <w:numId w:val="3"/>
        </w:numPr>
        <w:rPr>
          <w:rFonts w:ascii="Arial" w:cs="Arial" w:eastAsia="Arial" w:hAnsi="Arial"/>
          <w:sz w:val="18"/>
          <w:szCs w:val="18"/>
          <w:color w:val="828282"/>
        </w:rPr>
      </w:pPr>
      <w:r>
        <w:rPr>
          <w:rFonts w:ascii="Arial" w:cs="Arial" w:eastAsia="Arial" w:hAnsi="Arial"/>
          <w:sz w:val="18"/>
          <w:szCs w:val="18"/>
          <w:color w:val="auto"/>
        </w:rPr>
        <w:t>the Companies also face other risks that are beyond their control.</w:t>
      </w:r>
    </w:p>
    <w:p>
      <w:pPr>
        <w:spacing w:after="0" w:line="11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Companies assume no obligation to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8C8272"/>
        </w:rPr>
        <w:t xml:space="preserve">Consolidated </w:t>
      </w:r>
      <w:r>
        <w:rPr>
          <w:rFonts w:ascii="Arial" w:cs="Arial" w:eastAsia="Arial" w:hAnsi="Arial"/>
          <w:sz w:val="22"/>
          <w:szCs w:val="22"/>
          <w:b w:val="1"/>
          <w:bCs w:val="1"/>
          <w:color w:val="828282"/>
        </w:rPr>
        <w:t>Edison,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STATEMENT (UNAUDITED)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30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rPr>
              <w:t>For the Three Months Ended</w:t>
            </w:r>
          </w:p>
        </w:tc>
        <w:tc>
          <w:tcPr>
            <w:tcW w:w="21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6820" w:type="dxa"/>
            <w:vAlign w:val="bottom"/>
            <w:tcBorders>
              <w:bottom w:val="single" w:sz="8" w:color="8C8272"/>
            </w:tcBorders>
          </w:tcPr>
          <w:p>
            <w:pPr>
              <w:spacing w:after="0"/>
              <w:rPr>
                <w:sz w:val="15"/>
                <w:szCs w:val="15"/>
                <w:color w:val="auto"/>
              </w:rPr>
            </w:pPr>
          </w:p>
        </w:tc>
        <w:tc>
          <w:tcPr>
            <w:tcW w:w="1580" w:type="dxa"/>
            <w:vAlign w:val="bottom"/>
            <w:tcBorders>
              <w:bottom w:val="single" w:sz="8" w:color="8C8272"/>
            </w:tcBorders>
            <w:gridSpan w:val="2"/>
          </w:tcPr>
          <w:p>
            <w:pPr>
              <w:jc w:val="center"/>
              <w:ind w:left="568"/>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8C8272"/>
            </w:tcBorders>
          </w:tcPr>
          <w:p>
            <w:pPr>
              <w:spacing w:after="0"/>
              <w:rPr>
                <w:sz w:val="15"/>
                <w:szCs w:val="15"/>
                <w:color w:val="auto"/>
              </w:rPr>
            </w:pPr>
          </w:p>
        </w:tc>
        <w:tc>
          <w:tcPr>
            <w:tcW w:w="148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8C8272"/>
            </w:tcBorders>
          </w:tcPr>
          <w:p>
            <w:pPr>
              <w:spacing w:after="0"/>
              <w:rPr>
                <w:sz w:val="15"/>
                <w:szCs w:val="15"/>
                <w:color w:val="auto"/>
              </w:rPr>
            </w:pPr>
          </w:p>
        </w:tc>
      </w:tr>
      <w:tr>
        <w:trPr>
          <w:trHeight w:val="183"/>
        </w:trPr>
        <w:tc>
          <w:tcPr>
            <w:tcW w:w="6820" w:type="dxa"/>
            <w:vAlign w:val="bottom"/>
            <w:tcBorders>
              <w:bottom w:val="single" w:sz="8" w:color="82828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Dollars/Except Share Data)</w:t>
            </w:r>
          </w:p>
        </w:tc>
        <w:tc>
          <w:tcPr>
            <w:tcW w:w="1120" w:type="dxa"/>
            <w:vAlign w:val="bottom"/>
            <w:tcBorders>
              <w:bottom w:val="single" w:sz="8" w:color="828282"/>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828282"/>
            </w:tcBorders>
          </w:tcPr>
          <w:p>
            <w:pPr>
              <w:spacing w:after="0"/>
              <w:rPr>
                <w:sz w:val="15"/>
                <w:szCs w:val="15"/>
                <w:color w:val="auto"/>
              </w:rPr>
            </w:pPr>
          </w:p>
        </w:tc>
        <w:tc>
          <w:tcPr>
            <w:tcW w:w="720" w:type="dxa"/>
            <w:vAlign w:val="bottom"/>
            <w:tcBorders>
              <w:bottom w:val="single" w:sz="8" w:color="828282"/>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1480" w:type="dxa"/>
            <w:vAlign w:val="bottom"/>
            <w:tcBorders>
              <w:bottom w:val="single" w:sz="8" w:color="828282"/>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82828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6820" w:type="dxa"/>
            <w:vAlign w:val="bottom"/>
          </w:tcPr>
          <w:p>
            <w:pPr>
              <w:ind w:left="20"/>
              <w:spacing w:after="0"/>
              <w:rPr>
                <w:sz w:val="20"/>
                <w:szCs w:val="20"/>
                <w:color w:val="auto"/>
              </w:rPr>
            </w:pPr>
            <w:r>
              <w:rPr>
                <w:rFonts w:ascii="Arial" w:cs="Arial" w:eastAsia="Arial" w:hAnsi="Arial"/>
                <w:sz w:val="14"/>
                <w:szCs w:val="14"/>
                <w:color w:val="auto"/>
              </w:rPr>
              <w:t>OPERATING REVENUES</w:t>
            </w: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9"/>
        </w:trPr>
        <w:tc>
          <w:tcPr>
            <w:tcW w:w="6820" w:type="dxa"/>
            <w:vAlign w:val="bottom"/>
            <w:shd w:val="clear" w:color="auto" w:fill="E0E0E0"/>
          </w:tcPr>
          <w:p>
            <w:pPr>
              <w:ind w:left="140"/>
              <w:spacing w:after="0"/>
              <w:rPr>
                <w:sz w:val="20"/>
                <w:szCs w:val="20"/>
                <w:color w:val="auto"/>
              </w:rPr>
            </w:pPr>
            <w:r>
              <w:rPr>
                <w:rFonts w:ascii="Arial" w:cs="Arial" w:eastAsia="Arial" w:hAnsi="Arial"/>
                <w:sz w:val="14"/>
                <w:szCs w:val="14"/>
                <w:color w:val="auto"/>
              </w:rPr>
              <w:t>Electric</w:t>
            </w:r>
          </w:p>
        </w:tc>
        <w:tc>
          <w:tcPr>
            <w:tcW w:w="11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$2,115</w:t>
            </w:r>
          </w:p>
        </w:tc>
        <w:tc>
          <w:tcPr>
            <w:tcW w:w="460" w:type="dxa"/>
            <w:vAlign w:val="bottom"/>
            <w:shd w:val="clear" w:color="auto" w:fill="E0E0E0"/>
          </w:tcPr>
          <w:p>
            <w:pPr>
              <w:spacing w:after="0"/>
              <w:rPr>
                <w:sz w:val="16"/>
                <w:szCs w:val="16"/>
                <w:color w:val="auto"/>
              </w:rPr>
            </w:pPr>
          </w:p>
        </w:tc>
        <w:tc>
          <w:tcPr>
            <w:tcW w:w="720" w:type="dxa"/>
            <w:vAlign w:val="bottom"/>
            <w:shd w:val="clear" w:color="auto" w:fill="E0E0E0"/>
          </w:tcPr>
          <w:p>
            <w:pPr>
              <w:jc w:val="right"/>
              <w:ind w:right="48"/>
              <w:spacing w:after="0"/>
              <w:rPr>
                <w:sz w:val="20"/>
                <w:szCs w:val="20"/>
                <w:color w:val="auto"/>
              </w:rPr>
            </w:pPr>
            <w:r>
              <w:rPr>
                <w:rFonts w:ascii="Arial" w:cs="Arial" w:eastAsia="Arial" w:hAnsi="Arial"/>
                <w:sz w:val="14"/>
                <w:szCs w:val="14"/>
                <w:color w:val="auto"/>
              </w:rPr>
              <w:t>$1,983</w:t>
            </w:r>
          </w:p>
        </w:tc>
        <w:tc>
          <w:tcPr>
            <w:tcW w:w="1480" w:type="dxa"/>
            <w:vAlign w:val="bottom"/>
            <w:shd w:val="clear" w:color="auto" w:fill="E0E0E0"/>
          </w:tcPr>
          <w:p>
            <w:pPr>
              <w:jc w:val="right"/>
              <w:ind w:right="408"/>
              <w:spacing w:after="0"/>
              <w:rPr>
                <w:sz w:val="20"/>
                <w:szCs w:val="20"/>
                <w:color w:val="auto"/>
              </w:rPr>
            </w:pPr>
            <w:r>
              <w:rPr>
                <w:rFonts w:ascii="Arial" w:cs="Arial" w:eastAsia="Arial" w:hAnsi="Arial"/>
                <w:sz w:val="14"/>
                <w:szCs w:val="14"/>
                <w:color w:val="auto"/>
              </w:rPr>
              <w:t>$4,228</w:t>
            </w:r>
          </w:p>
        </w:tc>
        <w:tc>
          <w:tcPr>
            <w:tcW w:w="640" w:type="dxa"/>
            <w:vAlign w:val="bottom"/>
            <w:shd w:val="clear" w:color="auto" w:fill="E0E0E0"/>
          </w:tcPr>
          <w:p>
            <w:pPr>
              <w:jc w:val="right"/>
              <w:spacing w:after="0"/>
              <w:rPr>
                <w:sz w:val="20"/>
                <w:szCs w:val="20"/>
                <w:color w:val="auto"/>
              </w:rPr>
            </w:pPr>
            <w:r>
              <w:rPr>
                <w:rFonts w:ascii="Arial" w:cs="Arial" w:eastAsia="Arial" w:hAnsi="Arial"/>
                <w:sz w:val="14"/>
                <w:szCs w:val="14"/>
                <w:color w:val="auto"/>
              </w:rPr>
              <w:t>$3,890</w:t>
            </w:r>
          </w:p>
        </w:tc>
      </w:tr>
      <w:tr>
        <w:trPr>
          <w:trHeight w:val="189"/>
        </w:trPr>
        <w:tc>
          <w:tcPr>
            <w:tcW w:w="6820" w:type="dxa"/>
            <w:vAlign w:val="bottom"/>
          </w:tcPr>
          <w:p>
            <w:pPr>
              <w:ind w:left="140"/>
              <w:spacing w:after="0"/>
              <w:rPr>
                <w:sz w:val="20"/>
                <w:szCs w:val="20"/>
                <w:color w:val="auto"/>
              </w:rPr>
            </w:pPr>
            <w:r>
              <w:rPr>
                <w:rFonts w:ascii="Arial" w:cs="Arial" w:eastAsia="Arial" w:hAnsi="Arial"/>
                <w:sz w:val="14"/>
                <w:szCs w:val="14"/>
                <w:color w:val="auto"/>
              </w:rPr>
              <w:t>Gas</w:t>
            </w:r>
          </w:p>
        </w:tc>
        <w:tc>
          <w:tcPr>
            <w:tcW w:w="1120" w:type="dxa"/>
            <w:vAlign w:val="bottom"/>
          </w:tcPr>
          <w:p>
            <w:pPr>
              <w:jc w:val="right"/>
              <w:spacing w:after="0"/>
              <w:rPr>
                <w:sz w:val="20"/>
                <w:szCs w:val="20"/>
                <w:color w:val="auto"/>
              </w:rPr>
            </w:pPr>
            <w:r>
              <w:rPr>
                <w:rFonts w:ascii="Arial" w:cs="Arial" w:eastAsia="Arial" w:hAnsi="Arial"/>
                <w:sz w:val="14"/>
                <w:szCs w:val="14"/>
                <w:color w:val="auto"/>
              </w:rPr>
              <w:t>490</w:t>
            </w:r>
          </w:p>
        </w:tc>
        <w:tc>
          <w:tcPr>
            <w:tcW w:w="4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453</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1,566</w:t>
            </w:r>
          </w:p>
        </w:tc>
        <w:tc>
          <w:tcPr>
            <w:tcW w:w="640" w:type="dxa"/>
            <w:vAlign w:val="bottom"/>
          </w:tcPr>
          <w:p>
            <w:pPr>
              <w:jc w:val="right"/>
              <w:spacing w:after="0"/>
              <w:rPr>
                <w:sz w:val="20"/>
                <w:szCs w:val="20"/>
                <w:color w:val="auto"/>
              </w:rPr>
            </w:pPr>
            <w:r>
              <w:rPr>
                <w:rFonts w:ascii="Arial" w:cs="Arial" w:eastAsia="Arial" w:hAnsi="Arial"/>
                <w:sz w:val="14"/>
                <w:szCs w:val="14"/>
                <w:color w:val="auto"/>
              </w:rPr>
              <w:t>1,384</w:t>
            </w:r>
          </w:p>
        </w:tc>
      </w:tr>
      <w:tr>
        <w:trPr>
          <w:trHeight w:val="189"/>
        </w:trPr>
        <w:tc>
          <w:tcPr>
            <w:tcW w:w="6820" w:type="dxa"/>
            <w:vAlign w:val="bottom"/>
            <w:shd w:val="clear" w:color="auto" w:fill="E0E0E0"/>
          </w:tcPr>
          <w:p>
            <w:pPr>
              <w:ind w:left="140"/>
              <w:spacing w:after="0"/>
              <w:rPr>
                <w:sz w:val="20"/>
                <w:szCs w:val="20"/>
                <w:color w:val="auto"/>
              </w:rPr>
            </w:pPr>
            <w:r>
              <w:rPr>
                <w:rFonts w:ascii="Arial" w:cs="Arial" w:eastAsia="Arial" w:hAnsi="Arial"/>
                <w:sz w:val="14"/>
                <w:szCs w:val="14"/>
                <w:color w:val="auto"/>
              </w:rPr>
              <w:t>Steam</w:t>
            </w:r>
          </w:p>
        </w:tc>
        <w:tc>
          <w:tcPr>
            <w:tcW w:w="11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74</w:t>
            </w:r>
          </w:p>
        </w:tc>
        <w:tc>
          <w:tcPr>
            <w:tcW w:w="460" w:type="dxa"/>
            <w:vAlign w:val="bottom"/>
            <w:shd w:val="clear" w:color="auto" w:fill="E0E0E0"/>
          </w:tcPr>
          <w:p>
            <w:pPr>
              <w:spacing w:after="0"/>
              <w:rPr>
                <w:sz w:val="16"/>
                <w:szCs w:val="16"/>
                <w:color w:val="auto"/>
              </w:rPr>
            </w:pPr>
          </w:p>
        </w:tc>
        <w:tc>
          <w:tcPr>
            <w:tcW w:w="720" w:type="dxa"/>
            <w:vAlign w:val="bottom"/>
            <w:shd w:val="clear" w:color="auto" w:fill="E0E0E0"/>
          </w:tcPr>
          <w:p>
            <w:pPr>
              <w:jc w:val="right"/>
              <w:ind w:right="48"/>
              <w:spacing w:after="0"/>
              <w:rPr>
                <w:sz w:val="20"/>
                <w:szCs w:val="20"/>
                <w:color w:val="auto"/>
              </w:rPr>
            </w:pPr>
            <w:r>
              <w:rPr>
                <w:rFonts w:ascii="Arial" w:cs="Arial" w:eastAsia="Arial" w:hAnsi="Arial"/>
                <w:sz w:val="14"/>
                <w:szCs w:val="14"/>
                <w:color w:val="auto"/>
              </w:rPr>
              <w:t>84</w:t>
            </w:r>
          </w:p>
        </w:tc>
        <w:tc>
          <w:tcPr>
            <w:tcW w:w="1480" w:type="dxa"/>
            <w:vAlign w:val="bottom"/>
            <w:shd w:val="clear" w:color="auto" w:fill="E0E0E0"/>
          </w:tcPr>
          <w:p>
            <w:pPr>
              <w:jc w:val="right"/>
              <w:ind w:right="408"/>
              <w:spacing w:after="0"/>
              <w:rPr>
                <w:sz w:val="20"/>
                <w:szCs w:val="20"/>
                <w:color w:val="auto"/>
              </w:rPr>
            </w:pPr>
            <w:r>
              <w:rPr>
                <w:rFonts w:ascii="Arial" w:cs="Arial" w:eastAsia="Arial" w:hAnsi="Arial"/>
                <w:sz w:val="14"/>
                <w:szCs w:val="14"/>
                <w:color w:val="auto"/>
              </w:rPr>
              <w:t>338</w:t>
            </w:r>
          </w:p>
        </w:tc>
        <w:tc>
          <w:tcPr>
            <w:tcW w:w="640" w:type="dxa"/>
            <w:vAlign w:val="bottom"/>
            <w:shd w:val="clear" w:color="auto" w:fill="E0E0E0"/>
          </w:tcPr>
          <w:p>
            <w:pPr>
              <w:jc w:val="right"/>
              <w:spacing w:after="0"/>
              <w:rPr>
                <w:sz w:val="20"/>
                <w:szCs w:val="20"/>
                <w:color w:val="auto"/>
              </w:rPr>
            </w:pPr>
            <w:r>
              <w:rPr>
                <w:rFonts w:ascii="Arial" w:cs="Arial" w:eastAsia="Arial" w:hAnsi="Arial"/>
                <w:sz w:val="14"/>
                <w:szCs w:val="14"/>
                <w:color w:val="auto"/>
              </w:rPr>
              <w:t>334</w:t>
            </w:r>
          </w:p>
        </w:tc>
      </w:tr>
      <w:tr>
        <w:trPr>
          <w:trHeight w:val="189"/>
        </w:trPr>
        <w:tc>
          <w:tcPr>
            <w:tcW w:w="6820" w:type="dxa"/>
            <w:vAlign w:val="bottom"/>
            <w:tcBorders>
              <w:bottom w:val="single" w:sz="8" w:color="8C8272"/>
            </w:tcBorders>
          </w:tcPr>
          <w:p>
            <w:pPr>
              <w:ind w:left="140"/>
              <w:spacing w:after="0"/>
              <w:rPr>
                <w:sz w:val="20"/>
                <w:szCs w:val="20"/>
                <w:color w:val="auto"/>
              </w:rPr>
            </w:pPr>
            <w:r>
              <w:rPr>
                <w:rFonts w:ascii="Arial" w:cs="Arial" w:eastAsia="Arial" w:hAnsi="Arial"/>
                <w:sz w:val="14"/>
                <w:szCs w:val="14"/>
                <w:color w:val="auto"/>
              </w:rPr>
              <w:t>Non-utility</w:t>
            </w:r>
          </w:p>
        </w:tc>
        <w:tc>
          <w:tcPr>
            <w:tcW w:w="11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292</w:t>
            </w:r>
          </w:p>
        </w:tc>
        <w:tc>
          <w:tcPr>
            <w:tcW w:w="460" w:type="dxa"/>
            <w:vAlign w:val="bottom"/>
            <w:tcBorders>
              <w:bottom w:val="single" w:sz="8" w:color="8C8272"/>
            </w:tcBorders>
          </w:tcPr>
          <w:p>
            <w:pPr>
              <w:spacing w:after="0"/>
              <w:rPr>
                <w:sz w:val="16"/>
                <w:szCs w:val="16"/>
                <w:color w:val="auto"/>
              </w:rPr>
            </w:pPr>
          </w:p>
        </w:tc>
        <w:tc>
          <w:tcPr>
            <w:tcW w:w="72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199</w:t>
            </w:r>
          </w:p>
        </w:tc>
        <w:tc>
          <w:tcPr>
            <w:tcW w:w="1480" w:type="dxa"/>
            <w:vAlign w:val="bottom"/>
            <w:tcBorders>
              <w:bottom w:val="single" w:sz="8" w:color="8C8272"/>
            </w:tcBorders>
          </w:tcPr>
          <w:p>
            <w:pPr>
              <w:jc w:val="right"/>
              <w:ind w:right="408"/>
              <w:spacing w:after="0"/>
              <w:rPr>
                <w:sz w:val="20"/>
                <w:szCs w:val="20"/>
                <w:color w:val="auto"/>
              </w:rPr>
            </w:pPr>
            <w:r>
              <w:rPr>
                <w:rFonts w:ascii="Arial" w:cs="Arial" w:eastAsia="Arial" w:hAnsi="Arial"/>
                <w:sz w:val="14"/>
                <w:szCs w:val="14"/>
                <w:color w:val="auto"/>
              </w:rPr>
              <w:t>516</w:t>
            </w:r>
          </w:p>
        </w:tc>
        <w:tc>
          <w:tcPr>
            <w:tcW w:w="6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345</w:t>
            </w:r>
          </w:p>
        </w:tc>
      </w:tr>
      <w:tr>
        <w:trPr>
          <w:trHeight w:val="183"/>
        </w:trPr>
        <w:tc>
          <w:tcPr>
            <w:tcW w:w="6820" w:type="dxa"/>
            <w:vAlign w:val="bottom"/>
            <w:tcBorders>
              <w:bottom w:val="single" w:sz="8" w:color="8C8272"/>
            </w:tcBorders>
            <w:shd w:val="clear" w:color="auto" w:fill="E0E0E0"/>
          </w:tcPr>
          <w:p>
            <w:pPr>
              <w:ind w:left="20"/>
              <w:spacing w:after="0"/>
              <w:rPr>
                <w:sz w:val="20"/>
                <w:szCs w:val="20"/>
                <w:color w:val="auto"/>
              </w:rPr>
            </w:pPr>
            <w:r>
              <w:rPr>
                <w:rFonts w:ascii="Arial" w:cs="Arial" w:eastAsia="Arial" w:hAnsi="Arial"/>
                <w:sz w:val="14"/>
                <w:szCs w:val="14"/>
                <w:color w:val="auto"/>
              </w:rPr>
              <w:t>TOTAL OPERATING REVENUES</w:t>
            </w:r>
          </w:p>
        </w:tc>
        <w:tc>
          <w:tcPr>
            <w:tcW w:w="112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2,971</w:t>
            </w:r>
          </w:p>
        </w:tc>
        <w:tc>
          <w:tcPr>
            <w:tcW w:w="460" w:type="dxa"/>
            <w:vAlign w:val="bottom"/>
            <w:tcBorders>
              <w:bottom w:val="single" w:sz="8" w:color="8C8272"/>
            </w:tcBorders>
            <w:shd w:val="clear" w:color="auto" w:fill="E0E0E0"/>
          </w:tcPr>
          <w:p>
            <w:pPr>
              <w:spacing w:after="0"/>
              <w:rPr>
                <w:sz w:val="15"/>
                <w:szCs w:val="15"/>
                <w:color w:val="auto"/>
              </w:rPr>
            </w:pPr>
          </w:p>
        </w:tc>
        <w:tc>
          <w:tcPr>
            <w:tcW w:w="720" w:type="dxa"/>
            <w:vAlign w:val="bottom"/>
            <w:tcBorders>
              <w:bottom w:val="single" w:sz="8" w:color="8C8272"/>
            </w:tcBorders>
            <w:shd w:val="clear" w:color="auto" w:fill="E0E0E0"/>
          </w:tcPr>
          <w:p>
            <w:pPr>
              <w:jc w:val="right"/>
              <w:ind w:right="48"/>
              <w:spacing w:after="0"/>
              <w:rPr>
                <w:sz w:val="20"/>
                <w:szCs w:val="20"/>
                <w:color w:val="auto"/>
              </w:rPr>
            </w:pPr>
            <w:r>
              <w:rPr>
                <w:rFonts w:ascii="Arial" w:cs="Arial" w:eastAsia="Arial" w:hAnsi="Arial"/>
                <w:sz w:val="14"/>
                <w:szCs w:val="14"/>
                <w:color w:val="auto"/>
              </w:rPr>
              <w:t>2,719</w:t>
            </w:r>
          </w:p>
        </w:tc>
        <w:tc>
          <w:tcPr>
            <w:tcW w:w="1480" w:type="dxa"/>
            <w:vAlign w:val="bottom"/>
            <w:tcBorders>
              <w:bottom w:val="single" w:sz="8" w:color="8C8272"/>
            </w:tcBorders>
            <w:shd w:val="clear" w:color="auto" w:fill="E0E0E0"/>
          </w:tcPr>
          <w:p>
            <w:pPr>
              <w:jc w:val="right"/>
              <w:ind w:right="408"/>
              <w:spacing w:after="0"/>
              <w:rPr>
                <w:sz w:val="20"/>
                <w:szCs w:val="20"/>
                <w:color w:val="auto"/>
              </w:rPr>
            </w:pPr>
            <w:r>
              <w:rPr>
                <w:rFonts w:ascii="Arial" w:cs="Arial" w:eastAsia="Arial" w:hAnsi="Arial"/>
                <w:sz w:val="14"/>
                <w:szCs w:val="14"/>
                <w:color w:val="auto"/>
              </w:rPr>
              <w:t>6,648</w:t>
            </w:r>
          </w:p>
        </w:tc>
        <w:tc>
          <w:tcPr>
            <w:tcW w:w="64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5,953</w:t>
            </w:r>
          </w:p>
        </w:tc>
      </w:tr>
      <w:tr>
        <w:trPr>
          <w:trHeight w:val="183"/>
        </w:trPr>
        <w:tc>
          <w:tcPr>
            <w:tcW w:w="6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9"/>
        </w:trPr>
        <w:tc>
          <w:tcPr>
            <w:tcW w:w="6820" w:type="dxa"/>
            <w:vAlign w:val="bottom"/>
            <w:shd w:val="clear" w:color="auto" w:fill="E0E0E0"/>
          </w:tcPr>
          <w:p>
            <w:pPr>
              <w:ind w:left="140"/>
              <w:spacing w:after="0"/>
              <w:rPr>
                <w:sz w:val="20"/>
                <w:szCs w:val="20"/>
                <w:color w:val="auto"/>
              </w:rPr>
            </w:pPr>
            <w:r>
              <w:rPr>
                <w:rFonts w:ascii="Arial" w:cs="Arial" w:eastAsia="Arial" w:hAnsi="Arial"/>
                <w:sz w:val="14"/>
                <w:szCs w:val="14"/>
                <w:color w:val="auto"/>
              </w:rPr>
              <w:t>Purchased power</w:t>
            </w:r>
          </w:p>
        </w:tc>
        <w:tc>
          <w:tcPr>
            <w:tcW w:w="11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463</w:t>
            </w:r>
          </w:p>
        </w:tc>
        <w:tc>
          <w:tcPr>
            <w:tcW w:w="460" w:type="dxa"/>
            <w:vAlign w:val="bottom"/>
            <w:shd w:val="clear" w:color="auto" w:fill="E0E0E0"/>
          </w:tcPr>
          <w:p>
            <w:pPr>
              <w:spacing w:after="0"/>
              <w:rPr>
                <w:sz w:val="16"/>
                <w:szCs w:val="16"/>
                <w:color w:val="auto"/>
              </w:rPr>
            </w:pPr>
          </w:p>
        </w:tc>
        <w:tc>
          <w:tcPr>
            <w:tcW w:w="720" w:type="dxa"/>
            <w:vAlign w:val="bottom"/>
            <w:shd w:val="clear" w:color="auto" w:fill="E0E0E0"/>
          </w:tcPr>
          <w:p>
            <w:pPr>
              <w:jc w:val="right"/>
              <w:ind w:right="48"/>
              <w:spacing w:after="0"/>
              <w:rPr>
                <w:sz w:val="20"/>
                <w:szCs w:val="20"/>
                <w:color w:val="auto"/>
              </w:rPr>
            </w:pPr>
            <w:r>
              <w:rPr>
                <w:rFonts w:ascii="Arial" w:cs="Arial" w:eastAsia="Arial" w:hAnsi="Arial"/>
                <w:sz w:val="14"/>
                <w:szCs w:val="14"/>
                <w:color w:val="auto"/>
              </w:rPr>
              <w:t>380</w:t>
            </w:r>
          </w:p>
        </w:tc>
        <w:tc>
          <w:tcPr>
            <w:tcW w:w="1480" w:type="dxa"/>
            <w:vAlign w:val="bottom"/>
            <w:shd w:val="clear" w:color="auto" w:fill="E0E0E0"/>
          </w:tcPr>
          <w:p>
            <w:pPr>
              <w:jc w:val="right"/>
              <w:ind w:right="408"/>
              <w:spacing w:after="0"/>
              <w:rPr>
                <w:sz w:val="20"/>
                <w:szCs w:val="20"/>
                <w:color w:val="auto"/>
              </w:rPr>
            </w:pPr>
            <w:r>
              <w:rPr>
                <w:rFonts w:ascii="Arial" w:cs="Arial" w:eastAsia="Arial" w:hAnsi="Arial"/>
                <w:sz w:val="14"/>
                <w:szCs w:val="14"/>
                <w:color w:val="auto"/>
              </w:rPr>
              <w:t>900</w:t>
            </w:r>
          </w:p>
        </w:tc>
        <w:tc>
          <w:tcPr>
            <w:tcW w:w="640" w:type="dxa"/>
            <w:vAlign w:val="bottom"/>
            <w:shd w:val="clear" w:color="auto" w:fill="E0E0E0"/>
          </w:tcPr>
          <w:p>
            <w:pPr>
              <w:jc w:val="right"/>
              <w:spacing w:after="0"/>
              <w:rPr>
                <w:sz w:val="20"/>
                <w:szCs w:val="20"/>
                <w:color w:val="auto"/>
              </w:rPr>
            </w:pPr>
            <w:r>
              <w:rPr>
                <w:rFonts w:ascii="Arial" w:cs="Arial" w:eastAsia="Arial" w:hAnsi="Arial"/>
                <w:sz w:val="14"/>
                <w:szCs w:val="14"/>
                <w:color w:val="auto"/>
              </w:rPr>
              <w:t>688</w:t>
            </w:r>
          </w:p>
        </w:tc>
      </w:tr>
      <w:tr>
        <w:trPr>
          <w:trHeight w:val="189"/>
        </w:trPr>
        <w:tc>
          <w:tcPr>
            <w:tcW w:w="6820" w:type="dxa"/>
            <w:vAlign w:val="bottom"/>
          </w:tcPr>
          <w:p>
            <w:pPr>
              <w:ind w:left="140"/>
              <w:spacing w:after="0"/>
              <w:rPr>
                <w:sz w:val="20"/>
                <w:szCs w:val="20"/>
                <w:color w:val="auto"/>
              </w:rPr>
            </w:pPr>
            <w:r>
              <w:rPr>
                <w:rFonts w:ascii="Arial" w:cs="Arial" w:eastAsia="Arial" w:hAnsi="Arial"/>
                <w:sz w:val="14"/>
                <w:szCs w:val="14"/>
                <w:color w:val="auto"/>
              </w:rPr>
              <w:t>Fuel</w:t>
            </w:r>
          </w:p>
        </w:tc>
        <w:tc>
          <w:tcPr>
            <w:tcW w:w="1120" w:type="dxa"/>
            <w:vAlign w:val="bottom"/>
          </w:tcPr>
          <w:p>
            <w:pPr>
              <w:jc w:val="right"/>
              <w:spacing w:after="0"/>
              <w:rPr>
                <w:sz w:val="20"/>
                <w:szCs w:val="20"/>
                <w:color w:val="auto"/>
              </w:rPr>
            </w:pPr>
            <w:r>
              <w:rPr>
                <w:rFonts w:ascii="Arial" w:cs="Arial" w:eastAsia="Arial" w:hAnsi="Arial"/>
                <w:sz w:val="14"/>
                <w:szCs w:val="14"/>
                <w:color w:val="auto"/>
              </w:rPr>
              <w:t>29</w:t>
            </w:r>
          </w:p>
        </w:tc>
        <w:tc>
          <w:tcPr>
            <w:tcW w:w="4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122</w:t>
            </w:r>
          </w:p>
        </w:tc>
        <w:tc>
          <w:tcPr>
            <w:tcW w:w="64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189"/>
        </w:trPr>
        <w:tc>
          <w:tcPr>
            <w:tcW w:w="6820" w:type="dxa"/>
            <w:vAlign w:val="bottom"/>
            <w:shd w:val="clear" w:color="auto" w:fill="E0E0E0"/>
          </w:tcPr>
          <w:p>
            <w:pPr>
              <w:ind w:left="140"/>
              <w:spacing w:after="0"/>
              <w:rPr>
                <w:sz w:val="20"/>
                <w:szCs w:val="20"/>
                <w:color w:val="auto"/>
              </w:rPr>
            </w:pPr>
            <w:r>
              <w:rPr>
                <w:rFonts w:ascii="Arial" w:cs="Arial" w:eastAsia="Arial" w:hAnsi="Arial"/>
                <w:sz w:val="14"/>
                <w:szCs w:val="14"/>
                <w:color w:val="auto"/>
              </w:rPr>
              <w:t>Gas purchased for resale</w:t>
            </w:r>
          </w:p>
        </w:tc>
        <w:tc>
          <w:tcPr>
            <w:tcW w:w="11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83</w:t>
            </w:r>
          </w:p>
        </w:tc>
        <w:tc>
          <w:tcPr>
            <w:tcW w:w="460" w:type="dxa"/>
            <w:vAlign w:val="bottom"/>
            <w:shd w:val="clear" w:color="auto" w:fill="E0E0E0"/>
          </w:tcPr>
          <w:p>
            <w:pPr>
              <w:spacing w:after="0"/>
              <w:rPr>
                <w:sz w:val="16"/>
                <w:szCs w:val="16"/>
                <w:color w:val="auto"/>
              </w:rPr>
            </w:pPr>
          </w:p>
        </w:tc>
        <w:tc>
          <w:tcPr>
            <w:tcW w:w="720" w:type="dxa"/>
            <w:vAlign w:val="bottom"/>
            <w:shd w:val="clear" w:color="auto" w:fill="E0E0E0"/>
          </w:tcPr>
          <w:p>
            <w:pPr>
              <w:jc w:val="right"/>
              <w:ind w:right="48"/>
              <w:spacing w:after="0"/>
              <w:rPr>
                <w:sz w:val="20"/>
                <w:szCs w:val="20"/>
                <w:color w:val="auto"/>
              </w:rPr>
            </w:pPr>
            <w:r>
              <w:rPr>
                <w:rFonts w:ascii="Arial" w:cs="Arial" w:eastAsia="Arial" w:hAnsi="Arial"/>
                <w:sz w:val="14"/>
                <w:szCs w:val="14"/>
                <w:color w:val="auto"/>
              </w:rPr>
              <w:t>77</w:t>
            </w:r>
          </w:p>
        </w:tc>
        <w:tc>
          <w:tcPr>
            <w:tcW w:w="1480" w:type="dxa"/>
            <w:vAlign w:val="bottom"/>
            <w:shd w:val="clear" w:color="auto" w:fill="E0E0E0"/>
          </w:tcPr>
          <w:p>
            <w:pPr>
              <w:jc w:val="right"/>
              <w:ind w:right="408"/>
              <w:spacing w:after="0"/>
              <w:rPr>
                <w:sz w:val="20"/>
                <w:szCs w:val="20"/>
                <w:color w:val="auto"/>
              </w:rPr>
            </w:pPr>
            <w:r>
              <w:rPr>
                <w:rFonts w:ascii="Arial" w:cs="Arial" w:eastAsia="Arial" w:hAnsi="Arial"/>
                <w:sz w:val="14"/>
                <w:szCs w:val="14"/>
                <w:color w:val="auto"/>
              </w:rPr>
              <w:t>379</w:t>
            </w:r>
          </w:p>
        </w:tc>
        <w:tc>
          <w:tcPr>
            <w:tcW w:w="640" w:type="dxa"/>
            <w:vAlign w:val="bottom"/>
            <w:shd w:val="clear" w:color="auto" w:fill="E0E0E0"/>
          </w:tcPr>
          <w:p>
            <w:pPr>
              <w:jc w:val="right"/>
              <w:spacing w:after="0"/>
              <w:rPr>
                <w:sz w:val="20"/>
                <w:szCs w:val="20"/>
                <w:color w:val="auto"/>
              </w:rPr>
            </w:pPr>
            <w:r>
              <w:rPr>
                <w:rFonts w:ascii="Arial" w:cs="Arial" w:eastAsia="Arial" w:hAnsi="Arial"/>
                <w:sz w:val="14"/>
                <w:szCs w:val="14"/>
                <w:color w:val="auto"/>
              </w:rPr>
              <w:t>309</w:t>
            </w:r>
          </w:p>
        </w:tc>
      </w:tr>
      <w:tr>
        <w:trPr>
          <w:trHeight w:val="189"/>
        </w:trPr>
        <w:tc>
          <w:tcPr>
            <w:tcW w:w="6820" w:type="dxa"/>
            <w:vAlign w:val="bottom"/>
          </w:tcPr>
          <w:p>
            <w:pPr>
              <w:ind w:left="140"/>
              <w:spacing w:after="0"/>
              <w:rPr>
                <w:sz w:val="20"/>
                <w:szCs w:val="20"/>
                <w:color w:val="auto"/>
              </w:rPr>
            </w:pPr>
            <w:r>
              <w:rPr>
                <w:rFonts w:ascii="Arial" w:cs="Arial" w:eastAsia="Arial" w:hAnsi="Arial"/>
                <w:sz w:val="14"/>
                <w:szCs w:val="14"/>
                <w:color w:val="auto"/>
              </w:rPr>
              <w:t>Other operations and maintenance</w:t>
            </w:r>
          </w:p>
        </w:tc>
        <w:tc>
          <w:tcPr>
            <w:tcW w:w="1120" w:type="dxa"/>
            <w:vAlign w:val="bottom"/>
          </w:tcPr>
          <w:p>
            <w:pPr>
              <w:jc w:val="right"/>
              <w:spacing w:after="0"/>
              <w:rPr>
                <w:sz w:val="20"/>
                <w:szCs w:val="20"/>
                <w:color w:val="auto"/>
              </w:rPr>
            </w:pPr>
            <w:r>
              <w:rPr>
                <w:rFonts w:ascii="Arial" w:cs="Arial" w:eastAsia="Arial" w:hAnsi="Arial"/>
                <w:sz w:val="14"/>
                <w:szCs w:val="14"/>
                <w:color w:val="auto"/>
              </w:rPr>
              <w:t>804</w:t>
            </w:r>
          </w:p>
        </w:tc>
        <w:tc>
          <w:tcPr>
            <w:tcW w:w="4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680</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1,593</w:t>
            </w:r>
          </w:p>
        </w:tc>
        <w:tc>
          <w:tcPr>
            <w:tcW w:w="640" w:type="dxa"/>
            <w:vAlign w:val="bottom"/>
          </w:tcPr>
          <w:p>
            <w:pPr>
              <w:jc w:val="right"/>
              <w:spacing w:after="0"/>
              <w:rPr>
                <w:sz w:val="20"/>
                <w:szCs w:val="20"/>
                <w:color w:val="auto"/>
              </w:rPr>
            </w:pPr>
            <w:r>
              <w:rPr>
                <w:rFonts w:ascii="Arial" w:cs="Arial" w:eastAsia="Arial" w:hAnsi="Arial"/>
                <w:sz w:val="14"/>
                <w:szCs w:val="14"/>
                <w:color w:val="auto"/>
              </w:rPr>
              <w:t>1,380</w:t>
            </w:r>
          </w:p>
        </w:tc>
      </w:tr>
      <w:tr>
        <w:trPr>
          <w:trHeight w:val="189"/>
        </w:trPr>
        <w:tc>
          <w:tcPr>
            <w:tcW w:w="6820" w:type="dxa"/>
            <w:vAlign w:val="bottom"/>
            <w:shd w:val="clear" w:color="auto" w:fill="E0E0E0"/>
          </w:tcPr>
          <w:p>
            <w:pPr>
              <w:ind w:left="140"/>
              <w:spacing w:after="0"/>
              <w:rPr>
                <w:sz w:val="20"/>
                <w:szCs w:val="20"/>
                <w:color w:val="auto"/>
              </w:rPr>
            </w:pPr>
            <w:r>
              <w:rPr>
                <w:rFonts w:ascii="Arial" w:cs="Arial" w:eastAsia="Arial" w:hAnsi="Arial"/>
                <w:sz w:val="14"/>
                <w:szCs w:val="14"/>
                <w:color w:val="auto"/>
              </w:rPr>
              <w:t>Depreciation and amortization</w:t>
            </w:r>
          </w:p>
        </w:tc>
        <w:tc>
          <w:tcPr>
            <w:tcW w:w="11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502</w:t>
            </w:r>
          </w:p>
        </w:tc>
        <w:tc>
          <w:tcPr>
            <w:tcW w:w="460" w:type="dxa"/>
            <w:vAlign w:val="bottom"/>
            <w:shd w:val="clear" w:color="auto" w:fill="E0E0E0"/>
          </w:tcPr>
          <w:p>
            <w:pPr>
              <w:spacing w:after="0"/>
              <w:rPr>
                <w:sz w:val="16"/>
                <w:szCs w:val="16"/>
                <w:color w:val="auto"/>
              </w:rPr>
            </w:pPr>
          </w:p>
        </w:tc>
        <w:tc>
          <w:tcPr>
            <w:tcW w:w="720" w:type="dxa"/>
            <w:vAlign w:val="bottom"/>
            <w:shd w:val="clear" w:color="auto" w:fill="E0E0E0"/>
          </w:tcPr>
          <w:p>
            <w:pPr>
              <w:jc w:val="right"/>
              <w:ind w:right="48"/>
              <w:spacing w:after="0"/>
              <w:rPr>
                <w:sz w:val="20"/>
                <w:szCs w:val="20"/>
                <w:color w:val="auto"/>
              </w:rPr>
            </w:pPr>
            <w:r>
              <w:rPr>
                <w:rFonts w:ascii="Arial" w:cs="Arial" w:eastAsia="Arial" w:hAnsi="Arial"/>
                <w:sz w:val="14"/>
                <w:szCs w:val="14"/>
                <w:color w:val="auto"/>
              </w:rPr>
              <w:t>476</w:t>
            </w:r>
          </w:p>
        </w:tc>
        <w:tc>
          <w:tcPr>
            <w:tcW w:w="1480" w:type="dxa"/>
            <w:vAlign w:val="bottom"/>
            <w:shd w:val="clear" w:color="auto" w:fill="E0E0E0"/>
          </w:tcPr>
          <w:p>
            <w:pPr>
              <w:jc w:val="right"/>
              <w:ind w:right="408"/>
              <w:spacing w:after="0"/>
              <w:rPr>
                <w:sz w:val="20"/>
                <w:szCs w:val="20"/>
                <w:color w:val="auto"/>
              </w:rPr>
            </w:pPr>
            <w:r>
              <w:rPr>
                <w:rFonts w:ascii="Arial" w:cs="Arial" w:eastAsia="Arial" w:hAnsi="Arial"/>
                <w:sz w:val="14"/>
                <w:szCs w:val="14"/>
                <w:color w:val="auto"/>
              </w:rPr>
              <w:t>1,000</w:t>
            </w:r>
          </w:p>
        </w:tc>
        <w:tc>
          <w:tcPr>
            <w:tcW w:w="640" w:type="dxa"/>
            <w:vAlign w:val="bottom"/>
            <w:shd w:val="clear" w:color="auto" w:fill="E0E0E0"/>
          </w:tcPr>
          <w:p>
            <w:pPr>
              <w:jc w:val="right"/>
              <w:spacing w:after="0"/>
              <w:rPr>
                <w:sz w:val="20"/>
                <w:szCs w:val="20"/>
                <w:color w:val="auto"/>
              </w:rPr>
            </w:pPr>
            <w:r>
              <w:rPr>
                <w:rFonts w:ascii="Arial" w:cs="Arial" w:eastAsia="Arial" w:hAnsi="Arial"/>
                <w:sz w:val="14"/>
                <w:szCs w:val="14"/>
                <w:color w:val="auto"/>
              </w:rPr>
              <w:t>946</w:t>
            </w:r>
          </w:p>
        </w:tc>
      </w:tr>
      <w:tr>
        <w:trPr>
          <w:trHeight w:val="189"/>
        </w:trPr>
        <w:tc>
          <w:tcPr>
            <w:tcW w:w="6820" w:type="dxa"/>
            <w:vAlign w:val="bottom"/>
            <w:tcBorders>
              <w:bottom w:val="single" w:sz="8" w:color="8C8272"/>
            </w:tcBorders>
          </w:tcPr>
          <w:p>
            <w:pPr>
              <w:ind w:left="140"/>
              <w:spacing w:after="0"/>
              <w:rPr>
                <w:sz w:val="20"/>
                <w:szCs w:val="20"/>
                <w:color w:val="auto"/>
              </w:rPr>
            </w:pPr>
            <w:r>
              <w:rPr>
                <w:rFonts w:ascii="Arial" w:cs="Arial" w:eastAsia="Arial" w:hAnsi="Arial"/>
                <w:sz w:val="14"/>
                <w:szCs w:val="14"/>
                <w:color w:val="auto"/>
              </w:rPr>
              <w:t>Taxes, other than income taxes</w:t>
            </w:r>
          </w:p>
        </w:tc>
        <w:tc>
          <w:tcPr>
            <w:tcW w:w="11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672</w:t>
            </w:r>
          </w:p>
        </w:tc>
        <w:tc>
          <w:tcPr>
            <w:tcW w:w="460" w:type="dxa"/>
            <w:vAlign w:val="bottom"/>
            <w:tcBorders>
              <w:bottom w:val="single" w:sz="8" w:color="8C8272"/>
            </w:tcBorders>
          </w:tcPr>
          <w:p>
            <w:pPr>
              <w:spacing w:after="0"/>
              <w:rPr>
                <w:sz w:val="16"/>
                <w:szCs w:val="16"/>
                <w:color w:val="auto"/>
              </w:rPr>
            </w:pPr>
          </w:p>
        </w:tc>
        <w:tc>
          <w:tcPr>
            <w:tcW w:w="72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604</w:t>
            </w:r>
          </w:p>
        </w:tc>
        <w:tc>
          <w:tcPr>
            <w:tcW w:w="1480" w:type="dxa"/>
            <w:vAlign w:val="bottom"/>
            <w:tcBorders>
              <w:bottom w:val="single" w:sz="8" w:color="8C8272"/>
            </w:tcBorders>
          </w:tcPr>
          <w:p>
            <w:pPr>
              <w:jc w:val="right"/>
              <w:ind w:right="408"/>
              <w:spacing w:after="0"/>
              <w:rPr>
                <w:sz w:val="20"/>
                <w:szCs w:val="20"/>
                <w:color w:val="auto"/>
              </w:rPr>
            </w:pPr>
            <w:r>
              <w:rPr>
                <w:rFonts w:ascii="Arial" w:cs="Arial" w:eastAsia="Arial" w:hAnsi="Arial"/>
                <w:sz w:val="14"/>
                <w:szCs w:val="14"/>
                <w:color w:val="auto"/>
              </w:rPr>
              <w:t>1,375</w:t>
            </w:r>
          </w:p>
        </w:tc>
        <w:tc>
          <w:tcPr>
            <w:tcW w:w="6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1,242</w:t>
            </w:r>
          </w:p>
        </w:tc>
      </w:tr>
      <w:tr>
        <w:trPr>
          <w:trHeight w:val="183"/>
        </w:trPr>
        <w:tc>
          <w:tcPr>
            <w:tcW w:w="6820" w:type="dxa"/>
            <w:vAlign w:val="bottom"/>
            <w:tcBorders>
              <w:bottom w:val="single" w:sz="8" w:color="8C8272"/>
            </w:tcBorders>
            <w:shd w:val="clear" w:color="auto" w:fill="E0E0E0"/>
          </w:tcPr>
          <w:p>
            <w:pPr>
              <w:ind w:left="20"/>
              <w:spacing w:after="0"/>
              <w:rPr>
                <w:sz w:val="20"/>
                <w:szCs w:val="20"/>
                <w:color w:val="auto"/>
              </w:rPr>
            </w:pPr>
            <w:r>
              <w:rPr>
                <w:rFonts w:ascii="Arial" w:cs="Arial" w:eastAsia="Arial" w:hAnsi="Arial"/>
                <w:sz w:val="14"/>
                <w:szCs w:val="14"/>
                <w:color w:val="auto"/>
              </w:rPr>
              <w:t>TOTAL OPERATING EXPENSES</w:t>
            </w:r>
          </w:p>
        </w:tc>
        <w:tc>
          <w:tcPr>
            <w:tcW w:w="112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2,553</w:t>
            </w:r>
          </w:p>
        </w:tc>
        <w:tc>
          <w:tcPr>
            <w:tcW w:w="460" w:type="dxa"/>
            <w:vAlign w:val="bottom"/>
            <w:tcBorders>
              <w:bottom w:val="single" w:sz="8" w:color="8C8272"/>
            </w:tcBorders>
            <w:shd w:val="clear" w:color="auto" w:fill="E0E0E0"/>
          </w:tcPr>
          <w:p>
            <w:pPr>
              <w:spacing w:after="0"/>
              <w:rPr>
                <w:sz w:val="15"/>
                <w:szCs w:val="15"/>
                <w:color w:val="auto"/>
              </w:rPr>
            </w:pPr>
          </w:p>
        </w:tc>
        <w:tc>
          <w:tcPr>
            <w:tcW w:w="720" w:type="dxa"/>
            <w:vAlign w:val="bottom"/>
            <w:tcBorders>
              <w:bottom w:val="single" w:sz="8" w:color="8C8272"/>
            </w:tcBorders>
            <w:shd w:val="clear" w:color="auto" w:fill="E0E0E0"/>
          </w:tcPr>
          <w:p>
            <w:pPr>
              <w:jc w:val="right"/>
              <w:ind w:right="48"/>
              <w:spacing w:after="0"/>
              <w:rPr>
                <w:sz w:val="20"/>
                <w:szCs w:val="20"/>
                <w:color w:val="auto"/>
              </w:rPr>
            </w:pPr>
            <w:r>
              <w:rPr>
                <w:rFonts w:ascii="Arial" w:cs="Arial" w:eastAsia="Arial" w:hAnsi="Arial"/>
                <w:sz w:val="14"/>
                <w:szCs w:val="14"/>
                <w:color w:val="auto"/>
              </w:rPr>
              <w:t>2,240</w:t>
            </w:r>
          </w:p>
        </w:tc>
        <w:tc>
          <w:tcPr>
            <w:tcW w:w="1480" w:type="dxa"/>
            <w:vAlign w:val="bottom"/>
            <w:tcBorders>
              <w:bottom w:val="single" w:sz="8" w:color="8C8272"/>
            </w:tcBorders>
            <w:shd w:val="clear" w:color="auto" w:fill="E0E0E0"/>
          </w:tcPr>
          <w:p>
            <w:pPr>
              <w:jc w:val="right"/>
              <w:ind w:right="408"/>
              <w:spacing w:after="0"/>
              <w:rPr>
                <w:sz w:val="20"/>
                <w:szCs w:val="20"/>
                <w:color w:val="auto"/>
              </w:rPr>
            </w:pPr>
            <w:r>
              <w:rPr>
                <w:rFonts w:ascii="Arial" w:cs="Arial" w:eastAsia="Arial" w:hAnsi="Arial"/>
                <w:sz w:val="14"/>
                <w:szCs w:val="14"/>
                <w:color w:val="auto"/>
              </w:rPr>
              <w:t>5,369</w:t>
            </w:r>
          </w:p>
        </w:tc>
        <w:tc>
          <w:tcPr>
            <w:tcW w:w="64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4,666</w:t>
            </w:r>
          </w:p>
        </w:tc>
      </w:tr>
      <w:tr>
        <w:trPr>
          <w:trHeight w:val="183"/>
        </w:trPr>
        <w:tc>
          <w:tcPr>
            <w:tcW w:w="68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OPERATING INCOME</w:t>
            </w:r>
          </w:p>
        </w:tc>
        <w:tc>
          <w:tcPr>
            <w:tcW w:w="11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418</w:t>
            </w:r>
          </w:p>
        </w:tc>
        <w:tc>
          <w:tcPr>
            <w:tcW w:w="460" w:type="dxa"/>
            <w:vAlign w:val="bottom"/>
            <w:tcBorders>
              <w:bottom w:val="single" w:sz="8" w:color="8C8272"/>
            </w:tcBorders>
          </w:tcPr>
          <w:p>
            <w:pPr>
              <w:spacing w:after="0"/>
              <w:rPr>
                <w:sz w:val="15"/>
                <w:szCs w:val="15"/>
                <w:color w:val="auto"/>
              </w:rPr>
            </w:pPr>
          </w:p>
        </w:tc>
        <w:tc>
          <w:tcPr>
            <w:tcW w:w="72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479</w:t>
            </w:r>
          </w:p>
        </w:tc>
        <w:tc>
          <w:tcPr>
            <w:tcW w:w="1480" w:type="dxa"/>
            <w:vAlign w:val="bottom"/>
            <w:tcBorders>
              <w:bottom w:val="single" w:sz="8" w:color="8C8272"/>
            </w:tcBorders>
          </w:tcPr>
          <w:p>
            <w:pPr>
              <w:jc w:val="right"/>
              <w:ind w:right="408"/>
              <w:spacing w:after="0"/>
              <w:rPr>
                <w:sz w:val="20"/>
                <w:szCs w:val="20"/>
                <w:color w:val="auto"/>
              </w:rPr>
            </w:pPr>
            <w:r>
              <w:rPr>
                <w:rFonts w:ascii="Arial" w:cs="Arial" w:eastAsia="Arial" w:hAnsi="Arial"/>
                <w:sz w:val="14"/>
                <w:szCs w:val="14"/>
                <w:color w:val="auto"/>
              </w:rPr>
              <w:t>1,279</w:t>
            </w:r>
          </w:p>
        </w:tc>
        <w:tc>
          <w:tcPr>
            <w:tcW w:w="6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1,287</w:t>
            </w:r>
          </w:p>
        </w:tc>
      </w:tr>
      <w:tr>
        <w:trPr>
          <w:trHeight w:val="183"/>
        </w:trPr>
        <w:tc>
          <w:tcPr>
            <w:tcW w:w="6820" w:type="dxa"/>
            <w:vAlign w:val="bottom"/>
            <w:shd w:val="clear" w:color="auto" w:fill="E0E0E0"/>
          </w:tcPr>
          <w:p>
            <w:pPr>
              <w:ind w:left="20"/>
              <w:spacing w:after="0"/>
              <w:rPr>
                <w:sz w:val="20"/>
                <w:szCs w:val="20"/>
                <w:color w:val="auto"/>
              </w:rPr>
            </w:pPr>
            <w:r>
              <w:rPr>
                <w:rFonts w:ascii="Arial" w:cs="Arial" w:eastAsia="Arial" w:hAnsi="Arial"/>
                <w:sz w:val="14"/>
                <w:szCs w:val="14"/>
                <w:color w:val="auto"/>
              </w:rPr>
              <w:t>OTHER INCOME (DEDUCTIONS)</w:t>
            </w:r>
          </w:p>
        </w:tc>
        <w:tc>
          <w:tcPr>
            <w:tcW w:w="1120" w:type="dxa"/>
            <w:vAlign w:val="bottom"/>
            <w:shd w:val="clear" w:color="auto" w:fill="E0E0E0"/>
          </w:tcPr>
          <w:p>
            <w:pPr>
              <w:spacing w:after="0"/>
              <w:rPr>
                <w:sz w:val="15"/>
                <w:szCs w:val="15"/>
                <w:color w:val="auto"/>
              </w:rPr>
            </w:pPr>
          </w:p>
        </w:tc>
        <w:tc>
          <w:tcPr>
            <w:tcW w:w="460" w:type="dxa"/>
            <w:vAlign w:val="bottom"/>
            <w:shd w:val="clear" w:color="auto" w:fill="E0E0E0"/>
          </w:tcPr>
          <w:p>
            <w:pPr>
              <w:spacing w:after="0"/>
              <w:rPr>
                <w:sz w:val="15"/>
                <w:szCs w:val="15"/>
                <w:color w:val="auto"/>
              </w:rPr>
            </w:pPr>
          </w:p>
        </w:tc>
        <w:tc>
          <w:tcPr>
            <w:tcW w:w="720" w:type="dxa"/>
            <w:vAlign w:val="bottom"/>
            <w:shd w:val="clear" w:color="auto" w:fill="E0E0E0"/>
          </w:tcPr>
          <w:p>
            <w:pPr>
              <w:spacing w:after="0"/>
              <w:rPr>
                <w:sz w:val="15"/>
                <w:szCs w:val="15"/>
                <w:color w:val="auto"/>
              </w:rPr>
            </w:pPr>
          </w:p>
        </w:tc>
        <w:tc>
          <w:tcPr>
            <w:tcW w:w="148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r>
      <w:tr>
        <w:trPr>
          <w:trHeight w:val="189"/>
        </w:trPr>
        <w:tc>
          <w:tcPr>
            <w:tcW w:w="6820" w:type="dxa"/>
            <w:vAlign w:val="bottom"/>
          </w:tcPr>
          <w:p>
            <w:pPr>
              <w:ind w:left="140"/>
              <w:spacing w:after="0"/>
              <w:rPr>
                <w:sz w:val="20"/>
                <w:szCs w:val="20"/>
                <w:color w:val="auto"/>
              </w:rPr>
            </w:pPr>
            <w:r>
              <w:rPr>
                <w:rFonts w:ascii="Arial" w:cs="Arial" w:eastAsia="Arial" w:hAnsi="Arial"/>
                <w:sz w:val="14"/>
                <w:szCs w:val="14"/>
                <w:color w:val="auto"/>
              </w:rPr>
              <w:t>Investment income (loss)</w:t>
            </w:r>
          </w:p>
        </w:tc>
        <w:tc>
          <w:tcPr>
            <w:tcW w:w="1120" w:type="dxa"/>
            <w:vAlign w:val="bottom"/>
          </w:tcPr>
          <w:p>
            <w:pPr>
              <w:jc w:val="right"/>
              <w:spacing w:after="0"/>
              <w:rPr>
                <w:sz w:val="20"/>
                <w:szCs w:val="20"/>
                <w:color w:val="auto"/>
              </w:rPr>
            </w:pPr>
            <w:r>
              <w:rPr>
                <w:rFonts w:ascii="Arial" w:cs="Arial" w:eastAsia="Arial" w:hAnsi="Arial"/>
                <w:sz w:val="14"/>
                <w:szCs w:val="14"/>
                <w:color w:val="auto"/>
              </w:rPr>
              <w:t>(24)</w:t>
            </w:r>
          </w:p>
        </w:tc>
        <w:tc>
          <w:tcPr>
            <w:tcW w:w="4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(185)</w:t>
            </w:r>
          </w:p>
        </w:tc>
        <w:tc>
          <w:tcPr>
            <w:tcW w:w="64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89"/>
        </w:trPr>
        <w:tc>
          <w:tcPr>
            <w:tcW w:w="6820" w:type="dxa"/>
            <w:vAlign w:val="bottom"/>
            <w:shd w:val="clear" w:color="auto" w:fill="E0E0E0"/>
          </w:tcPr>
          <w:p>
            <w:pPr>
              <w:ind w:left="140"/>
              <w:spacing w:after="0"/>
              <w:rPr>
                <w:sz w:val="20"/>
                <w:szCs w:val="20"/>
                <w:color w:val="auto"/>
              </w:rPr>
            </w:pPr>
            <w:r>
              <w:rPr>
                <w:rFonts w:ascii="Arial" w:cs="Arial" w:eastAsia="Arial" w:hAnsi="Arial"/>
                <w:sz w:val="14"/>
                <w:szCs w:val="14"/>
                <w:color w:val="auto"/>
              </w:rPr>
              <w:t>Other income</w:t>
            </w:r>
          </w:p>
        </w:tc>
        <w:tc>
          <w:tcPr>
            <w:tcW w:w="11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7</w:t>
            </w:r>
          </w:p>
        </w:tc>
        <w:tc>
          <w:tcPr>
            <w:tcW w:w="460" w:type="dxa"/>
            <w:vAlign w:val="bottom"/>
            <w:shd w:val="clear" w:color="auto" w:fill="E0E0E0"/>
          </w:tcPr>
          <w:p>
            <w:pPr>
              <w:spacing w:after="0"/>
              <w:rPr>
                <w:sz w:val="16"/>
                <w:szCs w:val="16"/>
                <w:color w:val="auto"/>
              </w:rPr>
            </w:pPr>
          </w:p>
        </w:tc>
        <w:tc>
          <w:tcPr>
            <w:tcW w:w="720" w:type="dxa"/>
            <w:vAlign w:val="bottom"/>
            <w:shd w:val="clear" w:color="auto" w:fill="E0E0E0"/>
          </w:tcPr>
          <w:p>
            <w:pPr>
              <w:jc w:val="right"/>
              <w:ind w:right="48"/>
              <w:spacing w:after="0"/>
              <w:rPr>
                <w:sz w:val="20"/>
                <w:szCs w:val="20"/>
                <w:color w:val="auto"/>
              </w:rPr>
            </w:pPr>
            <w:r>
              <w:rPr>
                <w:rFonts w:ascii="Arial" w:cs="Arial" w:eastAsia="Arial" w:hAnsi="Arial"/>
                <w:sz w:val="14"/>
                <w:szCs w:val="14"/>
                <w:color w:val="auto"/>
              </w:rPr>
              <w:t>4</w:t>
            </w:r>
          </w:p>
        </w:tc>
        <w:tc>
          <w:tcPr>
            <w:tcW w:w="1480" w:type="dxa"/>
            <w:vAlign w:val="bottom"/>
            <w:shd w:val="clear" w:color="auto" w:fill="E0E0E0"/>
          </w:tcPr>
          <w:p>
            <w:pPr>
              <w:jc w:val="right"/>
              <w:ind w:right="408"/>
              <w:spacing w:after="0"/>
              <w:rPr>
                <w:sz w:val="20"/>
                <w:szCs w:val="20"/>
                <w:color w:val="auto"/>
              </w:rPr>
            </w:pPr>
            <w:r>
              <w:rPr>
                <w:rFonts w:ascii="Arial" w:cs="Arial" w:eastAsia="Arial" w:hAnsi="Arial"/>
                <w:sz w:val="14"/>
                <w:szCs w:val="14"/>
                <w:color w:val="auto"/>
              </w:rPr>
              <w:t>14</w:t>
            </w:r>
          </w:p>
        </w:tc>
        <w:tc>
          <w:tcPr>
            <w:tcW w:w="640" w:type="dxa"/>
            <w:vAlign w:val="bottom"/>
            <w:shd w:val="clear" w:color="auto" w:fill="E0E0E0"/>
          </w:tcPr>
          <w:p>
            <w:pPr>
              <w:jc w:val="right"/>
              <w:spacing w:after="0"/>
              <w:rPr>
                <w:sz w:val="20"/>
                <w:szCs w:val="20"/>
                <w:color w:val="auto"/>
              </w:rPr>
            </w:pPr>
            <w:r>
              <w:rPr>
                <w:rFonts w:ascii="Arial" w:cs="Arial" w:eastAsia="Arial" w:hAnsi="Arial"/>
                <w:sz w:val="14"/>
                <w:szCs w:val="14"/>
                <w:color w:val="auto"/>
              </w:rPr>
              <w:t>6</w:t>
            </w:r>
          </w:p>
        </w:tc>
      </w:tr>
      <w:tr>
        <w:trPr>
          <w:trHeight w:val="189"/>
        </w:trPr>
        <w:tc>
          <w:tcPr>
            <w:tcW w:w="6820" w:type="dxa"/>
            <w:vAlign w:val="bottom"/>
          </w:tcPr>
          <w:p>
            <w:pPr>
              <w:ind w:left="140"/>
              <w:spacing w:after="0"/>
              <w:rPr>
                <w:sz w:val="20"/>
                <w:szCs w:val="20"/>
                <w:color w:val="auto"/>
              </w:rPr>
            </w:pPr>
            <w:r>
              <w:rPr>
                <w:rFonts w:ascii="Arial" w:cs="Arial" w:eastAsia="Arial" w:hAnsi="Arial"/>
                <w:sz w:val="14"/>
                <w:szCs w:val="14"/>
                <w:color w:val="auto"/>
              </w:rPr>
              <w:t>Allowance for equity funds used during construction</w:t>
            </w:r>
          </w:p>
        </w:tc>
        <w:tc>
          <w:tcPr>
            <w:tcW w:w="1120" w:type="dxa"/>
            <w:vAlign w:val="bottom"/>
          </w:tcPr>
          <w:p>
            <w:pPr>
              <w:jc w:val="right"/>
              <w:spacing w:after="0"/>
              <w:rPr>
                <w:sz w:val="20"/>
                <w:szCs w:val="20"/>
                <w:color w:val="auto"/>
              </w:rPr>
            </w:pPr>
            <w:r>
              <w:rPr>
                <w:rFonts w:ascii="Arial" w:cs="Arial" w:eastAsia="Arial" w:hAnsi="Arial"/>
                <w:sz w:val="14"/>
                <w:szCs w:val="14"/>
                <w:color w:val="auto"/>
              </w:rPr>
              <w:t>5</w:t>
            </w:r>
          </w:p>
        </w:tc>
        <w:tc>
          <w:tcPr>
            <w:tcW w:w="4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10</w:t>
            </w: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6820" w:type="dxa"/>
            <w:vAlign w:val="bottom"/>
            <w:tcBorders>
              <w:bottom w:val="single" w:sz="8" w:color="8C8272"/>
            </w:tcBorders>
            <w:shd w:val="clear" w:color="auto" w:fill="E0E0E0"/>
          </w:tcPr>
          <w:p>
            <w:pPr>
              <w:ind w:left="140"/>
              <w:spacing w:after="0"/>
              <w:rPr>
                <w:sz w:val="20"/>
                <w:szCs w:val="20"/>
                <w:color w:val="auto"/>
              </w:rPr>
            </w:pPr>
            <w:r>
              <w:rPr>
                <w:rFonts w:ascii="Arial" w:cs="Arial" w:eastAsia="Arial" w:hAnsi="Arial"/>
                <w:sz w:val="14"/>
                <w:szCs w:val="14"/>
                <w:color w:val="auto"/>
              </w:rPr>
              <w:t>Other deductions</w:t>
            </w:r>
          </w:p>
        </w:tc>
        <w:tc>
          <w:tcPr>
            <w:tcW w:w="112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(38)</w:t>
            </w:r>
          </w:p>
        </w:tc>
        <w:tc>
          <w:tcPr>
            <w:tcW w:w="460" w:type="dxa"/>
            <w:vAlign w:val="bottom"/>
            <w:tcBorders>
              <w:bottom w:val="single" w:sz="8" w:color="8C8272"/>
            </w:tcBorders>
            <w:shd w:val="clear" w:color="auto" w:fill="E0E0E0"/>
          </w:tcPr>
          <w:p>
            <w:pPr>
              <w:spacing w:after="0"/>
              <w:rPr>
                <w:sz w:val="16"/>
                <w:szCs w:val="16"/>
                <w:color w:val="auto"/>
              </w:rPr>
            </w:pPr>
          </w:p>
        </w:tc>
        <w:tc>
          <w:tcPr>
            <w:tcW w:w="720" w:type="dxa"/>
            <w:vAlign w:val="bottom"/>
            <w:tcBorders>
              <w:bottom w:val="single" w:sz="8" w:color="8C8272"/>
            </w:tcBorders>
            <w:shd w:val="clear" w:color="auto" w:fill="E0E0E0"/>
          </w:tcPr>
          <w:p>
            <w:pPr>
              <w:jc w:val="right"/>
              <w:ind w:right="48"/>
              <w:spacing w:after="0"/>
              <w:rPr>
                <w:sz w:val="20"/>
                <w:szCs w:val="20"/>
                <w:color w:val="auto"/>
              </w:rPr>
            </w:pPr>
            <w:r>
              <w:rPr>
                <w:rFonts w:ascii="Arial" w:cs="Arial" w:eastAsia="Arial" w:hAnsi="Arial"/>
                <w:sz w:val="14"/>
                <w:szCs w:val="14"/>
                <w:color w:val="auto"/>
              </w:rPr>
              <w:t>(55)</w:t>
            </w:r>
          </w:p>
        </w:tc>
        <w:tc>
          <w:tcPr>
            <w:tcW w:w="1480" w:type="dxa"/>
            <w:vAlign w:val="bottom"/>
            <w:tcBorders>
              <w:bottom w:val="single" w:sz="8" w:color="8C8272"/>
            </w:tcBorders>
            <w:shd w:val="clear" w:color="auto" w:fill="E0E0E0"/>
          </w:tcPr>
          <w:p>
            <w:pPr>
              <w:jc w:val="right"/>
              <w:ind w:right="408"/>
              <w:spacing w:after="0"/>
              <w:rPr>
                <w:sz w:val="20"/>
                <w:szCs w:val="20"/>
                <w:color w:val="auto"/>
              </w:rPr>
            </w:pPr>
            <w:r>
              <w:rPr>
                <w:rFonts w:ascii="Arial" w:cs="Arial" w:eastAsia="Arial" w:hAnsi="Arial"/>
                <w:sz w:val="14"/>
                <w:szCs w:val="14"/>
                <w:color w:val="auto"/>
              </w:rPr>
              <w:t>(76)</w:t>
            </w:r>
          </w:p>
        </w:tc>
        <w:tc>
          <w:tcPr>
            <w:tcW w:w="64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(126)</w:t>
            </w:r>
          </w:p>
        </w:tc>
      </w:tr>
      <w:tr>
        <w:trPr>
          <w:trHeight w:val="183"/>
        </w:trPr>
        <w:tc>
          <w:tcPr>
            <w:tcW w:w="68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TOTAL OTHER INCOME (DEDUCTIONS)</w:t>
            </w:r>
          </w:p>
        </w:tc>
        <w:tc>
          <w:tcPr>
            <w:tcW w:w="11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(50)</w:t>
            </w:r>
          </w:p>
        </w:tc>
        <w:tc>
          <w:tcPr>
            <w:tcW w:w="460" w:type="dxa"/>
            <w:vAlign w:val="bottom"/>
            <w:tcBorders>
              <w:bottom w:val="single" w:sz="8" w:color="8C8272"/>
            </w:tcBorders>
          </w:tcPr>
          <w:p>
            <w:pPr>
              <w:spacing w:after="0"/>
              <w:rPr>
                <w:sz w:val="15"/>
                <w:szCs w:val="15"/>
                <w:color w:val="auto"/>
              </w:rPr>
            </w:pPr>
          </w:p>
        </w:tc>
        <w:tc>
          <w:tcPr>
            <w:tcW w:w="72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(21)</w:t>
            </w:r>
          </w:p>
        </w:tc>
        <w:tc>
          <w:tcPr>
            <w:tcW w:w="1480" w:type="dxa"/>
            <w:vAlign w:val="bottom"/>
            <w:tcBorders>
              <w:bottom w:val="single" w:sz="8" w:color="8C8272"/>
            </w:tcBorders>
          </w:tcPr>
          <w:p>
            <w:pPr>
              <w:jc w:val="right"/>
              <w:ind w:right="408"/>
              <w:spacing w:after="0"/>
              <w:rPr>
                <w:sz w:val="20"/>
                <w:szCs w:val="20"/>
                <w:color w:val="auto"/>
              </w:rPr>
            </w:pPr>
            <w:r>
              <w:rPr>
                <w:rFonts w:ascii="Arial" w:cs="Arial" w:eastAsia="Arial" w:hAnsi="Arial"/>
                <w:sz w:val="14"/>
                <w:szCs w:val="14"/>
                <w:color w:val="auto"/>
              </w:rPr>
              <w:t>(237)</w:t>
            </w:r>
          </w:p>
        </w:tc>
        <w:tc>
          <w:tcPr>
            <w:tcW w:w="6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(59)</w:t>
            </w:r>
          </w:p>
        </w:tc>
      </w:tr>
      <w:tr>
        <w:trPr>
          <w:trHeight w:val="183"/>
        </w:trPr>
        <w:tc>
          <w:tcPr>
            <w:tcW w:w="6820" w:type="dxa"/>
            <w:vAlign w:val="bottom"/>
            <w:tcBorders>
              <w:bottom w:val="single" w:sz="8" w:color="8C8272"/>
            </w:tcBorders>
            <w:shd w:val="clear" w:color="auto" w:fill="E0E0E0"/>
          </w:tcPr>
          <w:p>
            <w:pPr>
              <w:ind w:left="20"/>
              <w:spacing w:after="0"/>
              <w:rPr>
                <w:sz w:val="20"/>
                <w:szCs w:val="20"/>
                <w:color w:val="auto"/>
              </w:rPr>
            </w:pPr>
            <w:r>
              <w:rPr>
                <w:rFonts w:ascii="Arial" w:cs="Arial" w:eastAsia="Arial" w:hAnsi="Arial"/>
                <w:sz w:val="14"/>
                <w:szCs w:val="14"/>
                <w:color w:val="auto"/>
              </w:rPr>
              <w:t>INCOME BEFORE INTEREST AND INCOME TAX EXPENSE</w:t>
            </w:r>
          </w:p>
        </w:tc>
        <w:tc>
          <w:tcPr>
            <w:tcW w:w="112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368</w:t>
            </w:r>
          </w:p>
        </w:tc>
        <w:tc>
          <w:tcPr>
            <w:tcW w:w="460" w:type="dxa"/>
            <w:vAlign w:val="bottom"/>
            <w:tcBorders>
              <w:bottom w:val="single" w:sz="8" w:color="8C8272"/>
            </w:tcBorders>
            <w:shd w:val="clear" w:color="auto" w:fill="E0E0E0"/>
          </w:tcPr>
          <w:p>
            <w:pPr>
              <w:spacing w:after="0"/>
              <w:rPr>
                <w:sz w:val="15"/>
                <w:szCs w:val="15"/>
                <w:color w:val="auto"/>
              </w:rPr>
            </w:pPr>
          </w:p>
        </w:tc>
        <w:tc>
          <w:tcPr>
            <w:tcW w:w="720" w:type="dxa"/>
            <w:vAlign w:val="bottom"/>
            <w:tcBorders>
              <w:bottom w:val="single" w:sz="8" w:color="8C8272"/>
            </w:tcBorders>
            <w:shd w:val="clear" w:color="auto" w:fill="E0E0E0"/>
          </w:tcPr>
          <w:p>
            <w:pPr>
              <w:jc w:val="right"/>
              <w:ind w:right="48"/>
              <w:spacing w:after="0"/>
              <w:rPr>
                <w:sz w:val="20"/>
                <w:szCs w:val="20"/>
                <w:color w:val="auto"/>
              </w:rPr>
            </w:pPr>
            <w:r>
              <w:rPr>
                <w:rFonts w:ascii="Arial" w:cs="Arial" w:eastAsia="Arial" w:hAnsi="Arial"/>
                <w:sz w:val="14"/>
                <w:szCs w:val="14"/>
                <w:color w:val="auto"/>
              </w:rPr>
              <w:t>458</w:t>
            </w:r>
          </w:p>
        </w:tc>
        <w:tc>
          <w:tcPr>
            <w:tcW w:w="1480" w:type="dxa"/>
            <w:vAlign w:val="bottom"/>
            <w:tcBorders>
              <w:bottom w:val="single" w:sz="8" w:color="8C8272"/>
            </w:tcBorders>
            <w:shd w:val="clear" w:color="auto" w:fill="E0E0E0"/>
          </w:tcPr>
          <w:p>
            <w:pPr>
              <w:jc w:val="right"/>
              <w:ind w:right="408"/>
              <w:spacing w:after="0"/>
              <w:rPr>
                <w:sz w:val="20"/>
                <w:szCs w:val="20"/>
                <w:color w:val="auto"/>
              </w:rPr>
            </w:pPr>
            <w:r>
              <w:rPr>
                <w:rFonts w:ascii="Arial" w:cs="Arial" w:eastAsia="Arial" w:hAnsi="Arial"/>
                <w:sz w:val="14"/>
                <w:szCs w:val="14"/>
                <w:color w:val="auto"/>
              </w:rPr>
              <w:t>1,042</w:t>
            </w:r>
          </w:p>
        </w:tc>
        <w:tc>
          <w:tcPr>
            <w:tcW w:w="64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1,228</w:t>
            </w:r>
          </w:p>
        </w:tc>
      </w:tr>
      <w:tr>
        <w:trPr>
          <w:trHeight w:val="183"/>
        </w:trPr>
        <w:tc>
          <w:tcPr>
            <w:tcW w:w="68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9"/>
        </w:trPr>
        <w:tc>
          <w:tcPr>
            <w:tcW w:w="6820" w:type="dxa"/>
            <w:vAlign w:val="bottom"/>
            <w:shd w:val="clear" w:color="auto" w:fill="E0E0E0"/>
          </w:tcPr>
          <w:p>
            <w:pPr>
              <w:ind w:left="140"/>
              <w:spacing w:after="0"/>
              <w:rPr>
                <w:sz w:val="20"/>
                <w:szCs w:val="20"/>
                <w:color w:val="auto"/>
              </w:rPr>
            </w:pPr>
            <w:r>
              <w:rPr>
                <w:rFonts w:ascii="Arial" w:cs="Arial" w:eastAsia="Arial" w:hAnsi="Arial"/>
                <w:sz w:val="14"/>
                <w:szCs w:val="14"/>
                <w:color w:val="auto"/>
              </w:rPr>
              <w:t>Interest on long-term debt</w:t>
            </w:r>
          </w:p>
        </w:tc>
        <w:tc>
          <w:tcPr>
            <w:tcW w:w="11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230</w:t>
            </w:r>
          </w:p>
        </w:tc>
        <w:tc>
          <w:tcPr>
            <w:tcW w:w="460" w:type="dxa"/>
            <w:vAlign w:val="bottom"/>
            <w:shd w:val="clear" w:color="auto" w:fill="E0E0E0"/>
          </w:tcPr>
          <w:p>
            <w:pPr>
              <w:spacing w:after="0"/>
              <w:rPr>
                <w:sz w:val="16"/>
                <w:szCs w:val="16"/>
                <w:color w:val="auto"/>
              </w:rPr>
            </w:pPr>
          </w:p>
        </w:tc>
        <w:tc>
          <w:tcPr>
            <w:tcW w:w="720" w:type="dxa"/>
            <w:vAlign w:val="bottom"/>
            <w:shd w:val="clear" w:color="auto" w:fill="E0E0E0"/>
          </w:tcPr>
          <w:p>
            <w:pPr>
              <w:jc w:val="right"/>
              <w:ind w:right="48"/>
              <w:spacing w:after="0"/>
              <w:rPr>
                <w:sz w:val="20"/>
                <w:szCs w:val="20"/>
                <w:color w:val="auto"/>
              </w:rPr>
            </w:pPr>
            <w:r>
              <w:rPr>
                <w:rFonts w:ascii="Arial" w:cs="Arial" w:eastAsia="Arial" w:hAnsi="Arial"/>
                <w:sz w:val="14"/>
                <w:szCs w:val="14"/>
                <w:color w:val="auto"/>
              </w:rPr>
              <w:t>234</w:t>
            </w:r>
          </w:p>
        </w:tc>
        <w:tc>
          <w:tcPr>
            <w:tcW w:w="1480" w:type="dxa"/>
            <w:vAlign w:val="bottom"/>
            <w:shd w:val="clear" w:color="auto" w:fill="E0E0E0"/>
          </w:tcPr>
          <w:p>
            <w:pPr>
              <w:jc w:val="right"/>
              <w:ind w:right="408"/>
              <w:spacing w:after="0"/>
              <w:rPr>
                <w:sz w:val="20"/>
                <w:szCs w:val="20"/>
                <w:color w:val="auto"/>
              </w:rPr>
            </w:pPr>
            <w:r>
              <w:rPr>
                <w:rFonts w:ascii="Arial" w:cs="Arial" w:eastAsia="Arial" w:hAnsi="Arial"/>
                <w:sz w:val="14"/>
                <w:szCs w:val="14"/>
                <w:color w:val="auto"/>
              </w:rPr>
              <w:t>458</w:t>
            </w:r>
          </w:p>
        </w:tc>
        <w:tc>
          <w:tcPr>
            <w:tcW w:w="640" w:type="dxa"/>
            <w:vAlign w:val="bottom"/>
            <w:shd w:val="clear" w:color="auto" w:fill="E0E0E0"/>
          </w:tcPr>
          <w:p>
            <w:pPr>
              <w:jc w:val="right"/>
              <w:spacing w:after="0"/>
              <w:rPr>
                <w:sz w:val="20"/>
                <w:szCs w:val="20"/>
                <w:color w:val="auto"/>
              </w:rPr>
            </w:pPr>
            <w:r>
              <w:rPr>
                <w:rFonts w:ascii="Arial" w:cs="Arial" w:eastAsia="Arial" w:hAnsi="Arial"/>
                <w:sz w:val="14"/>
                <w:szCs w:val="14"/>
                <w:color w:val="auto"/>
              </w:rPr>
              <w:t>459</w:t>
            </w:r>
          </w:p>
        </w:tc>
      </w:tr>
      <w:tr>
        <w:trPr>
          <w:trHeight w:val="189"/>
        </w:trPr>
        <w:tc>
          <w:tcPr>
            <w:tcW w:w="6820" w:type="dxa"/>
            <w:vAlign w:val="bottom"/>
          </w:tcPr>
          <w:p>
            <w:pPr>
              <w:ind w:left="140"/>
              <w:spacing w:after="0"/>
              <w:rPr>
                <w:sz w:val="20"/>
                <w:szCs w:val="20"/>
                <w:color w:val="auto"/>
              </w:rPr>
            </w:pPr>
            <w:r>
              <w:rPr>
                <w:rFonts w:ascii="Arial" w:cs="Arial" w:eastAsia="Arial" w:hAnsi="Arial"/>
                <w:sz w:val="14"/>
                <w:szCs w:val="14"/>
                <w:color w:val="auto"/>
              </w:rPr>
              <w:t>Other interest</w:t>
            </w:r>
          </w:p>
        </w:tc>
        <w:tc>
          <w:tcPr>
            <w:tcW w:w="1120" w:type="dxa"/>
            <w:vAlign w:val="bottom"/>
          </w:tcPr>
          <w:p>
            <w:pPr>
              <w:jc w:val="right"/>
              <w:spacing w:after="0"/>
              <w:rPr>
                <w:sz w:val="20"/>
                <w:szCs w:val="20"/>
                <w:color w:val="auto"/>
              </w:rPr>
            </w:pPr>
            <w:r>
              <w:rPr>
                <w:rFonts w:ascii="Arial" w:cs="Arial" w:eastAsia="Arial" w:hAnsi="Arial"/>
                <w:sz w:val="14"/>
                <w:szCs w:val="14"/>
                <w:color w:val="auto"/>
              </w:rPr>
              <w:t>35</w:t>
            </w:r>
          </w:p>
        </w:tc>
        <w:tc>
          <w:tcPr>
            <w:tcW w:w="4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(14)</w:t>
            </w:r>
          </w:p>
        </w:tc>
        <w:tc>
          <w:tcPr>
            <w:tcW w:w="64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189"/>
        </w:trPr>
        <w:tc>
          <w:tcPr>
            <w:tcW w:w="6820" w:type="dxa"/>
            <w:vAlign w:val="bottom"/>
            <w:tcBorders>
              <w:bottom w:val="single" w:sz="8" w:color="8C8272"/>
            </w:tcBorders>
            <w:shd w:val="clear" w:color="auto" w:fill="E0E0E0"/>
          </w:tcPr>
          <w:p>
            <w:pPr>
              <w:ind w:left="140"/>
              <w:spacing w:after="0"/>
              <w:rPr>
                <w:sz w:val="20"/>
                <w:szCs w:val="20"/>
                <w:color w:val="auto"/>
              </w:rPr>
            </w:pPr>
            <w:r>
              <w:rPr>
                <w:rFonts w:ascii="Arial" w:cs="Arial" w:eastAsia="Arial" w:hAnsi="Arial"/>
                <w:sz w:val="14"/>
                <w:szCs w:val="14"/>
                <w:color w:val="auto"/>
              </w:rPr>
              <w:t>Allowance for borrowed funds used during construction</w:t>
            </w:r>
          </w:p>
        </w:tc>
        <w:tc>
          <w:tcPr>
            <w:tcW w:w="112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(4)</w:t>
            </w:r>
          </w:p>
        </w:tc>
        <w:tc>
          <w:tcPr>
            <w:tcW w:w="460" w:type="dxa"/>
            <w:vAlign w:val="bottom"/>
            <w:tcBorders>
              <w:bottom w:val="single" w:sz="8" w:color="8C8272"/>
            </w:tcBorders>
            <w:shd w:val="clear" w:color="auto" w:fill="E0E0E0"/>
          </w:tcPr>
          <w:p>
            <w:pPr>
              <w:spacing w:after="0"/>
              <w:rPr>
                <w:sz w:val="16"/>
                <w:szCs w:val="16"/>
                <w:color w:val="auto"/>
              </w:rPr>
            </w:pPr>
          </w:p>
        </w:tc>
        <w:tc>
          <w:tcPr>
            <w:tcW w:w="720" w:type="dxa"/>
            <w:vAlign w:val="bottom"/>
            <w:tcBorders>
              <w:bottom w:val="single" w:sz="8" w:color="8C8272"/>
            </w:tcBorders>
            <w:shd w:val="clear" w:color="auto" w:fill="E0E0E0"/>
          </w:tcPr>
          <w:p>
            <w:pPr>
              <w:jc w:val="right"/>
              <w:ind w:right="48"/>
              <w:spacing w:after="0"/>
              <w:rPr>
                <w:sz w:val="20"/>
                <w:szCs w:val="20"/>
                <w:color w:val="auto"/>
              </w:rPr>
            </w:pPr>
            <w:r>
              <w:rPr>
                <w:rFonts w:ascii="Arial" w:cs="Arial" w:eastAsia="Arial" w:hAnsi="Arial"/>
                <w:sz w:val="14"/>
                <w:szCs w:val="14"/>
                <w:color w:val="auto"/>
              </w:rPr>
              <w:t>(2)</w:t>
            </w:r>
          </w:p>
        </w:tc>
        <w:tc>
          <w:tcPr>
            <w:tcW w:w="1480" w:type="dxa"/>
            <w:vAlign w:val="bottom"/>
            <w:tcBorders>
              <w:bottom w:val="single" w:sz="8" w:color="8C8272"/>
            </w:tcBorders>
            <w:shd w:val="clear" w:color="auto" w:fill="E0E0E0"/>
          </w:tcPr>
          <w:p>
            <w:pPr>
              <w:jc w:val="right"/>
              <w:ind w:right="408"/>
              <w:spacing w:after="0"/>
              <w:rPr>
                <w:sz w:val="20"/>
                <w:szCs w:val="20"/>
                <w:color w:val="auto"/>
              </w:rPr>
            </w:pPr>
            <w:r>
              <w:rPr>
                <w:rFonts w:ascii="Arial" w:cs="Arial" w:eastAsia="Arial" w:hAnsi="Arial"/>
                <w:sz w:val="14"/>
                <w:szCs w:val="14"/>
                <w:color w:val="auto"/>
              </w:rPr>
              <w:t>(8)</w:t>
            </w:r>
          </w:p>
        </w:tc>
        <w:tc>
          <w:tcPr>
            <w:tcW w:w="64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(6)</w:t>
            </w:r>
          </w:p>
        </w:tc>
      </w:tr>
      <w:tr>
        <w:trPr>
          <w:trHeight w:val="183"/>
        </w:trPr>
        <w:tc>
          <w:tcPr>
            <w:tcW w:w="68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NET INTEREST EXPENSE</w:t>
            </w:r>
          </w:p>
        </w:tc>
        <w:tc>
          <w:tcPr>
            <w:tcW w:w="11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261</w:t>
            </w:r>
          </w:p>
        </w:tc>
        <w:tc>
          <w:tcPr>
            <w:tcW w:w="460" w:type="dxa"/>
            <w:vAlign w:val="bottom"/>
            <w:tcBorders>
              <w:bottom w:val="single" w:sz="8" w:color="8C8272"/>
            </w:tcBorders>
          </w:tcPr>
          <w:p>
            <w:pPr>
              <w:spacing w:after="0"/>
              <w:rPr>
                <w:sz w:val="15"/>
                <w:szCs w:val="15"/>
                <w:color w:val="auto"/>
              </w:rPr>
            </w:pPr>
          </w:p>
        </w:tc>
        <w:tc>
          <w:tcPr>
            <w:tcW w:w="72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247</w:t>
            </w:r>
          </w:p>
        </w:tc>
        <w:tc>
          <w:tcPr>
            <w:tcW w:w="1480" w:type="dxa"/>
            <w:vAlign w:val="bottom"/>
            <w:tcBorders>
              <w:bottom w:val="single" w:sz="8" w:color="8C8272"/>
            </w:tcBorders>
          </w:tcPr>
          <w:p>
            <w:pPr>
              <w:jc w:val="right"/>
              <w:ind w:right="408"/>
              <w:spacing w:after="0"/>
              <w:rPr>
                <w:sz w:val="20"/>
                <w:szCs w:val="20"/>
                <w:color w:val="auto"/>
              </w:rPr>
            </w:pPr>
            <w:r>
              <w:rPr>
                <w:rFonts w:ascii="Arial" w:cs="Arial" w:eastAsia="Arial" w:hAnsi="Arial"/>
                <w:sz w:val="14"/>
                <w:szCs w:val="14"/>
                <w:color w:val="auto"/>
              </w:rPr>
              <w:t>436</w:t>
            </w:r>
          </w:p>
        </w:tc>
        <w:tc>
          <w:tcPr>
            <w:tcW w:w="6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570</w:t>
            </w:r>
          </w:p>
        </w:tc>
      </w:tr>
      <w:tr>
        <w:trPr>
          <w:trHeight w:val="183"/>
        </w:trPr>
        <w:tc>
          <w:tcPr>
            <w:tcW w:w="6820" w:type="dxa"/>
            <w:vAlign w:val="bottom"/>
            <w:shd w:val="clear" w:color="auto" w:fill="E0E0E0"/>
          </w:tcPr>
          <w:p>
            <w:pPr>
              <w:ind w:left="20"/>
              <w:spacing w:after="0"/>
              <w:rPr>
                <w:sz w:val="20"/>
                <w:szCs w:val="20"/>
                <w:color w:val="auto"/>
              </w:rPr>
            </w:pPr>
            <w:r>
              <w:rPr>
                <w:rFonts w:ascii="Arial" w:cs="Arial" w:eastAsia="Arial" w:hAnsi="Arial"/>
                <w:sz w:val="14"/>
                <w:szCs w:val="14"/>
                <w:color w:val="auto"/>
              </w:rPr>
              <w:t>INCOME BEFORE INCOME TAX EXPENSE (BENEFIT)</w:t>
            </w:r>
          </w:p>
        </w:tc>
        <w:tc>
          <w:tcPr>
            <w:tcW w:w="11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107</w:t>
            </w:r>
          </w:p>
        </w:tc>
        <w:tc>
          <w:tcPr>
            <w:tcW w:w="460" w:type="dxa"/>
            <w:vAlign w:val="bottom"/>
            <w:shd w:val="clear" w:color="auto" w:fill="E0E0E0"/>
          </w:tcPr>
          <w:p>
            <w:pPr>
              <w:spacing w:after="0"/>
              <w:rPr>
                <w:sz w:val="15"/>
                <w:szCs w:val="15"/>
                <w:color w:val="auto"/>
              </w:rPr>
            </w:pPr>
          </w:p>
        </w:tc>
        <w:tc>
          <w:tcPr>
            <w:tcW w:w="720" w:type="dxa"/>
            <w:vAlign w:val="bottom"/>
            <w:shd w:val="clear" w:color="auto" w:fill="E0E0E0"/>
          </w:tcPr>
          <w:p>
            <w:pPr>
              <w:jc w:val="right"/>
              <w:ind w:right="48"/>
              <w:spacing w:after="0"/>
              <w:rPr>
                <w:sz w:val="20"/>
                <w:szCs w:val="20"/>
                <w:color w:val="auto"/>
              </w:rPr>
            </w:pPr>
            <w:r>
              <w:rPr>
                <w:rFonts w:ascii="Arial" w:cs="Arial" w:eastAsia="Arial" w:hAnsi="Arial"/>
                <w:sz w:val="14"/>
                <w:szCs w:val="14"/>
                <w:color w:val="auto"/>
              </w:rPr>
              <w:t>211</w:t>
            </w:r>
          </w:p>
        </w:tc>
        <w:tc>
          <w:tcPr>
            <w:tcW w:w="1480" w:type="dxa"/>
            <w:vAlign w:val="bottom"/>
            <w:shd w:val="clear" w:color="auto" w:fill="E0E0E0"/>
          </w:tcPr>
          <w:p>
            <w:pPr>
              <w:jc w:val="right"/>
              <w:ind w:right="408"/>
              <w:spacing w:after="0"/>
              <w:rPr>
                <w:sz w:val="20"/>
                <w:szCs w:val="20"/>
                <w:color w:val="auto"/>
              </w:rPr>
            </w:pPr>
            <w:r>
              <w:rPr>
                <w:rFonts w:ascii="Arial" w:cs="Arial" w:eastAsia="Arial" w:hAnsi="Arial"/>
                <w:sz w:val="14"/>
                <w:szCs w:val="14"/>
                <w:color w:val="auto"/>
              </w:rPr>
              <w:t>606</w:t>
            </w:r>
          </w:p>
        </w:tc>
        <w:tc>
          <w:tcPr>
            <w:tcW w:w="640" w:type="dxa"/>
            <w:vAlign w:val="bottom"/>
            <w:shd w:val="clear" w:color="auto" w:fill="E0E0E0"/>
          </w:tcPr>
          <w:p>
            <w:pPr>
              <w:jc w:val="right"/>
              <w:spacing w:after="0"/>
              <w:rPr>
                <w:sz w:val="20"/>
                <w:szCs w:val="20"/>
                <w:color w:val="auto"/>
              </w:rPr>
            </w:pPr>
            <w:r>
              <w:rPr>
                <w:rFonts w:ascii="Arial" w:cs="Arial" w:eastAsia="Arial" w:hAnsi="Arial"/>
                <w:sz w:val="14"/>
                <w:szCs w:val="14"/>
                <w:color w:val="auto"/>
              </w:rPr>
              <w:t>658</w:t>
            </w:r>
          </w:p>
        </w:tc>
      </w:tr>
      <w:tr>
        <w:trPr>
          <w:trHeight w:val="189"/>
        </w:trPr>
        <w:tc>
          <w:tcPr>
            <w:tcW w:w="68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INCOME TAX EXPENSE (BENEFIT)</w:t>
            </w:r>
          </w:p>
        </w:tc>
        <w:tc>
          <w:tcPr>
            <w:tcW w:w="11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(11)</w:t>
            </w:r>
          </w:p>
        </w:tc>
        <w:tc>
          <w:tcPr>
            <w:tcW w:w="460" w:type="dxa"/>
            <w:vAlign w:val="bottom"/>
            <w:tcBorders>
              <w:bottom w:val="single" w:sz="8" w:color="8C8272"/>
            </w:tcBorders>
          </w:tcPr>
          <w:p>
            <w:pPr>
              <w:spacing w:after="0"/>
              <w:rPr>
                <w:sz w:val="16"/>
                <w:szCs w:val="16"/>
                <w:color w:val="auto"/>
              </w:rPr>
            </w:pPr>
          </w:p>
        </w:tc>
        <w:tc>
          <w:tcPr>
            <w:tcW w:w="72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9</w:t>
            </w:r>
          </w:p>
        </w:tc>
        <w:tc>
          <w:tcPr>
            <w:tcW w:w="1480" w:type="dxa"/>
            <w:vAlign w:val="bottom"/>
            <w:tcBorders>
              <w:bottom w:val="single" w:sz="8" w:color="8C8272"/>
            </w:tcBorders>
          </w:tcPr>
          <w:p>
            <w:pPr>
              <w:jc w:val="right"/>
              <w:ind w:right="408"/>
              <w:spacing w:after="0"/>
              <w:rPr>
                <w:sz w:val="20"/>
                <w:szCs w:val="20"/>
                <w:color w:val="auto"/>
              </w:rPr>
            </w:pPr>
            <w:r>
              <w:rPr>
                <w:rFonts w:ascii="Arial" w:cs="Arial" w:eastAsia="Arial" w:hAnsi="Arial"/>
                <w:sz w:val="14"/>
                <w:szCs w:val="14"/>
                <w:color w:val="auto"/>
              </w:rPr>
              <w:t>68</w:t>
            </w:r>
          </w:p>
        </w:tc>
        <w:tc>
          <w:tcPr>
            <w:tcW w:w="6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64</w:t>
            </w:r>
          </w:p>
        </w:tc>
      </w:tr>
      <w:tr>
        <w:trPr>
          <w:trHeight w:val="183"/>
        </w:trPr>
        <w:tc>
          <w:tcPr>
            <w:tcW w:w="6820" w:type="dxa"/>
            <w:vAlign w:val="bottom"/>
            <w:shd w:val="clear" w:color="auto" w:fill="E0E0E0"/>
          </w:tcPr>
          <w:p>
            <w:pPr>
              <w:ind w:left="20"/>
              <w:spacing w:after="0"/>
              <w:rPr>
                <w:sz w:val="20"/>
                <w:szCs w:val="20"/>
                <w:color w:val="auto"/>
              </w:rPr>
            </w:pPr>
            <w:r>
              <w:rPr>
                <w:rFonts w:ascii="Arial" w:cs="Arial" w:eastAsia="Arial" w:hAnsi="Arial"/>
                <w:sz w:val="14"/>
                <w:szCs w:val="14"/>
                <w:color w:val="auto"/>
              </w:rPr>
              <w:t>NET INCOME</w:t>
            </w:r>
          </w:p>
        </w:tc>
        <w:tc>
          <w:tcPr>
            <w:tcW w:w="11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118</w:t>
            </w:r>
          </w:p>
        </w:tc>
        <w:tc>
          <w:tcPr>
            <w:tcW w:w="460" w:type="dxa"/>
            <w:vAlign w:val="bottom"/>
            <w:shd w:val="clear" w:color="auto" w:fill="E0E0E0"/>
          </w:tcPr>
          <w:p>
            <w:pPr>
              <w:spacing w:after="0"/>
              <w:rPr>
                <w:sz w:val="15"/>
                <w:szCs w:val="15"/>
                <w:color w:val="auto"/>
              </w:rPr>
            </w:pPr>
          </w:p>
        </w:tc>
        <w:tc>
          <w:tcPr>
            <w:tcW w:w="720" w:type="dxa"/>
            <w:vAlign w:val="bottom"/>
            <w:shd w:val="clear" w:color="auto" w:fill="E0E0E0"/>
          </w:tcPr>
          <w:p>
            <w:pPr>
              <w:jc w:val="right"/>
              <w:ind w:right="48"/>
              <w:spacing w:after="0"/>
              <w:rPr>
                <w:sz w:val="20"/>
                <w:szCs w:val="20"/>
                <w:color w:val="auto"/>
              </w:rPr>
            </w:pPr>
            <w:r>
              <w:rPr>
                <w:rFonts w:ascii="Arial" w:cs="Arial" w:eastAsia="Arial" w:hAnsi="Arial"/>
                <w:sz w:val="14"/>
                <w:szCs w:val="14"/>
                <w:color w:val="auto"/>
              </w:rPr>
              <w:t>202</w:t>
            </w:r>
          </w:p>
        </w:tc>
        <w:tc>
          <w:tcPr>
            <w:tcW w:w="1480" w:type="dxa"/>
            <w:vAlign w:val="bottom"/>
            <w:shd w:val="clear" w:color="auto" w:fill="E0E0E0"/>
          </w:tcPr>
          <w:p>
            <w:pPr>
              <w:jc w:val="right"/>
              <w:ind w:right="408"/>
              <w:spacing w:after="0"/>
              <w:rPr>
                <w:sz w:val="20"/>
                <w:szCs w:val="20"/>
                <w:color w:val="auto"/>
              </w:rPr>
            </w:pPr>
            <w:r>
              <w:rPr>
                <w:rFonts w:ascii="Arial" w:cs="Arial" w:eastAsia="Arial" w:hAnsi="Arial"/>
                <w:sz w:val="14"/>
                <w:szCs w:val="14"/>
                <w:color w:val="auto"/>
              </w:rPr>
              <w:t>538</w:t>
            </w:r>
          </w:p>
        </w:tc>
        <w:tc>
          <w:tcPr>
            <w:tcW w:w="640" w:type="dxa"/>
            <w:vAlign w:val="bottom"/>
            <w:shd w:val="clear" w:color="auto" w:fill="E0E0E0"/>
          </w:tcPr>
          <w:p>
            <w:pPr>
              <w:jc w:val="right"/>
              <w:spacing w:after="0"/>
              <w:rPr>
                <w:sz w:val="20"/>
                <w:szCs w:val="20"/>
                <w:color w:val="auto"/>
              </w:rPr>
            </w:pPr>
            <w:r>
              <w:rPr>
                <w:rFonts w:ascii="Arial" w:cs="Arial" w:eastAsia="Arial" w:hAnsi="Arial"/>
                <w:sz w:val="14"/>
                <w:szCs w:val="14"/>
                <w:color w:val="auto"/>
              </w:rPr>
              <w:t>594</w:t>
            </w:r>
          </w:p>
        </w:tc>
      </w:tr>
      <w:tr>
        <w:trPr>
          <w:trHeight w:val="189"/>
        </w:trPr>
        <w:tc>
          <w:tcPr>
            <w:tcW w:w="68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Income (loss) attributable to non-controlling interest</w:t>
            </w:r>
          </w:p>
        </w:tc>
        <w:tc>
          <w:tcPr>
            <w:tcW w:w="11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(47)</w:t>
            </w:r>
          </w:p>
        </w:tc>
        <w:tc>
          <w:tcPr>
            <w:tcW w:w="460" w:type="dxa"/>
            <w:vAlign w:val="bottom"/>
            <w:tcBorders>
              <w:bottom w:val="single" w:sz="8" w:color="8C8272"/>
            </w:tcBorders>
          </w:tcPr>
          <w:p>
            <w:pPr>
              <w:spacing w:after="0"/>
              <w:rPr>
                <w:sz w:val="16"/>
                <w:szCs w:val="16"/>
                <w:color w:val="auto"/>
              </w:rPr>
            </w:pPr>
          </w:p>
        </w:tc>
        <w:tc>
          <w:tcPr>
            <w:tcW w:w="72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12</w:t>
            </w:r>
          </w:p>
        </w:tc>
        <w:tc>
          <w:tcPr>
            <w:tcW w:w="1480" w:type="dxa"/>
            <w:vAlign w:val="bottom"/>
            <w:tcBorders>
              <w:bottom w:val="single" w:sz="8" w:color="8C8272"/>
            </w:tcBorders>
          </w:tcPr>
          <w:p>
            <w:pPr>
              <w:jc w:val="right"/>
              <w:ind w:right="408"/>
              <w:spacing w:after="0"/>
              <w:rPr>
                <w:sz w:val="20"/>
                <w:szCs w:val="20"/>
                <w:color w:val="auto"/>
              </w:rPr>
            </w:pPr>
            <w:r>
              <w:rPr>
                <w:rFonts w:ascii="Arial" w:cs="Arial" w:eastAsia="Arial" w:hAnsi="Arial"/>
                <w:sz w:val="14"/>
                <w:szCs w:val="14"/>
                <w:color w:val="auto"/>
              </w:rPr>
              <w:t>(46)</w:t>
            </w:r>
          </w:p>
        </w:tc>
        <w:tc>
          <w:tcPr>
            <w:tcW w:w="6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29</w:t>
            </w:r>
          </w:p>
        </w:tc>
      </w:tr>
      <w:tr>
        <w:trPr>
          <w:trHeight w:val="183"/>
        </w:trPr>
        <w:tc>
          <w:tcPr>
            <w:tcW w:w="6820" w:type="dxa"/>
            <w:vAlign w:val="bottom"/>
            <w:tcBorders>
              <w:bottom w:val="single" w:sz="8" w:color="8C8272"/>
            </w:tcBorders>
            <w:shd w:val="clear" w:color="auto" w:fill="E0E0E0"/>
          </w:tcPr>
          <w:p>
            <w:pPr>
              <w:ind w:left="20"/>
              <w:spacing w:after="0"/>
              <w:rPr>
                <w:sz w:val="20"/>
                <w:szCs w:val="20"/>
                <w:color w:val="auto"/>
              </w:rPr>
            </w:pPr>
            <w:r>
              <w:rPr>
                <w:rFonts w:ascii="Arial" w:cs="Arial" w:eastAsia="Arial" w:hAnsi="Arial"/>
                <w:sz w:val="14"/>
                <w:szCs w:val="14"/>
                <w:color w:val="auto"/>
              </w:rPr>
              <w:t>NET INCOME FOR COMMON STOCK</w:t>
            </w:r>
          </w:p>
        </w:tc>
        <w:tc>
          <w:tcPr>
            <w:tcW w:w="112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$165</w:t>
            </w:r>
          </w:p>
        </w:tc>
        <w:tc>
          <w:tcPr>
            <w:tcW w:w="460" w:type="dxa"/>
            <w:vAlign w:val="bottom"/>
            <w:tcBorders>
              <w:bottom w:val="single" w:sz="8" w:color="8C8272"/>
            </w:tcBorders>
            <w:shd w:val="clear" w:color="auto" w:fill="E0E0E0"/>
          </w:tcPr>
          <w:p>
            <w:pPr>
              <w:spacing w:after="0"/>
              <w:rPr>
                <w:sz w:val="15"/>
                <w:szCs w:val="15"/>
                <w:color w:val="auto"/>
              </w:rPr>
            </w:pPr>
          </w:p>
        </w:tc>
        <w:tc>
          <w:tcPr>
            <w:tcW w:w="720" w:type="dxa"/>
            <w:vAlign w:val="bottom"/>
            <w:tcBorders>
              <w:bottom w:val="single" w:sz="8" w:color="8C8272"/>
            </w:tcBorders>
            <w:shd w:val="clear" w:color="auto" w:fill="E0E0E0"/>
          </w:tcPr>
          <w:p>
            <w:pPr>
              <w:jc w:val="right"/>
              <w:ind w:right="48"/>
              <w:spacing w:after="0"/>
              <w:rPr>
                <w:sz w:val="20"/>
                <w:szCs w:val="20"/>
                <w:color w:val="auto"/>
              </w:rPr>
            </w:pPr>
            <w:r>
              <w:rPr>
                <w:rFonts w:ascii="Arial" w:cs="Arial" w:eastAsia="Arial" w:hAnsi="Arial"/>
                <w:sz w:val="14"/>
                <w:szCs w:val="14"/>
                <w:color w:val="auto"/>
              </w:rPr>
              <w:t>$190</w:t>
            </w:r>
          </w:p>
        </w:tc>
        <w:tc>
          <w:tcPr>
            <w:tcW w:w="1480" w:type="dxa"/>
            <w:vAlign w:val="bottom"/>
            <w:tcBorders>
              <w:bottom w:val="single" w:sz="8" w:color="8C8272"/>
            </w:tcBorders>
            <w:shd w:val="clear" w:color="auto" w:fill="E0E0E0"/>
          </w:tcPr>
          <w:p>
            <w:pPr>
              <w:jc w:val="right"/>
              <w:ind w:right="408"/>
              <w:spacing w:after="0"/>
              <w:rPr>
                <w:sz w:val="20"/>
                <w:szCs w:val="20"/>
                <w:color w:val="auto"/>
              </w:rPr>
            </w:pPr>
            <w:r>
              <w:rPr>
                <w:rFonts w:ascii="Arial" w:cs="Arial" w:eastAsia="Arial" w:hAnsi="Arial"/>
                <w:sz w:val="14"/>
                <w:szCs w:val="14"/>
                <w:color w:val="auto"/>
              </w:rPr>
              <w:t>$584</w:t>
            </w:r>
          </w:p>
        </w:tc>
        <w:tc>
          <w:tcPr>
            <w:tcW w:w="64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$565</w:t>
            </w:r>
          </w:p>
        </w:tc>
      </w:tr>
      <w:tr>
        <w:trPr>
          <w:trHeight w:val="183"/>
        </w:trPr>
        <w:tc>
          <w:tcPr>
            <w:tcW w:w="6820" w:type="dxa"/>
            <w:vAlign w:val="bottom"/>
            <w:tcBorders>
              <w:bottom w:val="single" w:sz="8" w:color="8C8272"/>
            </w:tcBorders>
          </w:tcPr>
          <w:p>
            <w:pPr>
              <w:ind w:left="140"/>
              <w:spacing w:after="0"/>
              <w:rPr>
                <w:sz w:val="20"/>
                <w:szCs w:val="20"/>
                <w:color w:val="auto"/>
              </w:rPr>
            </w:pPr>
            <w:r>
              <w:rPr>
                <w:rFonts w:ascii="Arial" w:cs="Arial" w:eastAsia="Arial" w:hAnsi="Arial"/>
                <w:sz w:val="14"/>
                <w:szCs w:val="14"/>
                <w:color w:val="auto"/>
              </w:rPr>
              <w:t>Net income per common share—basic</w:t>
            </w:r>
          </w:p>
        </w:tc>
        <w:tc>
          <w:tcPr>
            <w:tcW w:w="11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$0.48</w:t>
            </w:r>
          </w:p>
        </w:tc>
        <w:tc>
          <w:tcPr>
            <w:tcW w:w="460" w:type="dxa"/>
            <w:vAlign w:val="bottom"/>
            <w:tcBorders>
              <w:bottom w:val="single" w:sz="8" w:color="8C8272"/>
            </w:tcBorders>
          </w:tcPr>
          <w:p>
            <w:pPr>
              <w:spacing w:after="0"/>
              <w:rPr>
                <w:sz w:val="15"/>
                <w:szCs w:val="15"/>
                <w:color w:val="auto"/>
              </w:rPr>
            </w:pPr>
          </w:p>
        </w:tc>
        <w:tc>
          <w:tcPr>
            <w:tcW w:w="72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$0.57</w:t>
            </w:r>
          </w:p>
        </w:tc>
        <w:tc>
          <w:tcPr>
            <w:tcW w:w="1480" w:type="dxa"/>
            <w:vAlign w:val="bottom"/>
            <w:tcBorders>
              <w:bottom w:val="single" w:sz="8" w:color="8C8272"/>
            </w:tcBorders>
          </w:tcPr>
          <w:p>
            <w:pPr>
              <w:jc w:val="right"/>
              <w:ind w:right="408"/>
              <w:spacing w:after="0"/>
              <w:rPr>
                <w:sz w:val="20"/>
                <w:szCs w:val="20"/>
                <w:color w:val="auto"/>
              </w:rPr>
            </w:pPr>
            <w:r>
              <w:rPr>
                <w:rFonts w:ascii="Arial" w:cs="Arial" w:eastAsia="Arial" w:hAnsi="Arial"/>
                <w:sz w:val="14"/>
                <w:szCs w:val="14"/>
                <w:color w:val="auto"/>
              </w:rPr>
              <w:t>$1.70</w:t>
            </w:r>
          </w:p>
        </w:tc>
        <w:tc>
          <w:tcPr>
            <w:tcW w:w="6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$1.69</w:t>
            </w:r>
          </w:p>
        </w:tc>
      </w:tr>
      <w:tr>
        <w:trPr>
          <w:trHeight w:val="183"/>
        </w:trPr>
        <w:tc>
          <w:tcPr>
            <w:tcW w:w="6820" w:type="dxa"/>
            <w:vAlign w:val="bottom"/>
            <w:tcBorders>
              <w:bottom w:val="single" w:sz="8" w:color="8C8272"/>
            </w:tcBorders>
            <w:shd w:val="clear" w:color="auto" w:fill="E0E0E0"/>
          </w:tcPr>
          <w:p>
            <w:pPr>
              <w:ind w:left="140"/>
              <w:spacing w:after="0"/>
              <w:rPr>
                <w:sz w:val="20"/>
                <w:szCs w:val="20"/>
                <w:color w:val="auto"/>
              </w:rPr>
            </w:pPr>
            <w:r>
              <w:rPr>
                <w:rFonts w:ascii="Arial" w:cs="Arial" w:eastAsia="Arial" w:hAnsi="Arial"/>
                <w:sz w:val="14"/>
                <w:szCs w:val="14"/>
                <w:color w:val="auto"/>
              </w:rPr>
              <w:t>Net income per common share—diluted</w:t>
            </w:r>
          </w:p>
        </w:tc>
        <w:tc>
          <w:tcPr>
            <w:tcW w:w="112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$0.48</w:t>
            </w:r>
          </w:p>
        </w:tc>
        <w:tc>
          <w:tcPr>
            <w:tcW w:w="460" w:type="dxa"/>
            <w:vAlign w:val="bottom"/>
            <w:tcBorders>
              <w:bottom w:val="single" w:sz="8" w:color="8C8272"/>
            </w:tcBorders>
            <w:shd w:val="clear" w:color="auto" w:fill="E0E0E0"/>
          </w:tcPr>
          <w:p>
            <w:pPr>
              <w:spacing w:after="0"/>
              <w:rPr>
                <w:sz w:val="15"/>
                <w:szCs w:val="15"/>
                <w:color w:val="auto"/>
              </w:rPr>
            </w:pPr>
          </w:p>
        </w:tc>
        <w:tc>
          <w:tcPr>
            <w:tcW w:w="720" w:type="dxa"/>
            <w:vAlign w:val="bottom"/>
            <w:tcBorders>
              <w:bottom w:val="single" w:sz="8" w:color="8C8272"/>
            </w:tcBorders>
            <w:shd w:val="clear" w:color="auto" w:fill="E0E0E0"/>
          </w:tcPr>
          <w:p>
            <w:pPr>
              <w:jc w:val="right"/>
              <w:ind w:right="48"/>
              <w:spacing w:after="0"/>
              <w:rPr>
                <w:sz w:val="20"/>
                <w:szCs w:val="20"/>
                <w:color w:val="auto"/>
              </w:rPr>
            </w:pPr>
            <w:r>
              <w:rPr>
                <w:rFonts w:ascii="Arial" w:cs="Arial" w:eastAsia="Arial" w:hAnsi="Arial"/>
                <w:sz w:val="14"/>
                <w:szCs w:val="14"/>
                <w:color w:val="auto"/>
              </w:rPr>
              <w:t>$0.57</w:t>
            </w:r>
          </w:p>
        </w:tc>
        <w:tc>
          <w:tcPr>
            <w:tcW w:w="1480" w:type="dxa"/>
            <w:vAlign w:val="bottom"/>
            <w:tcBorders>
              <w:bottom w:val="single" w:sz="8" w:color="8C8272"/>
            </w:tcBorders>
            <w:shd w:val="clear" w:color="auto" w:fill="E0E0E0"/>
          </w:tcPr>
          <w:p>
            <w:pPr>
              <w:jc w:val="right"/>
              <w:ind w:right="408"/>
              <w:spacing w:after="0"/>
              <w:rPr>
                <w:sz w:val="20"/>
                <w:szCs w:val="20"/>
                <w:color w:val="auto"/>
              </w:rPr>
            </w:pPr>
            <w:r>
              <w:rPr>
                <w:rFonts w:ascii="Arial" w:cs="Arial" w:eastAsia="Arial" w:hAnsi="Arial"/>
                <w:sz w:val="14"/>
                <w:szCs w:val="14"/>
                <w:color w:val="auto"/>
              </w:rPr>
              <w:t>$1.70</w:t>
            </w:r>
          </w:p>
        </w:tc>
        <w:tc>
          <w:tcPr>
            <w:tcW w:w="64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$1.69</w:t>
            </w:r>
          </w:p>
        </w:tc>
      </w:tr>
      <w:tr>
        <w:trPr>
          <w:trHeight w:val="183"/>
        </w:trPr>
        <w:tc>
          <w:tcPr>
            <w:tcW w:w="68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AVERAGE NUMBER OF SHARES OUTSTANDING—BASIC (IN MILLIONS)</w:t>
            </w:r>
          </w:p>
        </w:tc>
        <w:tc>
          <w:tcPr>
            <w:tcW w:w="11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345.4</w:t>
            </w:r>
          </w:p>
        </w:tc>
        <w:tc>
          <w:tcPr>
            <w:tcW w:w="460" w:type="dxa"/>
            <w:vAlign w:val="bottom"/>
            <w:tcBorders>
              <w:bottom w:val="single" w:sz="8" w:color="8C8272"/>
            </w:tcBorders>
          </w:tcPr>
          <w:p>
            <w:pPr>
              <w:spacing w:after="0"/>
              <w:rPr>
                <w:sz w:val="15"/>
                <w:szCs w:val="15"/>
                <w:color w:val="auto"/>
              </w:rPr>
            </w:pPr>
          </w:p>
        </w:tc>
        <w:tc>
          <w:tcPr>
            <w:tcW w:w="72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334.1</w:t>
            </w:r>
          </w:p>
        </w:tc>
        <w:tc>
          <w:tcPr>
            <w:tcW w:w="1480" w:type="dxa"/>
            <w:vAlign w:val="bottom"/>
            <w:tcBorders>
              <w:bottom w:val="single" w:sz="8" w:color="8C8272"/>
            </w:tcBorders>
          </w:tcPr>
          <w:p>
            <w:pPr>
              <w:jc w:val="right"/>
              <w:ind w:right="408"/>
              <w:spacing w:after="0"/>
              <w:rPr>
                <w:sz w:val="20"/>
                <w:szCs w:val="20"/>
                <w:color w:val="auto"/>
              </w:rPr>
            </w:pPr>
            <w:r>
              <w:rPr>
                <w:rFonts w:ascii="Arial" w:cs="Arial" w:eastAsia="Arial" w:hAnsi="Arial"/>
                <w:sz w:val="14"/>
                <w:szCs w:val="14"/>
                <w:color w:val="auto"/>
              </w:rPr>
              <w:t>344.0</w:t>
            </w:r>
          </w:p>
        </w:tc>
        <w:tc>
          <w:tcPr>
            <w:tcW w:w="6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333.8</w:t>
            </w:r>
          </w:p>
        </w:tc>
      </w:tr>
      <w:tr>
        <w:trPr>
          <w:trHeight w:val="183"/>
        </w:trPr>
        <w:tc>
          <w:tcPr>
            <w:tcW w:w="6820" w:type="dxa"/>
            <w:vAlign w:val="bottom"/>
            <w:tcBorders>
              <w:bottom w:val="single" w:sz="8" w:color="8C8272"/>
            </w:tcBorders>
            <w:shd w:val="clear" w:color="auto" w:fill="E0E0E0"/>
          </w:tcPr>
          <w:p>
            <w:pPr>
              <w:ind w:left="20"/>
              <w:spacing w:after="0"/>
              <w:rPr>
                <w:sz w:val="20"/>
                <w:szCs w:val="20"/>
                <w:color w:val="auto"/>
              </w:rPr>
            </w:pPr>
            <w:r>
              <w:rPr>
                <w:rFonts w:ascii="Arial" w:cs="Arial" w:eastAsia="Arial" w:hAnsi="Arial"/>
                <w:sz w:val="14"/>
                <w:szCs w:val="14"/>
                <w:color w:val="auto"/>
              </w:rPr>
              <w:t>AVERAGE NUMBER OF SHARES OUTSTANDING—DILUTED (IN MILLIONS)</w:t>
            </w:r>
          </w:p>
        </w:tc>
        <w:tc>
          <w:tcPr>
            <w:tcW w:w="112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346.2</w:t>
            </w:r>
          </w:p>
        </w:tc>
        <w:tc>
          <w:tcPr>
            <w:tcW w:w="460" w:type="dxa"/>
            <w:vAlign w:val="bottom"/>
            <w:tcBorders>
              <w:bottom w:val="single" w:sz="8" w:color="8C8272"/>
            </w:tcBorders>
            <w:shd w:val="clear" w:color="auto" w:fill="E0E0E0"/>
          </w:tcPr>
          <w:p>
            <w:pPr>
              <w:spacing w:after="0"/>
              <w:rPr>
                <w:sz w:val="15"/>
                <w:szCs w:val="15"/>
                <w:color w:val="auto"/>
              </w:rPr>
            </w:pPr>
          </w:p>
        </w:tc>
        <w:tc>
          <w:tcPr>
            <w:tcW w:w="720" w:type="dxa"/>
            <w:vAlign w:val="bottom"/>
            <w:tcBorders>
              <w:bottom w:val="single" w:sz="8" w:color="8C8272"/>
            </w:tcBorders>
            <w:shd w:val="clear" w:color="auto" w:fill="E0E0E0"/>
          </w:tcPr>
          <w:p>
            <w:pPr>
              <w:jc w:val="right"/>
              <w:ind w:right="48"/>
              <w:spacing w:after="0"/>
              <w:rPr>
                <w:sz w:val="20"/>
                <w:szCs w:val="20"/>
                <w:color w:val="auto"/>
              </w:rPr>
            </w:pPr>
            <w:r>
              <w:rPr>
                <w:rFonts w:ascii="Arial" w:cs="Arial" w:eastAsia="Arial" w:hAnsi="Arial"/>
                <w:sz w:val="14"/>
                <w:szCs w:val="14"/>
                <w:color w:val="auto"/>
              </w:rPr>
              <w:t>335.0</w:t>
            </w:r>
          </w:p>
        </w:tc>
        <w:tc>
          <w:tcPr>
            <w:tcW w:w="1480" w:type="dxa"/>
            <w:vAlign w:val="bottom"/>
            <w:tcBorders>
              <w:bottom w:val="single" w:sz="8" w:color="8C8272"/>
            </w:tcBorders>
            <w:shd w:val="clear" w:color="auto" w:fill="E0E0E0"/>
          </w:tcPr>
          <w:p>
            <w:pPr>
              <w:jc w:val="right"/>
              <w:ind w:right="408"/>
              <w:spacing w:after="0"/>
              <w:rPr>
                <w:sz w:val="20"/>
                <w:szCs w:val="20"/>
                <w:color w:val="auto"/>
              </w:rPr>
            </w:pPr>
            <w:r>
              <w:rPr>
                <w:rFonts w:ascii="Arial" w:cs="Arial" w:eastAsia="Arial" w:hAnsi="Arial"/>
                <w:sz w:val="14"/>
                <w:szCs w:val="14"/>
                <w:color w:val="auto"/>
              </w:rPr>
              <w:t>344.8</w:t>
            </w:r>
          </w:p>
        </w:tc>
        <w:tc>
          <w:tcPr>
            <w:tcW w:w="64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334.7</w:t>
            </w: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8C8272"/>
        </w:rPr>
        <w:t>Consolidated Edison,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 OF COMPREHENSIVE INCOME (UNAUDITED)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0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Three Months Ended June</w:t>
            </w:r>
          </w:p>
        </w:tc>
        <w:tc>
          <w:tcPr>
            <w:tcW w:w="18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Six Months Ended June</w:t>
            </w:r>
          </w:p>
        </w:tc>
      </w:tr>
      <w:tr>
        <w:trPr>
          <w:trHeight w:val="175"/>
        </w:trPr>
        <w:tc>
          <w:tcPr>
            <w:tcW w:w="6340" w:type="dxa"/>
            <w:vAlign w:val="bottom"/>
            <w:tcBorders>
              <w:bottom w:val="single" w:sz="8" w:color="929292"/>
            </w:tcBorders>
          </w:tcPr>
          <w:p>
            <w:pPr>
              <w:spacing w:after="0"/>
              <w:rPr>
                <w:sz w:val="15"/>
                <w:szCs w:val="15"/>
                <w:color w:val="auto"/>
              </w:rPr>
            </w:pPr>
          </w:p>
        </w:tc>
        <w:tc>
          <w:tcPr>
            <w:tcW w:w="2420" w:type="dxa"/>
            <w:vAlign w:val="bottom"/>
            <w:tcBorders>
              <w:bottom w:val="single" w:sz="8" w:color="929292"/>
            </w:tcBorders>
          </w:tcPr>
          <w:p>
            <w:pPr>
              <w:jc w:val="right"/>
              <w:ind w:right="188"/>
              <w:spacing w:after="0"/>
              <w:rPr>
                <w:sz w:val="20"/>
                <w:szCs w:val="20"/>
                <w:color w:val="auto"/>
              </w:rPr>
            </w:pPr>
            <w:r>
              <w:rPr>
                <w:rFonts w:ascii="Arial" w:cs="Arial" w:eastAsia="Arial" w:hAnsi="Arial"/>
                <w:sz w:val="14"/>
                <w:szCs w:val="14"/>
                <w:b w:val="1"/>
                <w:bCs w:val="1"/>
                <w:color w:val="auto"/>
              </w:rPr>
              <w:t>30,</w:t>
            </w:r>
          </w:p>
        </w:tc>
        <w:tc>
          <w:tcPr>
            <w:tcW w:w="640" w:type="dxa"/>
            <w:vAlign w:val="bottom"/>
            <w:tcBorders>
              <w:bottom w:val="single" w:sz="8" w:color="929292"/>
            </w:tcBorders>
          </w:tcPr>
          <w:p>
            <w:pPr>
              <w:spacing w:after="0"/>
              <w:rPr>
                <w:sz w:val="15"/>
                <w:szCs w:val="15"/>
                <w:color w:val="auto"/>
              </w:rPr>
            </w:pPr>
          </w:p>
        </w:tc>
        <w:tc>
          <w:tcPr>
            <w:tcW w:w="1240" w:type="dxa"/>
            <w:vAlign w:val="bottom"/>
            <w:tcBorders>
              <w:bottom w:val="single" w:sz="8" w:color="929292"/>
            </w:tcBorders>
          </w:tcPr>
          <w:p>
            <w:pPr>
              <w:jc w:val="right"/>
              <w:ind w:right="168"/>
              <w:spacing w:after="0"/>
              <w:rPr>
                <w:sz w:val="20"/>
                <w:szCs w:val="20"/>
                <w:color w:val="auto"/>
              </w:rPr>
            </w:pPr>
            <w:r>
              <w:rPr>
                <w:rFonts w:ascii="Arial" w:cs="Arial" w:eastAsia="Arial" w:hAnsi="Arial"/>
                <w:sz w:val="14"/>
                <w:szCs w:val="14"/>
                <w:b w:val="1"/>
                <w:bCs w:val="1"/>
                <w:color w:val="auto"/>
              </w:rPr>
              <w:t>30,</w:t>
            </w:r>
          </w:p>
        </w:tc>
        <w:tc>
          <w:tcPr>
            <w:tcW w:w="600" w:type="dxa"/>
            <w:vAlign w:val="bottom"/>
            <w:tcBorders>
              <w:bottom w:val="single" w:sz="8" w:color="929292"/>
            </w:tcBorders>
          </w:tcPr>
          <w:p>
            <w:pPr>
              <w:spacing w:after="0"/>
              <w:rPr>
                <w:sz w:val="15"/>
                <w:szCs w:val="15"/>
                <w:color w:val="auto"/>
              </w:rPr>
            </w:pPr>
          </w:p>
        </w:tc>
      </w:tr>
      <w:tr>
        <w:trPr>
          <w:trHeight w:val="183"/>
        </w:trPr>
        <w:tc>
          <w:tcPr>
            <w:tcW w:w="6340" w:type="dxa"/>
            <w:vAlign w:val="bottom"/>
            <w:tcBorders>
              <w:bottom w:val="single" w:sz="8" w:color="92929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2420" w:type="dxa"/>
            <w:vAlign w:val="bottom"/>
            <w:tcBorders>
              <w:bottom w:val="single" w:sz="8" w:color="929292"/>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929292"/>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63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420" w:type="dxa"/>
            <w:vAlign w:val="bottom"/>
          </w:tcPr>
          <w:p>
            <w:pPr>
              <w:jc w:val="right"/>
              <w:ind w:right="308"/>
              <w:spacing w:after="0"/>
              <w:rPr>
                <w:sz w:val="20"/>
                <w:szCs w:val="20"/>
                <w:color w:val="auto"/>
              </w:rPr>
            </w:pPr>
            <w:r>
              <w:rPr>
                <w:rFonts w:ascii="Arial" w:cs="Arial" w:eastAsia="Arial" w:hAnsi="Arial"/>
                <w:sz w:val="14"/>
                <w:szCs w:val="14"/>
                <w:color w:val="auto"/>
              </w:rPr>
              <w:t>$118</w:t>
            </w:r>
          </w:p>
        </w:tc>
        <w:tc>
          <w:tcPr>
            <w:tcW w:w="640" w:type="dxa"/>
            <w:vAlign w:val="bottom"/>
          </w:tcPr>
          <w:p>
            <w:pPr>
              <w:jc w:val="right"/>
              <w:spacing w:after="0"/>
              <w:rPr>
                <w:sz w:val="20"/>
                <w:szCs w:val="20"/>
                <w:color w:val="auto"/>
              </w:rPr>
            </w:pPr>
            <w:r>
              <w:rPr>
                <w:rFonts w:ascii="Arial" w:cs="Arial" w:eastAsia="Arial" w:hAnsi="Arial"/>
                <w:sz w:val="14"/>
                <w:szCs w:val="14"/>
                <w:color w:val="auto"/>
              </w:rPr>
              <w:t>$202</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$538</w:t>
            </w:r>
          </w:p>
        </w:tc>
        <w:tc>
          <w:tcPr>
            <w:tcW w:w="600" w:type="dxa"/>
            <w:vAlign w:val="bottom"/>
          </w:tcPr>
          <w:p>
            <w:pPr>
              <w:jc w:val="right"/>
              <w:spacing w:after="0"/>
              <w:rPr>
                <w:sz w:val="20"/>
                <w:szCs w:val="20"/>
                <w:color w:val="auto"/>
              </w:rPr>
            </w:pPr>
            <w:r>
              <w:rPr>
                <w:rFonts w:ascii="Arial" w:cs="Arial" w:eastAsia="Arial" w:hAnsi="Arial"/>
                <w:sz w:val="14"/>
                <w:szCs w:val="14"/>
                <w:color w:val="auto"/>
              </w:rPr>
              <w:t>$594</w:t>
            </w:r>
          </w:p>
        </w:tc>
      </w:tr>
      <w:tr>
        <w:trPr>
          <w:trHeight w:val="189"/>
        </w:trPr>
        <w:tc>
          <w:tcPr>
            <w:tcW w:w="6340" w:type="dxa"/>
            <w:vAlign w:val="bottom"/>
            <w:shd w:val="clear" w:color="auto" w:fill="E5E5E5"/>
          </w:tcPr>
          <w:p>
            <w:pPr>
              <w:ind w:left="20"/>
              <w:spacing w:after="0"/>
              <w:rPr>
                <w:sz w:val="20"/>
                <w:szCs w:val="20"/>
                <w:color w:val="auto"/>
              </w:rPr>
            </w:pPr>
            <w:r>
              <w:rPr>
                <w:rFonts w:ascii="Arial" w:cs="Arial" w:eastAsia="Arial" w:hAnsi="Arial"/>
                <w:sz w:val="14"/>
                <w:szCs w:val="14"/>
                <w:color w:val="auto"/>
              </w:rPr>
              <w:t>LOSS (INCOME) ATTRIBUTABLE TO NON-CONTROLLING INTEREST</w:t>
            </w:r>
          </w:p>
        </w:tc>
        <w:tc>
          <w:tcPr>
            <w:tcW w:w="242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47</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w:t>
            </w:r>
          </w:p>
        </w:tc>
        <w:tc>
          <w:tcPr>
            <w:tcW w:w="124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46</w:t>
            </w:r>
          </w:p>
        </w:tc>
        <w:tc>
          <w:tcPr>
            <w:tcW w:w="6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w:t>
            </w:r>
          </w:p>
        </w:tc>
      </w:tr>
      <w:tr>
        <w:trPr>
          <w:trHeight w:val="189"/>
        </w:trPr>
        <w:tc>
          <w:tcPr>
            <w:tcW w:w="6340" w:type="dxa"/>
            <w:vAlign w:val="bottom"/>
          </w:tcPr>
          <w:p>
            <w:pPr>
              <w:ind w:left="20"/>
              <w:spacing w:after="0"/>
              <w:rPr>
                <w:sz w:val="20"/>
                <w:szCs w:val="20"/>
                <w:color w:val="auto"/>
              </w:rPr>
            </w:pPr>
            <w:r>
              <w:rPr>
                <w:rFonts w:ascii="Arial" w:cs="Arial" w:eastAsia="Arial" w:hAnsi="Arial"/>
                <w:sz w:val="14"/>
                <w:szCs w:val="14"/>
                <w:color w:val="auto"/>
              </w:rPr>
              <w:t>OTHER COMPREHENSIVE INCOME, NET OF TAXES</w:t>
            </w:r>
          </w:p>
        </w:tc>
        <w:tc>
          <w:tcPr>
            <w:tcW w:w="2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9"/>
        </w:trPr>
        <w:tc>
          <w:tcPr>
            <w:tcW w:w="634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Pension and other postretirement benefit plan liability adjustments, net of taxes</w:t>
            </w:r>
          </w:p>
        </w:tc>
        <w:tc>
          <w:tcPr>
            <w:tcW w:w="2420" w:type="dxa"/>
            <w:vAlign w:val="bottom"/>
            <w:tcBorders>
              <w:bottom w:val="single" w:sz="8" w:color="8C8272"/>
            </w:tcBorders>
            <w:shd w:val="clear" w:color="auto" w:fill="E5E5E5"/>
          </w:tcPr>
          <w:p>
            <w:pPr>
              <w:jc w:val="right"/>
              <w:ind w:right="348"/>
              <w:spacing w:after="0"/>
              <w:rPr>
                <w:sz w:val="20"/>
                <w:szCs w:val="20"/>
                <w:color w:val="auto"/>
              </w:rPr>
            </w:pPr>
            <w:r>
              <w:rPr>
                <w:rFonts w:ascii="Arial" w:cs="Arial" w:eastAsia="Arial" w:hAnsi="Arial"/>
                <w:sz w:val="14"/>
                <w:szCs w:val="14"/>
                <w:color w:val="auto"/>
              </w:rPr>
              <w:t>2</w:t>
            </w:r>
          </w:p>
        </w:tc>
        <w:tc>
          <w:tcPr>
            <w:tcW w:w="64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C8272"/>
            </w:tcBorders>
            <w:shd w:val="clear" w:color="auto" w:fill="E5E5E5"/>
          </w:tcPr>
          <w:p>
            <w:pPr>
              <w:jc w:val="right"/>
              <w:ind w:right="348"/>
              <w:spacing w:after="0"/>
              <w:rPr>
                <w:sz w:val="20"/>
                <w:szCs w:val="20"/>
                <w:color w:val="auto"/>
              </w:rPr>
            </w:pPr>
            <w:r>
              <w:rPr>
                <w:rFonts w:ascii="Arial" w:cs="Arial" w:eastAsia="Arial" w:hAnsi="Arial"/>
                <w:sz w:val="14"/>
                <w:szCs w:val="14"/>
                <w:color w:val="auto"/>
              </w:rPr>
              <w:t>6</w:t>
            </w:r>
          </w:p>
        </w:tc>
        <w:tc>
          <w:tcPr>
            <w:tcW w:w="6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w:t>
            </w:r>
          </w:p>
        </w:tc>
      </w:tr>
      <w:tr>
        <w:trPr>
          <w:trHeight w:val="183"/>
        </w:trPr>
        <w:tc>
          <w:tcPr>
            <w:tcW w:w="634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TOTAL OTHER COMPREHENSIVE INCOME, NET OF TAXES</w:t>
            </w:r>
          </w:p>
        </w:tc>
        <w:tc>
          <w:tcPr>
            <w:tcW w:w="2420" w:type="dxa"/>
            <w:vAlign w:val="bottom"/>
            <w:tcBorders>
              <w:bottom w:val="single" w:sz="8" w:color="8C8272"/>
            </w:tcBorders>
          </w:tcPr>
          <w:p>
            <w:pPr>
              <w:jc w:val="right"/>
              <w:ind w:right="348"/>
              <w:spacing w:after="0"/>
              <w:rPr>
                <w:sz w:val="20"/>
                <w:szCs w:val="20"/>
                <w:color w:val="auto"/>
              </w:rPr>
            </w:pPr>
            <w:r>
              <w:rPr>
                <w:rFonts w:ascii="Arial" w:cs="Arial" w:eastAsia="Arial" w:hAnsi="Arial"/>
                <w:sz w:val="14"/>
                <w:szCs w:val="14"/>
                <w:color w:val="auto"/>
              </w:rPr>
              <w:t>2</w:t>
            </w:r>
          </w:p>
        </w:tc>
        <w:tc>
          <w:tcPr>
            <w:tcW w:w="64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C8272"/>
            </w:tcBorders>
          </w:tcPr>
          <w:p>
            <w:pPr>
              <w:jc w:val="right"/>
              <w:ind w:right="348"/>
              <w:spacing w:after="0"/>
              <w:rPr>
                <w:sz w:val="20"/>
                <w:szCs w:val="20"/>
                <w:color w:val="auto"/>
              </w:rPr>
            </w:pPr>
            <w:r>
              <w:rPr>
                <w:rFonts w:ascii="Arial" w:cs="Arial" w:eastAsia="Arial" w:hAnsi="Arial"/>
                <w:sz w:val="14"/>
                <w:szCs w:val="14"/>
                <w:color w:val="auto"/>
              </w:rPr>
              <w:t>6</w:t>
            </w:r>
          </w:p>
        </w:tc>
        <w:tc>
          <w:tcPr>
            <w:tcW w:w="6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w:t>
            </w:r>
          </w:p>
        </w:tc>
      </w:tr>
      <w:tr>
        <w:trPr>
          <w:trHeight w:val="183"/>
        </w:trPr>
        <w:tc>
          <w:tcPr>
            <w:tcW w:w="634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COMPREHENSIVE INCOME</w:t>
            </w:r>
          </w:p>
        </w:tc>
        <w:tc>
          <w:tcPr>
            <w:tcW w:w="2420" w:type="dxa"/>
            <w:vAlign w:val="bottom"/>
            <w:tcBorders>
              <w:bottom w:val="single" w:sz="8" w:color="8C8272"/>
            </w:tcBorders>
            <w:shd w:val="clear" w:color="auto" w:fill="E5E5E5"/>
          </w:tcPr>
          <w:p>
            <w:pPr>
              <w:jc w:val="right"/>
              <w:ind w:right="308"/>
              <w:spacing w:after="0"/>
              <w:rPr>
                <w:sz w:val="20"/>
                <w:szCs w:val="20"/>
                <w:color w:val="auto"/>
              </w:rPr>
            </w:pPr>
            <w:r>
              <w:rPr>
                <w:rFonts w:ascii="Arial" w:cs="Arial" w:eastAsia="Arial" w:hAnsi="Arial"/>
                <w:sz w:val="14"/>
                <w:szCs w:val="14"/>
                <w:color w:val="auto"/>
              </w:rPr>
              <w:t>$167</w:t>
            </w:r>
          </w:p>
        </w:tc>
        <w:tc>
          <w:tcPr>
            <w:tcW w:w="6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$190</w:t>
            </w:r>
          </w:p>
        </w:tc>
        <w:tc>
          <w:tcPr>
            <w:tcW w:w="1240" w:type="dxa"/>
            <w:vAlign w:val="bottom"/>
            <w:tcBorders>
              <w:bottom w:val="single" w:sz="8" w:color="8C8272"/>
            </w:tcBorders>
            <w:shd w:val="clear" w:color="auto" w:fill="E5E5E5"/>
          </w:tcPr>
          <w:p>
            <w:pPr>
              <w:jc w:val="right"/>
              <w:ind w:right="288"/>
              <w:spacing w:after="0"/>
              <w:rPr>
                <w:sz w:val="20"/>
                <w:szCs w:val="20"/>
                <w:color w:val="auto"/>
              </w:rPr>
            </w:pPr>
            <w:r>
              <w:rPr>
                <w:rFonts w:ascii="Arial" w:cs="Arial" w:eastAsia="Arial" w:hAnsi="Arial"/>
                <w:sz w:val="14"/>
                <w:szCs w:val="14"/>
                <w:color w:val="auto"/>
              </w:rPr>
              <w:t>$590</w:t>
            </w:r>
          </w:p>
        </w:tc>
        <w:tc>
          <w:tcPr>
            <w:tcW w:w="6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$570</w:t>
            </w: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8C8272"/>
        </w:rPr>
        <w:t>Consolidated Edison,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 OF CASH FLOWS (UNAUDITED)</w:t>
      </w:r>
    </w:p>
    <w:p>
      <w:pPr>
        <w:spacing w:after="0" w:line="118"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For the Six Months Ended June 30,</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Borders>
              <w:top w:val="single" w:sz="8" w:color="8C8272"/>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860" w:type="dxa"/>
            <w:vAlign w:val="bottom"/>
            <w:tcBorders>
              <w:top w:val="single" w:sz="8" w:color="8C8272"/>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2021</w:t>
            </w:r>
          </w:p>
        </w:tc>
        <w:tc>
          <w:tcPr>
            <w:tcW w:w="1840" w:type="dxa"/>
            <w:vAlign w:val="bottom"/>
            <w:tcBorders>
              <w:top w:val="single" w:sz="8" w:color="8C8272"/>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7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ACTIVITIES</w:t>
            </w:r>
          </w:p>
        </w:tc>
        <w:tc>
          <w:tcPr>
            <w:tcW w:w="1860" w:type="dxa"/>
            <w:vAlign w:val="bottom"/>
            <w:shd w:val="clear" w:color="auto" w:fill="DBDBDB"/>
          </w:tcPr>
          <w:p>
            <w:pPr>
              <w:spacing w:after="0"/>
              <w:rPr>
                <w:sz w:val="15"/>
                <w:szCs w:val="15"/>
                <w:color w:val="auto"/>
              </w:rPr>
            </w:pPr>
          </w:p>
        </w:tc>
        <w:tc>
          <w:tcPr>
            <w:tcW w:w="1840" w:type="dxa"/>
            <w:vAlign w:val="bottom"/>
            <w:shd w:val="clear" w:color="auto" w:fill="DBDBDB"/>
          </w:tcPr>
          <w:p>
            <w:pPr>
              <w:spacing w:after="0"/>
              <w:rPr>
                <w:sz w:val="15"/>
                <w:szCs w:val="15"/>
                <w:color w:val="auto"/>
              </w:rPr>
            </w:pPr>
          </w:p>
        </w:tc>
      </w:tr>
      <w:tr>
        <w:trPr>
          <w:trHeight w:val="189"/>
        </w:trPr>
        <w:tc>
          <w:tcPr>
            <w:tcW w:w="75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860" w:type="dxa"/>
            <w:vAlign w:val="bottom"/>
          </w:tcPr>
          <w:p>
            <w:pPr>
              <w:jc w:val="right"/>
              <w:spacing w:after="0"/>
              <w:rPr>
                <w:sz w:val="20"/>
                <w:szCs w:val="20"/>
                <w:color w:val="auto"/>
              </w:rPr>
            </w:pPr>
            <w:r>
              <w:rPr>
                <w:rFonts w:ascii="Arial" w:cs="Arial" w:eastAsia="Arial" w:hAnsi="Arial"/>
                <w:sz w:val="14"/>
                <w:szCs w:val="14"/>
                <w:color w:val="auto"/>
              </w:rPr>
              <w:t>$538</w:t>
            </w:r>
          </w:p>
        </w:tc>
        <w:tc>
          <w:tcPr>
            <w:tcW w:w="1840" w:type="dxa"/>
            <w:vAlign w:val="bottom"/>
          </w:tcPr>
          <w:p>
            <w:pPr>
              <w:jc w:val="right"/>
              <w:spacing w:after="0"/>
              <w:rPr>
                <w:sz w:val="20"/>
                <w:szCs w:val="20"/>
                <w:color w:val="auto"/>
              </w:rPr>
            </w:pPr>
            <w:r>
              <w:rPr>
                <w:rFonts w:ascii="Arial" w:cs="Arial" w:eastAsia="Arial" w:hAnsi="Arial"/>
                <w:sz w:val="14"/>
                <w:szCs w:val="14"/>
                <w:color w:val="auto"/>
              </w:rPr>
              <w:t>$594</w:t>
            </w:r>
          </w:p>
        </w:tc>
      </w:tr>
      <w:tr>
        <w:trPr>
          <w:trHeight w:val="189"/>
        </w:trPr>
        <w:tc>
          <w:tcPr>
            <w:tcW w:w="7540" w:type="dxa"/>
            <w:vAlign w:val="bottom"/>
            <w:shd w:val="clear" w:color="auto" w:fill="DBDBDB"/>
          </w:tcPr>
          <w:p>
            <w:pPr>
              <w:ind w:left="140"/>
              <w:spacing w:after="0"/>
              <w:rPr>
                <w:sz w:val="20"/>
                <w:szCs w:val="20"/>
                <w:color w:val="auto"/>
              </w:rPr>
            </w:pPr>
            <w:r>
              <w:rPr>
                <w:rFonts w:ascii="Arial" w:cs="Arial" w:eastAsia="Arial" w:hAnsi="Arial"/>
                <w:sz w:val="14"/>
                <w:szCs w:val="14"/>
                <w:color w:val="auto"/>
              </w:rPr>
              <w:t>PRINCIPAL NON-CASH CHARGES/(CREDITS) TO INCOME</w:t>
            </w:r>
          </w:p>
        </w:tc>
        <w:tc>
          <w:tcPr>
            <w:tcW w:w="1860" w:type="dxa"/>
            <w:vAlign w:val="bottom"/>
            <w:shd w:val="clear" w:color="auto" w:fill="DBDBDB"/>
          </w:tcPr>
          <w:p>
            <w:pPr>
              <w:spacing w:after="0"/>
              <w:rPr>
                <w:sz w:val="16"/>
                <w:szCs w:val="16"/>
                <w:color w:val="auto"/>
              </w:rPr>
            </w:pPr>
          </w:p>
        </w:tc>
        <w:tc>
          <w:tcPr>
            <w:tcW w:w="1840" w:type="dxa"/>
            <w:vAlign w:val="bottom"/>
            <w:shd w:val="clear" w:color="auto" w:fill="DBDBDB"/>
          </w:tcPr>
          <w:p>
            <w:pPr>
              <w:spacing w:after="0"/>
              <w:rPr>
                <w:sz w:val="16"/>
                <w:szCs w:val="16"/>
                <w:color w:val="auto"/>
              </w:rPr>
            </w:pP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860" w:type="dxa"/>
            <w:vAlign w:val="bottom"/>
          </w:tcPr>
          <w:p>
            <w:pPr>
              <w:jc w:val="right"/>
              <w:spacing w:after="0"/>
              <w:rPr>
                <w:sz w:val="20"/>
                <w:szCs w:val="20"/>
                <w:color w:val="auto"/>
              </w:rPr>
            </w:pPr>
            <w:r>
              <w:rPr>
                <w:rFonts w:ascii="Arial" w:cs="Arial" w:eastAsia="Arial" w:hAnsi="Arial"/>
                <w:sz w:val="14"/>
                <w:szCs w:val="14"/>
                <w:color w:val="auto"/>
              </w:rPr>
              <w:t>1,000</w:t>
            </w:r>
          </w:p>
        </w:tc>
        <w:tc>
          <w:tcPr>
            <w:tcW w:w="1840" w:type="dxa"/>
            <w:vAlign w:val="bottom"/>
          </w:tcPr>
          <w:p>
            <w:pPr>
              <w:jc w:val="right"/>
              <w:spacing w:after="0"/>
              <w:rPr>
                <w:sz w:val="20"/>
                <w:szCs w:val="20"/>
                <w:color w:val="auto"/>
              </w:rPr>
            </w:pPr>
            <w:r>
              <w:rPr>
                <w:rFonts w:ascii="Arial" w:cs="Arial" w:eastAsia="Arial" w:hAnsi="Arial"/>
                <w:sz w:val="14"/>
                <w:szCs w:val="14"/>
                <w:color w:val="auto"/>
              </w:rPr>
              <w:t>946</w:t>
            </w:r>
          </w:p>
        </w:tc>
      </w:tr>
      <w:tr>
        <w:trPr>
          <w:trHeight w:val="189"/>
        </w:trPr>
        <w:tc>
          <w:tcPr>
            <w:tcW w:w="75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Investment loss/impairment</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211</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1860" w:type="dxa"/>
            <w:vAlign w:val="bottom"/>
          </w:tcPr>
          <w:p>
            <w:pPr>
              <w:jc w:val="right"/>
              <w:spacing w:after="0"/>
              <w:rPr>
                <w:sz w:val="20"/>
                <w:szCs w:val="20"/>
                <w:color w:val="auto"/>
              </w:rPr>
            </w:pPr>
            <w:r>
              <w:rPr>
                <w:rFonts w:ascii="Arial" w:cs="Arial" w:eastAsia="Arial" w:hAnsi="Arial"/>
                <w:sz w:val="14"/>
                <w:szCs w:val="14"/>
                <w:color w:val="auto"/>
              </w:rPr>
              <w:t>30</w:t>
            </w:r>
          </w:p>
        </w:tc>
        <w:tc>
          <w:tcPr>
            <w:tcW w:w="184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89"/>
        </w:trPr>
        <w:tc>
          <w:tcPr>
            <w:tcW w:w="75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Rate case amortization and accruals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Common equity component of allowance for funds used during construction</w:t>
            </w:r>
          </w:p>
        </w:tc>
        <w:tc>
          <w:tcPr>
            <w:tcW w:w="1860" w:type="dxa"/>
            <w:vAlign w:val="bottom"/>
          </w:tcPr>
          <w:p>
            <w:pPr>
              <w:jc w:val="right"/>
              <w:spacing w:after="0"/>
              <w:rPr>
                <w:sz w:val="20"/>
                <w:szCs w:val="20"/>
                <w:color w:val="auto"/>
              </w:rPr>
            </w:pPr>
            <w:r>
              <w:rPr>
                <w:rFonts w:ascii="Arial" w:cs="Arial" w:eastAsia="Arial" w:hAnsi="Arial"/>
                <w:sz w:val="14"/>
                <w:szCs w:val="14"/>
                <w:color w:val="auto"/>
              </w:rPr>
              <w:t>(10)</w:t>
            </w:r>
          </w:p>
        </w:tc>
        <w:tc>
          <w:tcPr>
            <w:tcW w:w="18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75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Net derivative losses/(gains)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89</w:t>
            </w: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Unbilled revenue and net unbilled revenue deferrals</w:t>
            </w:r>
          </w:p>
        </w:tc>
        <w:tc>
          <w:tcPr>
            <w:tcW w:w="1860" w:type="dxa"/>
            <w:vAlign w:val="bottom"/>
          </w:tcPr>
          <w:p>
            <w:pPr>
              <w:jc w:val="right"/>
              <w:spacing w:after="0"/>
              <w:rPr>
                <w:sz w:val="20"/>
                <w:szCs w:val="20"/>
                <w:color w:val="auto"/>
              </w:rPr>
            </w:pPr>
            <w:r>
              <w:rPr>
                <w:rFonts w:ascii="Arial" w:cs="Arial" w:eastAsia="Arial" w:hAnsi="Arial"/>
                <w:sz w:val="14"/>
                <w:szCs w:val="14"/>
                <w:color w:val="auto"/>
              </w:rPr>
              <w:t>(64)</w:t>
            </w:r>
          </w:p>
        </w:tc>
        <w:tc>
          <w:tcPr>
            <w:tcW w:w="18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75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Other non-cash items, net</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259</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102</w:t>
            </w:r>
          </w:p>
        </w:tc>
      </w:tr>
      <w:tr>
        <w:trPr>
          <w:trHeight w:val="189"/>
        </w:trPr>
        <w:tc>
          <w:tcPr>
            <w:tcW w:w="7540" w:type="dxa"/>
            <w:vAlign w:val="bottom"/>
          </w:tcPr>
          <w:p>
            <w:pPr>
              <w:ind w:left="140"/>
              <w:spacing w:after="0"/>
              <w:rPr>
                <w:sz w:val="20"/>
                <w:szCs w:val="20"/>
                <w:color w:val="auto"/>
              </w:rPr>
            </w:pPr>
            <w:r>
              <w:rPr>
                <w:rFonts w:ascii="Arial" w:cs="Arial" w:eastAsia="Arial" w:hAnsi="Arial"/>
                <w:sz w:val="14"/>
                <w:szCs w:val="14"/>
                <w:color w:val="auto"/>
              </w:rPr>
              <w:t>CHANGES IN ASSETS AND LIABILITIES</w:t>
            </w:r>
          </w:p>
        </w:tc>
        <w:tc>
          <w:tcPr>
            <w:tcW w:w="18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9"/>
        </w:trPr>
        <w:tc>
          <w:tcPr>
            <w:tcW w:w="75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Accounts receivable – customers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(135)</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(113)</w:t>
            </w: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Materials and supplies, including fuel oil and gas in storage</w:t>
            </w:r>
          </w:p>
        </w:tc>
        <w:tc>
          <w:tcPr>
            <w:tcW w:w="1860" w:type="dxa"/>
            <w:vAlign w:val="bottom"/>
          </w:tcPr>
          <w:p>
            <w:pPr>
              <w:jc w:val="right"/>
              <w:spacing w:after="0"/>
              <w:rPr>
                <w:sz w:val="20"/>
                <w:szCs w:val="20"/>
                <w:color w:val="auto"/>
              </w:rPr>
            </w:pPr>
            <w:r>
              <w:rPr>
                <w:rFonts w:ascii="Arial" w:cs="Arial" w:eastAsia="Arial" w:hAnsi="Arial"/>
                <w:sz w:val="14"/>
                <w:szCs w:val="14"/>
                <w:color w:val="auto"/>
              </w:rPr>
              <w:t>(5)</w:t>
            </w:r>
          </w:p>
        </w:tc>
        <w:tc>
          <w:tcPr>
            <w:tcW w:w="18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9"/>
        </w:trPr>
        <w:tc>
          <w:tcPr>
            <w:tcW w:w="75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Revenue decoupling mechanism receivable</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(62)</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(80)</w:t>
            </w: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Other receivables and other current assets</w:t>
            </w:r>
          </w:p>
        </w:tc>
        <w:tc>
          <w:tcPr>
            <w:tcW w:w="1860" w:type="dxa"/>
            <w:vAlign w:val="bottom"/>
          </w:tcPr>
          <w:p>
            <w:pPr>
              <w:jc w:val="right"/>
              <w:spacing w:after="0"/>
              <w:rPr>
                <w:sz w:val="20"/>
                <w:szCs w:val="20"/>
                <w:color w:val="auto"/>
              </w:rPr>
            </w:pPr>
            <w:r>
              <w:rPr>
                <w:rFonts w:ascii="Arial" w:cs="Arial" w:eastAsia="Arial" w:hAnsi="Arial"/>
                <w:sz w:val="14"/>
                <w:szCs w:val="14"/>
                <w:color w:val="auto"/>
              </w:rPr>
              <w:t>33</w:t>
            </w:r>
          </w:p>
        </w:tc>
        <w:tc>
          <w:tcPr>
            <w:tcW w:w="18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75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Taxes receivable</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Prepayments</w:t>
            </w:r>
          </w:p>
        </w:tc>
        <w:tc>
          <w:tcPr>
            <w:tcW w:w="1860" w:type="dxa"/>
            <w:vAlign w:val="bottom"/>
          </w:tcPr>
          <w:p>
            <w:pPr>
              <w:jc w:val="right"/>
              <w:spacing w:after="0"/>
              <w:rPr>
                <w:sz w:val="20"/>
                <w:szCs w:val="20"/>
                <w:color w:val="auto"/>
              </w:rPr>
            </w:pPr>
            <w:r>
              <w:rPr>
                <w:rFonts w:ascii="Arial" w:cs="Arial" w:eastAsia="Arial" w:hAnsi="Arial"/>
                <w:sz w:val="14"/>
                <w:szCs w:val="14"/>
                <w:color w:val="auto"/>
              </w:rPr>
              <w:t>16</w:t>
            </w:r>
          </w:p>
        </w:tc>
        <w:tc>
          <w:tcPr>
            <w:tcW w:w="18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89"/>
        </w:trPr>
        <w:tc>
          <w:tcPr>
            <w:tcW w:w="75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Accounts payable</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(145)</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(168)</w:t>
            </w: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Pensions and retiree benefits obligations</w:t>
            </w:r>
          </w:p>
        </w:tc>
        <w:tc>
          <w:tcPr>
            <w:tcW w:w="1860" w:type="dxa"/>
            <w:vAlign w:val="bottom"/>
          </w:tcPr>
          <w:p>
            <w:pPr>
              <w:jc w:val="right"/>
              <w:spacing w:after="0"/>
              <w:rPr>
                <w:sz w:val="20"/>
                <w:szCs w:val="20"/>
                <w:color w:val="auto"/>
              </w:rPr>
            </w:pPr>
            <w:r>
              <w:rPr>
                <w:rFonts w:ascii="Arial" w:cs="Arial" w:eastAsia="Arial" w:hAnsi="Arial"/>
                <w:sz w:val="14"/>
                <w:szCs w:val="14"/>
                <w:color w:val="auto"/>
              </w:rPr>
              <w:t>169</w:t>
            </w:r>
          </w:p>
        </w:tc>
        <w:tc>
          <w:tcPr>
            <w:tcW w:w="18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9"/>
        </w:trPr>
        <w:tc>
          <w:tcPr>
            <w:tcW w:w="75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Pensions and retiree benefits contributions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(81)</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(79)</w:t>
            </w: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Accrued taxes</w:t>
            </w:r>
          </w:p>
        </w:tc>
        <w:tc>
          <w:tcPr>
            <w:tcW w:w="1860" w:type="dxa"/>
            <w:vAlign w:val="bottom"/>
          </w:tcPr>
          <w:p>
            <w:pPr>
              <w:jc w:val="right"/>
              <w:spacing w:after="0"/>
              <w:rPr>
                <w:sz w:val="20"/>
                <w:szCs w:val="20"/>
                <w:color w:val="auto"/>
              </w:rPr>
            </w:pPr>
            <w:r>
              <w:rPr>
                <w:rFonts w:ascii="Arial" w:cs="Arial" w:eastAsia="Arial" w:hAnsi="Arial"/>
                <w:sz w:val="14"/>
                <w:szCs w:val="14"/>
                <w:color w:val="auto"/>
              </w:rPr>
              <w:t>(29)</w:t>
            </w:r>
          </w:p>
        </w:tc>
        <w:tc>
          <w:tcPr>
            <w:tcW w:w="18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89"/>
        </w:trPr>
        <w:tc>
          <w:tcPr>
            <w:tcW w:w="75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Accrued interest</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Superfund and environmental remediation costs</w:t>
            </w:r>
          </w:p>
        </w:tc>
        <w:tc>
          <w:tcPr>
            <w:tcW w:w="1860" w:type="dxa"/>
            <w:vAlign w:val="bottom"/>
          </w:tcPr>
          <w:p>
            <w:pPr>
              <w:jc w:val="right"/>
              <w:spacing w:after="0"/>
              <w:rPr>
                <w:sz w:val="20"/>
                <w:szCs w:val="20"/>
                <w:color w:val="auto"/>
              </w:rPr>
            </w:pPr>
            <w:r>
              <w:rPr>
                <w:rFonts w:ascii="Arial" w:cs="Arial" w:eastAsia="Arial" w:hAnsi="Arial"/>
                <w:sz w:val="14"/>
                <w:szCs w:val="14"/>
                <w:color w:val="auto"/>
              </w:rPr>
              <w:t>(7)</w:t>
            </w:r>
          </w:p>
        </w:tc>
        <w:tc>
          <w:tcPr>
            <w:tcW w:w="18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75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Distributions from equity investments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System benefit charge</w:t>
            </w:r>
          </w:p>
        </w:tc>
        <w:tc>
          <w:tcPr>
            <w:tcW w:w="1860" w:type="dxa"/>
            <w:vAlign w:val="bottom"/>
          </w:tcPr>
          <w:p>
            <w:pPr>
              <w:jc w:val="right"/>
              <w:spacing w:after="0"/>
              <w:rPr>
                <w:sz w:val="20"/>
                <w:szCs w:val="20"/>
                <w:color w:val="auto"/>
              </w:rPr>
            </w:pPr>
            <w:r>
              <w:rPr>
                <w:rFonts w:ascii="Arial" w:cs="Arial" w:eastAsia="Arial" w:hAnsi="Arial"/>
                <w:sz w:val="14"/>
                <w:szCs w:val="14"/>
                <w:color w:val="auto"/>
              </w:rPr>
              <w:t>(22)</w:t>
            </w:r>
          </w:p>
        </w:tc>
        <w:tc>
          <w:tcPr>
            <w:tcW w:w="184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89"/>
        </w:trPr>
        <w:tc>
          <w:tcPr>
            <w:tcW w:w="75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Deferred charges, noncurrent assets and other regulatory assets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(322)</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(110)</w:t>
            </w: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Deferred credits and other regulatory liabilities</w:t>
            </w:r>
          </w:p>
        </w:tc>
        <w:tc>
          <w:tcPr>
            <w:tcW w:w="1860" w:type="dxa"/>
            <w:vAlign w:val="bottom"/>
          </w:tcPr>
          <w:p>
            <w:pPr>
              <w:jc w:val="right"/>
              <w:spacing w:after="0"/>
              <w:rPr>
                <w:sz w:val="20"/>
                <w:szCs w:val="20"/>
                <w:color w:val="auto"/>
              </w:rPr>
            </w:pPr>
            <w:r>
              <w:rPr>
                <w:rFonts w:ascii="Arial" w:cs="Arial" w:eastAsia="Arial" w:hAnsi="Arial"/>
                <w:sz w:val="14"/>
                <w:szCs w:val="14"/>
                <w:color w:val="auto"/>
              </w:rPr>
              <w:t>126</w:t>
            </w:r>
          </w:p>
        </w:tc>
        <w:tc>
          <w:tcPr>
            <w:tcW w:w="18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9"/>
        </w:trPr>
        <w:tc>
          <w:tcPr>
            <w:tcW w:w="7540" w:type="dxa"/>
            <w:vAlign w:val="bottom"/>
            <w:tcBorders>
              <w:bottom w:val="single" w:sz="8" w:color="8C8272"/>
            </w:tcBorders>
            <w:shd w:val="clear" w:color="auto" w:fill="DBDBDB"/>
          </w:tcPr>
          <w:p>
            <w:pPr>
              <w:ind w:left="360"/>
              <w:spacing w:after="0"/>
              <w:rPr>
                <w:sz w:val="20"/>
                <w:szCs w:val="20"/>
                <w:color w:val="auto"/>
              </w:rPr>
            </w:pPr>
            <w:r>
              <w:rPr>
                <w:rFonts w:ascii="Arial" w:cs="Arial" w:eastAsia="Arial" w:hAnsi="Arial"/>
                <w:sz w:val="14"/>
                <w:szCs w:val="14"/>
                <w:color w:val="auto"/>
              </w:rPr>
              <w:t>Other current and noncurrent liabilities</w:t>
            </w:r>
          </w:p>
        </w:tc>
        <w:tc>
          <w:tcPr>
            <w:tcW w:w="186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(93)</w:t>
            </w:r>
          </w:p>
        </w:tc>
        <w:tc>
          <w:tcPr>
            <w:tcW w:w="184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(37)</w:t>
            </w:r>
          </w:p>
        </w:tc>
      </w:tr>
      <w:tr>
        <w:trPr>
          <w:trHeight w:val="183"/>
        </w:trPr>
        <w:tc>
          <w:tcPr>
            <w:tcW w:w="754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NET CASH FLOWS FROM OPERATING ACTIVITIES</w:t>
            </w:r>
          </w:p>
        </w:tc>
        <w:tc>
          <w:tcPr>
            <w:tcW w:w="18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1,393</w:t>
            </w:r>
          </w:p>
        </w:tc>
        <w:tc>
          <w:tcPr>
            <w:tcW w:w="18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1,180</w:t>
            </w:r>
          </w:p>
        </w:tc>
      </w:tr>
      <w:tr>
        <w:trPr>
          <w:trHeight w:val="183"/>
        </w:trPr>
        <w:tc>
          <w:tcPr>
            <w:tcW w:w="7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INVESTING ACTIVITIES</w:t>
            </w:r>
          </w:p>
        </w:tc>
        <w:tc>
          <w:tcPr>
            <w:tcW w:w="1860" w:type="dxa"/>
            <w:vAlign w:val="bottom"/>
            <w:shd w:val="clear" w:color="auto" w:fill="DBDBDB"/>
          </w:tcPr>
          <w:p>
            <w:pPr>
              <w:spacing w:after="0"/>
              <w:rPr>
                <w:sz w:val="15"/>
                <w:szCs w:val="15"/>
                <w:color w:val="auto"/>
              </w:rPr>
            </w:pPr>
          </w:p>
        </w:tc>
        <w:tc>
          <w:tcPr>
            <w:tcW w:w="1840" w:type="dxa"/>
            <w:vAlign w:val="bottom"/>
            <w:shd w:val="clear" w:color="auto" w:fill="DBDBDB"/>
          </w:tcPr>
          <w:p>
            <w:pPr>
              <w:spacing w:after="0"/>
              <w:rPr>
                <w:sz w:val="15"/>
                <w:szCs w:val="15"/>
                <w:color w:val="auto"/>
              </w:rPr>
            </w:pP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Utility construction expenditures</w:t>
            </w:r>
          </w:p>
        </w:tc>
        <w:tc>
          <w:tcPr>
            <w:tcW w:w="1860" w:type="dxa"/>
            <w:vAlign w:val="bottom"/>
          </w:tcPr>
          <w:p>
            <w:pPr>
              <w:jc w:val="right"/>
              <w:spacing w:after="0"/>
              <w:rPr>
                <w:sz w:val="20"/>
                <w:szCs w:val="20"/>
                <w:color w:val="auto"/>
              </w:rPr>
            </w:pPr>
            <w:r>
              <w:rPr>
                <w:rFonts w:ascii="Arial" w:cs="Arial" w:eastAsia="Arial" w:hAnsi="Arial"/>
                <w:sz w:val="14"/>
                <w:szCs w:val="14"/>
                <w:color w:val="auto"/>
              </w:rPr>
              <w:t>(1,781)</w:t>
            </w:r>
          </w:p>
        </w:tc>
        <w:tc>
          <w:tcPr>
            <w:tcW w:w="1840" w:type="dxa"/>
            <w:vAlign w:val="bottom"/>
          </w:tcPr>
          <w:p>
            <w:pPr>
              <w:jc w:val="right"/>
              <w:spacing w:after="0"/>
              <w:rPr>
                <w:sz w:val="20"/>
                <w:szCs w:val="20"/>
                <w:color w:val="auto"/>
              </w:rPr>
            </w:pPr>
            <w:r>
              <w:rPr>
                <w:rFonts w:ascii="Arial" w:cs="Arial" w:eastAsia="Arial" w:hAnsi="Arial"/>
                <w:sz w:val="14"/>
                <w:szCs w:val="14"/>
                <w:color w:val="auto"/>
              </w:rPr>
              <w:t>(1,528)</w:t>
            </w:r>
          </w:p>
        </w:tc>
      </w:tr>
      <w:tr>
        <w:trPr>
          <w:trHeight w:val="189"/>
        </w:trPr>
        <w:tc>
          <w:tcPr>
            <w:tcW w:w="75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Cost of removal less salvage</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(166)</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(141)</w:t>
            </w: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Non-utility construction expenditures</w:t>
            </w:r>
          </w:p>
        </w:tc>
        <w:tc>
          <w:tcPr>
            <w:tcW w:w="1860" w:type="dxa"/>
            <w:vAlign w:val="bottom"/>
          </w:tcPr>
          <w:p>
            <w:pPr>
              <w:jc w:val="right"/>
              <w:spacing w:after="0"/>
              <w:rPr>
                <w:sz w:val="20"/>
                <w:szCs w:val="20"/>
                <w:color w:val="auto"/>
              </w:rPr>
            </w:pPr>
            <w:r>
              <w:rPr>
                <w:rFonts w:ascii="Arial" w:cs="Arial" w:eastAsia="Arial" w:hAnsi="Arial"/>
                <w:sz w:val="14"/>
                <w:szCs w:val="14"/>
                <w:color w:val="auto"/>
              </w:rPr>
              <w:t>(230)</w:t>
            </w:r>
          </w:p>
        </w:tc>
        <w:tc>
          <w:tcPr>
            <w:tcW w:w="1840" w:type="dxa"/>
            <w:vAlign w:val="bottom"/>
          </w:tcPr>
          <w:p>
            <w:pPr>
              <w:jc w:val="right"/>
              <w:spacing w:after="0"/>
              <w:rPr>
                <w:sz w:val="20"/>
                <w:szCs w:val="20"/>
                <w:color w:val="auto"/>
              </w:rPr>
            </w:pPr>
            <w:r>
              <w:rPr>
                <w:rFonts w:ascii="Arial" w:cs="Arial" w:eastAsia="Arial" w:hAnsi="Arial"/>
                <w:sz w:val="14"/>
                <w:szCs w:val="14"/>
                <w:color w:val="auto"/>
              </w:rPr>
              <w:t>(258)</w:t>
            </w:r>
          </w:p>
        </w:tc>
      </w:tr>
      <w:tr>
        <w:trPr>
          <w:trHeight w:val="189"/>
        </w:trPr>
        <w:tc>
          <w:tcPr>
            <w:tcW w:w="75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Investments in electric and gas transmission projects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w:t>
            </w: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Divestiture of renewable electric projects, net</w:t>
            </w:r>
          </w:p>
        </w:tc>
        <w:tc>
          <w:tcPr>
            <w:tcW w:w="1860" w:type="dxa"/>
            <w:vAlign w:val="bottom"/>
          </w:tcPr>
          <w:p>
            <w:pPr>
              <w:jc w:val="right"/>
              <w:spacing w:after="0"/>
              <w:rPr>
                <w:sz w:val="20"/>
                <w:szCs w:val="20"/>
                <w:color w:val="auto"/>
              </w:rPr>
            </w:pPr>
            <w:r>
              <w:rPr>
                <w:rFonts w:ascii="Arial" w:cs="Arial" w:eastAsia="Arial" w:hAnsi="Arial"/>
                <w:sz w:val="14"/>
                <w:szCs w:val="14"/>
                <w:color w:val="auto"/>
              </w:rPr>
              <w:t>183</w:t>
            </w:r>
          </w:p>
        </w:tc>
        <w:tc>
          <w:tcPr>
            <w:tcW w:w="1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540" w:type="dxa"/>
            <w:vAlign w:val="bottom"/>
            <w:tcBorders>
              <w:bottom w:val="single" w:sz="8" w:color="8C8272"/>
            </w:tcBorders>
            <w:shd w:val="clear" w:color="auto" w:fill="DBDBDB"/>
          </w:tcPr>
          <w:p>
            <w:pPr>
              <w:ind w:left="360"/>
              <w:spacing w:after="0"/>
              <w:rPr>
                <w:sz w:val="20"/>
                <w:szCs w:val="20"/>
                <w:color w:val="auto"/>
              </w:rPr>
            </w:pPr>
            <w:r>
              <w:rPr>
                <w:rFonts w:ascii="Arial" w:cs="Arial" w:eastAsia="Arial" w:hAnsi="Arial"/>
                <w:sz w:val="14"/>
                <w:szCs w:val="14"/>
                <w:color w:val="auto"/>
              </w:rPr>
              <w:t>Other investing activities</w:t>
            </w:r>
          </w:p>
        </w:tc>
        <w:tc>
          <w:tcPr>
            <w:tcW w:w="186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184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10</w:t>
            </w:r>
          </w:p>
        </w:tc>
      </w:tr>
      <w:tr>
        <w:trPr>
          <w:trHeight w:val="183"/>
        </w:trPr>
        <w:tc>
          <w:tcPr>
            <w:tcW w:w="754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NET CASH FLOWS USED IN INVESTING ACTIVITIES</w:t>
            </w:r>
          </w:p>
        </w:tc>
        <w:tc>
          <w:tcPr>
            <w:tcW w:w="18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(2,000)</w:t>
            </w:r>
          </w:p>
        </w:tc>
        <w:tc>
          <w:tcPr>
            <w:tcW w:w="18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(1,932)</w:t>
            </w:r>
          </w:p>
        </w:tc>
      </w:tr>
      <w:tr>
        <w:trPr>
          <w:trHeight w:val="183"/>
        </w:trPr>
        <w:tc>
          <w:tcPr>
            <w:tcW w:w="7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FINANCING ACTIVITIES</w:t>
            </w:r>
          </w:p>
        </w:tc>
        <w:tc>
          <w:tcPr>
            <w:tcW w:w="1860" w:type="dxa"/>
            <w:vAlign w:val="bottom"/>
            <w:shd w:val="clear" w:color="auto" w:fill="DBDBDB"/>
          </w:tcPr>
          <w:p>
            <w:pPr>
              <w:spacing w:after="0"/>
              <w:rPr>
                <w:sz w:val="15"/>
                <w:szCs w:val="15"/>
                <w:color w:val="auto"/>
              </w:rPr>
            </w:pPr>
          </w:p>
        </w:tc>
        <w:tc>
          <w:tcPr>
            <w:tcW w:w="1840" w:type="dxa"/>
            <w:vAlign w:val="bottom"/>
            <w:shd w:val="clear" w:color="auto" w:fill="DBDBDB"/>
          </w:tcPr>
          <w:p>
            <w:pPr>
              <w:spacing w:after="0"/>
              <w:rPr>
                <w:sz w:val="15"/>
                <w:szCs w:val="15"/>
                <w:color w:val="auto"/>
              </w:rPr>
            </w:pP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Net issuance of short-term debt</w:t>
            </w:r>
          </w:p>
        </w:tc>
        <w:tc>
          <w:tcPr>
            <w:tcW w:w="1860" w:type="dxa"/>
            <w:vAlign w:val="bottom"/>
          </w:tcPr>
          <w:p>
            <w:pPr>
              <w:jc w:val="right"/>
              <w:spacing w:after="0"/>
              <w:rPr>
                <w:sz w:val="20"/>
                <w:szCs w:val="20"/>
                <w:color w:val="auto"/>
              </w:rPr>
            </w:pPr>
            <w:r>
              <w:rPr>
                <w:rFonts w:ascii="Arial" w:cs="Arial" w:eastAsia="Arial" w:hAnsi="Arial"/>
                <w:sz w:val="14"/>
                <w:szCs w:val="14"/>
                <w:color w:val="auto"/>
              </w:rPr>
              <w:t>86</w:t>
            </w:r>
          </w:p>
        </w:tc>
        <w:tc>
          <w:tcPr>
            <w:tcW w:w="184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189"/>
        </w:trPr>
        <w:tc>
          <w:tcPr>
            <w:tcW w:w="75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Issuance of long-term debt</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1,788</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1,600</w:t>
            </w: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Retirement of long-term debt</w:t>
            </w:r>
          </w:p>
        </w:tc>
        <w:tc>
          <w:tcPr>
            <w:tcW w:w="1860" w:type="dxa"/>
            <w:vAlign w:val="bottom"/>
          </w:tcPr>
          <w:p>
            <w:pPr>
              <w:jc w:val="right"/>
              <w:spacing w:after="0"/>
              <w:rPr>
                <w:sz w:val="20"/>
                <w:szCs w:val="20"/>
                <w:color w:val="auto"/>
              </w:rPr>
            </w:pPr>
            <w:r>
              <w:rPr>
                <w:rFonts w:ascii="Arial" w:cs="Arial" w:eastAsia="Arial" w:hAnsi="Arial"/>
                <w:sz w:val="14"/>
                <w:szCs w:val="14"/>
                <w:color w:val="auto"/>
              </w:rPr>
              <w:t>(1,882)</w:t>
            </w:r>
          </w:p>
        </w:tc>
        <w:tc>
          <w:tcPr>
            <w:tcW w:w="1840" w:type="dxa"/>
            <w:vAlign w:val="bottom"/>
          </w:tcPr>
          <w:p>
            <w:pPr>
              <w:jc w:val="right"/>
              <w:spacing w:after="0"/>
              <w:rPr>
                <w:sz w:val="20"/>
                <w:szCs w:val="20"/>
                <w:color w:val="auto"/>
              </w:rPr>
            </w:pPr>
            <w:r>
              <w:rPr>
                <w:rFonts w:ascii="Arial" w:cs="Arial" w:eastAsia="Arial" w:hAnsi="Arial"/>
                <w:sz w:val="14"/>
                <w:szCs w:val="14"/>
                <w:color w:val="auto"/>
              </w:rPr>
              <w:t>(442)</w:t>
            </w:r>
          </w:p>
        </w:tc>
      </w:tr>
      <w:tr>
        <w:trPr>
          <w:trHeight w:val="189"/>
        </w:trPr>
        <w:tc>
          <w:tcPr>
            <w:tcW w:w="75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Debt issuance costs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w:t>
            </w: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Common stock dividends</w:t>
            </w:r>
          </w:p>
        </w:tc>
        <w:tc>
          <w:tcPr>
            <w:tcW w:w="1860" w:type="dxa"/>
            <w:vAlign w:val="bottom"/>
          </w:tcPr>
          <w:p>
            <w:pPr>
              <w:jc w:val="right"/>
              <w:spacing w:after="0"/>
              <w:rPr>
                <w:sz w:val="20"/>
                <w:szCs w:val="20"/>
                <w:color w:val="auto"/>
              </w:rPr>
            </w:pPr>
            <w:r>
              <w:rPr>
                <w:rFonts w:ascii="Arial" w:cs="Arial" w:eastAsia="Arial" w:hAnsi="Arial"/>
                <w:sz w:val="14"/>
                <w:szCs w:val="14"/>
                <w:color w:val="auto"/>
              </w:rPr>
              <w:t>(507)</w:t>
            </w:r>
          </w:p>
        </w:tc>
        <w:tc>
          <w:tcPr>
            <w:tcW w:w="1840" w:type="dxa"/>
            <w:vAlign w:val="bottom"/>
          </w:tcPr>
          <w:p>
            <w:pPr>
              <w:jc w:val="right"/>
              <w:spacing w:after="0"/>
              <w:rPr>
                <w:sz w:val="20"/>
                <w:szCs w:val="20"/>
                <w:color w:val="auto"/>
              </w:rPr>
            </w:pPr>
            <w:r>
              <w:rPr>
                <w:rFonts w:ascii="Arial" w:cs="Arial" w:eastAsia="Arial" w:hAnsi="Arial"/>
                <w:sz w:val="14"/>
                <w:szCs w:val="14"/>
                <w:color w:val="auto"/>
              </w:rPr>
              <w:t>(487)</w:t>
            </w:r>
          </w:p>
        </w:tc>
      </w:tr>
      <w:tr>
        <w:trPr>
          <w:trHeight w:val="189"/>
        </w:trPr>
        <w:tc>
          <w:tcPr>
            <w:tcW w:w="75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Issuance of common shares - public offering</w:t>
            </w:r>
          </w:p>
        </w:tc>
        <w:tc>
          <w:tcPr>
            <w:tcW w:w="1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775</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88</w:t>
            </w:r>
          </w:p>
        </w:tc>
      </w:tr>
      <w:tr>
        <w:trPr>
          <w:trHeight w:val="189"/>
        </w:trPr>
        <w:tc>
          <w:tcPr>
            <w:tcW w:w="7540" w:type="dxa"/>
            <w:vAlign w:val="bottom"/>
          </w:tcPr>
          <w:p>
            <w:pPr>
              <w:ind w:left="360"/>
              <w:spacing w:after="0"/>
              <w:rPr>
                <w:sz w:val="20"/>
                <w:szCs w:val="20"/>
                <w:color w:val="auto"/>
              </w:rPr>
            </w:pPr>
            <w:r>
              <w:rPr>
                <w:rFonts w:ascii="Arial" w:cs="Arial" w:eastAsia="Arial" w:hAnsi="Arial"/>
                <w:sz w:val="14"/>
                <w:szCs w:val="14"/>
                <w:color w:val="auto"/>
              </w:rPr>
              <w:t>Issuance of common shares for stock plans</w:t>
            </w:r>
          </w:p>
        </w:tc>
        <w:tc>
          <w:tcPr>
            <w:tcW w:w="1860" w:type="dxa"/>
            <w:vAlign w:val="bottom"/>
          </w:tcPr>
          <w:p>
            <w:pPr>
              <w:jc w:val="right"/>
              <w:spacing w:after="0"/>
              <w:rPr>
                <w:sz w:val="20"/>
                <w:szCs w:val="20"/>
                <w:color w:val="auto"/>
              </w:rPr>
            </w:pPr>
            <w:r>
              <w:rPr>
                <w:rFonts w:ascii="Arial" w:cs="Arial" w:eastAsia="Arial" w:hAnsi="Arial"/>
                <w:sz w:val="14"/>
                <w:szCs w:val="14"/>
                <w:color w:val="auto"/>
              </w:rPr>
              <w:t>30</w:t>
            </w:r>
          </w:p>
        </w:tc>
        <w:tc>
          <w:tcPr>
            <w:tcW w:w="18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89"/>
        </w:trPr>
        <w:tc>
          <w:tcPr>
            <w:tcW w:w="75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Distribution to noncontrolling interest</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7540" w:type="dxa"/>
            <w:vAlign w:val="bottom"/>
            <w:tcBorders>
              <w:bottom w:val="single" w:sz="8" w:color="8C8272"/>
            </w:tcBorders>
          </w:tcPr>
          <w:p>
            <w:pPr>
              <w:ind w:left="360"/>
              <w:spacing w:after="0"/>
              <w:rPr>
                <w:sz w:val="20"/>
                <w:szCs w:val="20"/>
                <w:color w:val="auto"/>
              </w:rPr>
            </w:pPr>
            <w:r>
              <w:rPr>
                <w:rFonts w:ascii="Arial" w:cs="Arial" w:eastAsia="Arial" w:hAnsi="Arial"/>
                <w:sz w:val="14"/>
                <w:szCs w:val="14"/>
                <w:color w:val="auto"/>
              </w:rPr>
              <w:t>Sale of equity interest</w:t>
            </w:r>
          </w:p>
        </w:tc>
        <w:tc>
          <w:tcPr>
            <w:tcW w:w="18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92</w:t>
            </w:r>
          </w:p>
        </w:tc>
        <w:tc>
          <w:tcPr>
            <w:tcW w:w="18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540" w:type="dxa"/>
            <w:vAlign w:val="bottom"/>
            <w:tcBorders>
              <w:bottom w:val="single" w:sz="8" w:color="8C8272"/>
            </w:tcBorders>
            <w:shd w:val="clear" w:color="auto" w:fill="DBDBDB"/>
          </w:tcPr>
          <w:p>
            <w:pPr>
              <w:ind w:left="20"/>
              <w:spacing w:after="0"/>
              <w:rPr>
                <w:sz w:val="20"/>
                <w:szCs w:val="20"/>
                <w:color w:val="auto"/>
              </w:rPr>
            </w:pPr>
            <w:r>
              <w:rPr>
                <w:rFonts w:ascii="Arial" w:cs="Arial" w:eastAsia="Arial" w:hAnsi="Arial"/>
                <w:sz w:val="14"/>
                <w:szCs w:val="14"/>
                <w:color w:val="auto"/>
              </w:rPr>
              <w:t>NET CASH FLOWS FROM FINANCING ACTIVITIES</w:t>
            </w:r>
          </w:p>
        </w:tc>
        <w:tc>
          <w:tcPr>
            <w:tcW w:w="186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349</w:t>
            </w:r>
          </w:p>
        </w:tc>
        <w:tc>
          <w:tcPr>
            <w:tcW w:w="184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880</w:t>
            </w:r>
          </w:p>
        </w:tc>
      </w:tr>
      <w:tr>
        <w:trPr>
          <w:trHeight w:val="183"/>
        </w:trPr>
        <w:tc>
          <w:tcPr>
            <w:tcW w:w="7540" w:type="dxa"/>
            <w:vAlign w:val="bottom"/>
          </w:tcPr>
          <w:p>
            <w:pPr>
              <w:ind w:left="20"/>
              <w:spacing w:after="0"/>
              <w:rPr>
                <w:sz w:val="20"/>
                <w:szCs w:val="20"/>
                <w:color w:val="auto"/>
              </w:rPr>
            </w:pPr>
            <w:r>
              <w:rPr>
                <w:rFonts w:ascii="Arial" w:cs="Arial" w:eastAsia="Arial" w:hAnsi="Arial"/>
                <w:sz w:val="14"/>
                <w:szCs w:val="14"/>
                <w:color w:val="auto"/>
              </w:rPr>
              <w:t>CASH, TEMPORARY CASH INVESTMENTS, AND RESTRICTED CASH:</w:t>
            </w:r>
          </w:p>
        </w:tc>
        <w:tc>
          <w:tcPr>
            <w:tcW w:w="186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9"/>
        </w:trPr>
        <w:tc>
          <w:tcPr>
            <w:tcW w:w="7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CHANGE FOR THE PERIOD</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(258)</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128</w:t>
            </w:r>
          </w:p>
        </w:tc>
      </w:tr>
      <w:tr>
        <w:trPr>
          <w:trHeight w:val="189"/>
        </w:trPr>
        <w:tc>
          <w:tcPr>
            <w:tcW w:w="7540" w:type="dxa"/>
            <w:vAlign w:val="bottom"/>
            <w:tcBorders>
              <w:bottom w:val="single" w:sz="8" w:color="828282"/>
            </w:tcBorders>
          </w:tcPr>
          <w:p>
            <w:pPr>
              <w:ind w:left="20"/>
              <w:spacing w:after="0"/>
              <w:rPr>
                <w:sz w:val="20"/>
                <w:szCs w:val="20"/>
                <w:color w:val="auto"/>
              </w:rPr>
            </w:pPr>
            <w:r>
              <w:rPr>
                <w:rFonts w:ascii="Arial" w:cs="Arial" w:eastAsia="Arial" w:hAnsi="Arial"/>
                <w:sz w:val="14"/>
                <w:szCs w:val="14"/>
                <w:color w:val="auto"/>
              </w:rPr>
              <w:t>BALANCE AT BEGINNING OF PERIOD</w:t>
            </w:r>
          </w:p>
        </w:tc>
        <w:tc>
          <w:tcPr>
            <w:tcW w:w="186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1,436</w:t>
            </w:r>
          </w:p>
        </w:tc>
        <w:tc>
          <w:tcPr>
            <w:tcW w:w="184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1,217</w:t>
            </w:r>
          </w:p>
        </w:tc>
      </w:tr>
      <w:tr>
        <w:trPr>
          <w:trHeight w:val="183"/>
        </w:trPr>
        <w:tc>
          <w:tcPr>
            <w:tcW w:w="7540" w:type="dxa"/>
            <w:vAlign w:val="bottom"/>
            <w:tcBorders>
              <w:bottom w:val="single" w:sz="8" w:color="828282"/>
            </w:tcBorders>
            <w:shd w:val="clear" w:color="auto" w:fill="DBDBDB"/>
          </w:tcPr>
          <w:p>
            <w:pPr>
              <w:ind w:left="20"/>
              <w:spacing w:after="0"/>
              <w:rPr>
                <w:sz w:val="20"/>
                <w:szCs w:val="20"/>
                <w:color w:val="auto"/>
              </w:rPr>
            </w:pPr>
            <w:r>
              <w:rPr>
                <w:rFonts w:ascii="Arial" w:cs="Arial" w:eastAsia="Arial" w:hAnsi="Arial"/>
                <w:sz w:val="14"/>
                <w:szCs w:val="14"/>
                <w:color w:val="auto"/>
              </w:rPr>
              <w:t>BALANCE AT END OF PERIOD</w:t>
            </w:r>
          </w:p>
        </w:tc>
        <w:tc>
          <w:tcPr>
            <w:tcW w:w="186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$1,178</w:t>
            </w:r>
          </w:p>
        </w:tc>
        <w:tc>
          <w:tcPr>
            <w:tcW w:w="184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$1,345</w:t>
            </w:r>
          </w:p>
        </w:tc>
      </w:tr>
      <w:tr>
        <w:trPr>
          <w:trHeight w:val="183"/>
        </w:trPr>
        <w:tc>
          <w:tcPr>
            <w:tcW w:w="7540" w:type="dxa"/>
            <w:vAlign w:val="bottom"/>
          </w:tcPr>
          <w:p>
            <w:pPr>
              <w:ind w:left="20"/>
              <w:spacing w:after="0"/>
              <w:rPr>
                <w:sz w:val="20"/>
                <w:szCs w:val="20"/>
                <w:color w:val="auto"/>
              </w:rPr>
            </w:pPr>
            <w:r>
              <w:rPr>
                <w:rFonts w:ascii="Arial" w:cs="Arial" w:eastAsia="Arial" w:hAnsi="Arial"/>
                <w:sz w:val="14"/>
                <w:szCs w:val="14"/>
                <w:color w:val="auto"/>
              </w:rPr>
              <w:t>SUPPLEMENTAL DISCLOSURE OF CASH INFORMATION</w:t>
            </w:r>
          </w:p>
        </w:tc>
        <w:tc>
          <w:tcPr>
            <w:tcW w:w="186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9"/>
        </w:trPr>
        <w:tc>
          <w:tcPr>
            <w:tcW w:w="754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Cash paid/(received) during the period for:</w:t>
            </w:r>
          </w:p>
        </w:tc>
        <w:tc>
          <w:tcPr>
            <w:tcW w:w="1860" w:type="dxa"/>
            <w:vAlign w:val="bottom"/>
            <w:shd w:val="clear" w:color="auto" w:fill="DBDBDB"/>
          </w:tcPr>
          <w:p>
            <w:pPr>
              <w:spacing w:after="0"/>
              <w:rPr>
                <w:sz w:val="16"/>
                <w:szCs w:val="16"/>
                <w:color w:val="auto"/>
              </w:rPr>
            </w:pPr>
          </w:p>
        </w:tc>
        <w:tc>
          <w:tcPr>
            <w:tcW w:w="1840" w:type="dxa"/>
            <w:vAlign w:val="bottom"/>
            <w:shd w:val="clear" w:color="auto" w:fill="DBDBDB"/>
          </w:tcPr>
          <w:p>
            <w:pPr>
              <w:spacing w:after="0"/>
              <w:rPr>
                <w:sz w:val="16"/>
                <w:szCs w:val="16"/>
                <w:color w:val="auto"/>
              </w:rPr>
            </w:pPr>
          </w:p>
        </w:tc>
      </w:tr>
      <w:tr>
        <w:trPr>
          <w:trHeight w:val="189"/>
        </w:trPr>
        <w:tc>
          <w:tcPr>
            <w:tcW w:w="7540" w:type="dxa"/>
            <w:vAlign w:val="bottom"/>
          </w:tcPr>
          <w:p>
            <w:pPr>
              <w:ind w:left="560"/>
              <w:spacing w:after="0"/>
              <w:rPr>
                <w:sz w:val="20"/>
                <w:szCs w:val="20"/>
                <w:color w:val="auto"/>
              </w:rPr>
            </w:pPr>
            <w:r>
              <w:rPr>
                <w:rFonts w:ascii="Arial" w:cs="Arial" w:eastAsia="Arial" w:hAnsi="Arial"/>
                <w:sz w:val="14"/>
                <w:szCs w:val="14"/>
                <w:color w:val="auto"/>
              </w:rPr>
              <w:t>Interest</w:t>
            </w:r>
          </w:p>
        </w:tc>
        <w:tc>
          <w:tcPr>
            <w:tcW w:w="1860" w:type="dxa"/>
            <w:vAlign w:val="bottom"/>
          </w:tcPr>
          <w:p>
            <w:pPr>
              <w:jc w:val="right"/>
              <w:spacing w:after="0"/>
              <w:rPr>
                <w:sz w:val="20"/>
                <w:szCs w:val="20"/>
                <w:color w:val="auto"/>
              </w:rPr>
            </w:pPr>
            <w:r>
              <w:rPr>
                <w:rFonts w:ascii="Arial" w:cs="Arial" w:eastAsia="Arial" w:hAnsi="Arial"/>
                <w:sz w:val="14"/>
                <w:szCs w:val="14"/>
                <w:color w:val="auto"/>
              </w:rPr>
              <w:t>$453</w:t>
            </w:r>
          </w:p>
        </w:tc>
        <w:tc>
          <w:tcPr>
            <w:tcW w:w="1840" w:type="dxa"/>
            <w:vAlign w:val="bottom"/>
          </w:tcPr>
          <w:p>
            <w:pPr>
              <w:jc w:val="right"/>
              <w:spacing w:after="0"/>
              <w:rPr>
                <w:sz w:val="20"/>
                <w:szCs w:val="20"/>
                <w:color w:val="auto"/>
              </w:rPr>
            </w:pPr>
            <w:r>
              <w:rPr>
                <w:rFonts w:ascii="Arial" w:cs="Arial" w:eastAsia="Arial" w:hAnsi="Arial"/>
                <w:sz w:val="14"/>
                <w:szCs w:val="14"/>
                <w:color w:val="auto"/>
              </w:rPr>
              <w:t>$420</w:t>
            </w:r>
          </w:p>
        </w:tc>
      </w:tr>
      <w:tr>
        <w:trPr>
          <w:trHeight w:val="189"/>
        </w:trPr>
        <w:tc>
          <w:tcPr>
            <w:tcW w:w="7540" w:type="dxa"/>
            <w:vAlign w:val="bottom"/>
            <w:shd w:val="clear" w:color="auto" w:fill="DBDBDB"/>
          </w:tcPr>
          <w:p>
            <w:pPr>
              <w:ind w:left="560"/>
              <w:spacing w:after="0"/>
              <w:rPr>
                <w:sz w:val="20"/>
                <w:szCs w:val="20"/>
                <w:color w:val="auto"/>
              </w:rPr>
            </w:pPr>
            <w:r>
              <w:rPr>
                <w:rFonts w:ascii="Arial" w:cs="Arial" w:eastAsia="Arial" w:hAnsi="Arial"/>
                <w:sz w:val="14"/>
                <w:szCs w:val="14"/>
                <w:color w:val="auto"/>
              </w:rPr>
              <w:t>Income taxes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SUPPLEMENTAL DISCLOSURE OF NON-CASH INFORMATION</w:t>
            </w:r>
          </w:p>
        </w:tc>
        <w:tc>
          <w:tcPr>
            <w:tcW w:w="18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9"/>
        </w:trPr>
        <w:tc>
          <w:tcPr>
            <w:tcW w:w="7540" w:type="dxa"/>
            <w:vAlign w:val="bottom"/>
            <w:shd w:val="clear" w:color="auto" w:fill="DBDBDB"/>
          </w:tcPr>
          <w:p>
            <w:pPr>
              <w:ind w:left="560"/>
              <w:spacing w:after="0"/>
              <w:rPr>
                <w:sz w:val="20"/>
                <w:szCs w:val="20"/>
                <w:color w:val="auto"/>
              </w:rPr>
            </w:pPr>
            <w:r>
              <w:rPr>
                <w:rFonts w:ascii="Arial" w:cs="Arial" w:eastAsia="Arial" w:hAnsi="Arial"/>
                <w:sz w:val="14"/>
                <w:szCs w:val="14"/>
                <w:color w:val="auto"/>
              </w:rPr>
              <w:t>Construction expenditures in accounts payable</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$365</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$359</w:t>
            </w:r>
          </w:p>
        </w:tc>
      </w:tr>
      <w:tr>
        <w:trPr>
          <w:trHeight w:val="189"/>
        </w:trPr>
        <w:tc>
          <w:tcPr>
            <w:tcW w:w="7540" w:type="dxa"/>
            <w:vAlign w:val="bottom"/>
          </w:tcPr>
          <w:p>
            <w:pPr>
              <w:ind w:left="560"/>
              <w:spacing w:after="0"/>
              <w:rPr>
                <w:sz w:val="20"/>
                <w:szCs w:val="20"/>
                <w:color w:val="auto"/>
              </w:rPr>
            </w:pPr>
            <w:r>
              <w:rPr>
                <w:rFonts w:ascii="Arial" w:cs="Arial" w:eastAsia="Arial" w:hAnsi="Arial"/>
                <w:sz w:val="14"/>
                <w:szCs w:val="14"/>
                <w:color w:val="auto"/>
              </w:rPr>
              <w:t>Issuance of common shares for dividend reinvestment</w:t>
            </w:r>
          </w:p>
        </w:tc>
        <w:tc>
          <w:tcPr>
            <w:tcW w:w="1860" w:type="dxa"/>
            <w:vAlign w:val="bottom"/>
          </w:tcPr>
          <w:p>
            <w:pPr>
              <w:jc w:val="right"/>
              <w:spacing w:after="0"/>
              <w:rPr>
                <w:sz w:val="20"/>
                <w:szCs w:val="20"/>
                <w:color w:val="auto"/>
              </w:rPr>
            </w:pPr>
            <w:r>
              <w:rPr>
                <w:rFonts w:ascii="Arial" w:cs="Arial" w:eastAsia="Arial" w:hAnsi="Arial"/>
                <w:sz w:val="14"/>
                <w:szCs w:val="14"/>
                <w:color w:val="auto"/>
              </w:rPr>
              <w:t>$24</w:t>
            </w:r>
          </w:p>
        </w:tc>
        <w:tc>
          <w:tcPr>
            <w:tcW w:w="18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89"/>
        </w:trPr>
        <w:tc>
          <w:tcPr>
            <w:tcW w:w="7540" w:type="dxa"/>
            <w:vAlign w:val="bottom"/>
            <w:shd w:val="clear" w:color="auto" w:fill="DBDBDB"/>
          </w:tcPr>
          <w:p>
            <w:pPr>
              <w:ind w:left="560"/>
              <w:spacing w:after="0"/>
              <w:rPr>
                <w:sz w:val="20"/>
                <w:szCs w:val="20"/>
                <w:color w:val="auto"/>
              </w:rPr>
            </w:pPr>
            <w:r>
              <w:rPr>
                <w:rFonts w:ascii="Arial" w:cs="Arial" w:eastAsia="Arial" w:hAnsi="Arial"/>
                <w:sz w:val="14"/>
                <w:szCs w:val="14"/>
                <w:color w:val="auto"/>
              </w:rPr>
              <w:t>Software licenses acquired but unpaid as of end of period</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w:t>
            </w:r>
          </w:p>
        </w:tc>
      </w:tr>
      <w:tr>
        <w:trPr>
          <w:trHeight w:val="189"/>
        </w:trPr>
        <w:tc>
          <w:tcPr>
            <w:tcW w:w="7540" w:type="dxa"/>
            <w:vAlign w:val="bottom"/>
            <w:tcBorders>
              <w:bottom w:val="single" w:sz="8" w:color="8C8272"/>
            </w:tcBorders>
          </w:tcPr>
          <w:p>
            <w:pPr>
              <w:ind w:left="560"/>
              <w:spacing w:after="0"/>
              <w:rPr>
                <w:sz w:val="20"/>
                <w:szCs w:val="20"/>
                <w:color w:val="auto"/>
              </w:rPr>
            </w:pPr>
            <w:r>
              <w:rPr>
                <w:rFonts w:ascii="Arial" w:cs="Arial" w:eastAsia="Arial" w:hAnsi="Arial"/>
                <w:sz w:val="14"/>
                <w:szCs w:val="14"/>
                <w:color w:val="auto"/>
              </w:rPr>
              <w:t>Equipment acquired but unpaid as of end of period</w:t>
            </w:r>
          </w:p>
        </w:tc>
        <w:tc>
          <w:tcPr>
            <w:tcW w:w="18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$22</w:t>
            </w:r>
          </w:p>
        </w:tc>
        <w:tc>
          <w:tcPr>
            <w:tcW w:w="18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$28</w:t>
            </w:r>
          </w:p>
        </w:tc>
      </w:tr>
    </w:tbl>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The accompanying notes are an integral part of these financial statements.</w:t>
      </w:r>
    </w:p>
    <w:p>
      <w:pPr>
        <w:sectPr>
          <w:pgSz w:w="11900" w:h="16838" w:orient="portrait"/>
          <w:cols w:equalWidth="0" w:num="1">
            <w:col w:w="11240"/>
          </w:cols>
          <w:pgMar w:left="320" w:top="985" w:right="339" w:bottom="1076" w:gutter="0" w:footer="0" w:header="0"/>
        </w:sectPr>
      </w:pPr>
    </w:p>
    <w:p>
      <w:pPr>
        <w:spacing w:after="0" w:line="200" w:lineRule="exact"/>
        <w:rPr>
          <w:sz w:val="20"/>
          <w:szCs w:val="20"/>
          <w:color w:val="auto"/>
        </w:rPr>
      </w:pPr>
    </w:p>
    <w:p>
      <w:pPr>
        <w:spacing w:after="0" w:line="38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076" w:gutter="0" w:footer="0" w:header="0"/>
          <w:type w:val="continuous"/>
        </w:sectPr>
      </w:pPr>
    </w:p>
    <w:bookmarkStart w:id="9" w:name="page10"/>
    <w:bookmarkEnd w:id="9"/>
    <w:p>
      <w:pPr>
        <w:spacing w:after="0"/>
        <w:rPr>
          <w:sz w:val="20"/>
          <w:szCs w:val="20"/>
          <w:color w:val="auto"/>
        </w:rPr>
      </w:pPr>
      <w:r>
        <w:rPr>
          <w:rFonts w:ascii="Arial" w:cs="Arial" w:eastAsia="Arial" w:hAnsi="Arial"/>
          <w:sz w:val="22"/>
          <w:szCs w:val="22"/>
          <w:b w:val="1"/>
          <w:bCs w:val="1"/>
          <w:color w:val="8C8272"/>
        </w:rPr>
        <w:t>Consolidated Edison,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 (UNAUDITED)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280" w:type="dxa"/>
            <w:vAlign w:val="bottom"/>
          </w:tcPr>
          <w:p>
            <w:pPr>
              <w:jc w:val="right"/>
              <w:ind w:right="128"/>
              <w:spacing w:after="0"/>
              <w:rPr>
                <w:sz w:val="20"/>
                <w:szCs w:val="20"/>
                <w:color w:val="auto"/>
              </w:rPr>
            </w:pPr>
            <w:r>
              <w:rPr>
                <w:rFonts w:ascii="Arial" w:cs="Arial" w:eastAsia="Arial" w:hAnsi="Arial"/>
                <w:sz w:val="14"/>
                <w:szCs w:val="14"/>
                <w:b w:val="1"/>
                <w:bCs w:val="1"/>
                <w:color w:val="auto"/>
              </w:rPr>
              <w:t>June 30,</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760" w:type="dxa"/>
            <w:vAlign w:val="bottom"/>
            <w:tcBorders>
              <w:bottom w:val="single" w:sz="8" w:color="8C8272"/>
            </w:tcBorders>
            <w:vMerge w:val="continue"/>
          </w:tcPr>
          <w:p>
            <w:pPr>
              <w:spacing w:after="0"/>
              <w:rPr>
                <w:sz w:val="15"/>
                <w:szCs w:val="15"/>
                <w:color w:val="auto"/>
              </w:rPr>
            </w:pPr>
          </w:p>
        </w:tc>
        <w:tc>
          <w:tcPr>
            <w:tcW w:w="128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760" w:type="dxa"/>
            <w:vAlign w:val="bottom"/>
          </w:tcPr>
          <w:p>
            <w:pPr>
              <w:ind w:left="20"/>
              <w:spacing w:after="0"/>
              <w:rPr>
                <w:sz w:val="20"/>
                <w:szCs w:val="20"/>
                <w:color w:val="auto"/>
              </w:rPr>
            </w:pPr>
            <w:r>
              <w:rPr>
                <w:rFonts w:ascii="Arial" w:cs="Arial" w:eastAsia="Arial" w:hAnsi="Arial"/>
                <w:sz w:val="14"/>
                <w:szCs w:val="14"/>
                <w:color w:val="auto"/>
              </w:rPr>
              <w:t>ASSETS</w:t>
            </w: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60" w:type="dxa"/>
            <w:vAlign w:val="bottom"/>
            <w:shd w:val="clear" w:color="auto" w:fill="E5E5E5"/>
          </w:tcPr>
          <w:p>
            <w:pPr>
              <w:ind w:left="20"/>
              <w:spacing w:after="0"/>
              <w:rPr>
                <w:sz w:val="20"/>
                <w:szCs w:val="20"/>
                <w:color w:val="auto"/>
              </w:rPr>
            </w:pPr>
            <w:r>
              <w:rPr>
                <w:rFonts w:ascii="Arial" w:cs="Arial" w:eastAsia="Arial" w:hAnsi="Arial"/>
                <w:sz w:val="14"/>
                <w:szCs w:val="14"/>
                <w:color w:val="auto"/>
              </w:rPr>
              <w:t>CURRENT ASSETS</w:t>
            </w:r>
          </w:p>
        </w:tc>
        <w:tc>
          <w:tcPr>
            <w:tcW w:w="128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760" w:type="dxa"/>
            <w:vAlign w:val="bottom"/>
          </w:tcPr>
          <w:p>
            <w:pPr>
              <w:ind w:left="140"/>
              <w:spacing w:after="0"/>
              <w:rPr>
                <w:sz w:val="20"/>
                <w:szCs w:val="20"/>
                <w:color w:val="auto"/>
              </w:rPr>
            </w:pPr>
            <w:r>
              <w:rPr>
                <w:rFonts w:ascii="Arial" w:cs="Arial" w:eastAsia="Arial" w:hAnsi="Arial"/>
                <w:sz w:val="14"/>
                <w:szCs w:val="14"/>
                <w:color w:val="auto"/>
              </w:rPr>
              <w:t>Cash and temporary cash investments</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$1,067</w:t>
            </w:r>
          </w:p>
        </w:tc>
        <w:tc>
          <w:tcPr>
            <w:tcW w:w="1160" w:type="dxa"/>
            <w:vAlign w:val="bottom"/>
          </w:tcPr>
          <w:p>
            <w:pPr>
              <w:jc w:val="right"/>
              <w:spacing w:after="0"/>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189"/>
        </w:trPr>
        <w:tc>
          <w:tcPr>
            <w:tcW w:w="8760" w:type="dxa"/>
            <w:vAlign w:val="bottom"/>
            <w:shd w:val="clear" w:color="auto" w:fill="E5E5E5"/>
          </w:tcPr>
          <w:p>
            <w:pPr>
              <w:ind w:left="300"/>
              <w:spacing w:after="0"/>
              <w:rPr>
                <w:sz w:val="20"/>
                <w:szCs w:val="20"/>
                <w:color w:val="auto"/>
              </w:rPr>
            </w:pPr>
            <w:r>
              <w:rPr>
                <w:rFonts w:ascii="Arial" w:cs="Arial" w:eastAsia="Arial" w:hAnsi="Arial"/>
                <w:sz w:val="14"/>
                <w:szCs w:val="14"/>
                <w:color w:val="auto"/>
              </w:rPr>
              <w:t>Accounts receivable – customers, less allowance for uncollectible accounts of $275 and $148 in 2021 and 2020, respectively</w:t>
            </w:r>
          </w:p>
        </w:tc>
        <w:tc>
          <w:tcPr>
            <w:tcW w:w="12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1,709</w:t>
            </w: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1,701</w:t>
            </w:r>
          </w:p>
        </w:tc>
        <w:tc>
          <w:tcPr>
            <w:tcW w:w="0" w:type="dxa"/>
            <w:vAlign w:val="bottom"/>
          </w:tcPr>
          <w:p>
            <w:pPr>
              <w:spacing w:after="0"/>
              <w:rPr>
                <w:sz w:val="1"/>
                <w:szCs w:val="1"/>
                <w:color w:val="auto"/>
              </w:rPr>
            </w:pPr>
          </w:p>
        </w:tc>
      </w:tr>
      <w:tr>
        <w:trPr>
          <w:trHeight w:val="189"/>
        </w:trPr>
        <w:tc>
          <w:tcPr>
            <w:tcW w:w="8760" w:type="dxa"/>
            <w:vAlign w:val="bottom"/>
          </w:tcPr>
          <w:p>
            <w:pPr>
              <w:ind w:left="300"/>
              <w:spacing w:after="0"/>
              <w:rPr>
                <w:sz w:val="20"/>
                <w:szCs w:val="20"/>
                <w:color w:val="auto"/>
              </w:rPr>
            </w:pPr>
            <w:r>
              <w:rPr>
                <w:rFonts w:ascii="Arial" w:cs="Arial" w:eastAsia="Arial" w:hAnsi="Arial"/>
                <w:sz w:val="14"/>
                <w:szCs w:val="14"/>
                <w:color w:val="auto"/>
              </w:rPr>
              <w:t>Other receivables, less allowance for uncollectible accounts of $7 in 2021 and 2020</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247</w:t>
            </w:r>
          </w:p>
        </w:tc>
        <w:tc>
          <w:tcPr>
            <w:tcW w:w="1160" w:type="dxa"/>
            <w:vAlign w:val="bottom"/>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89"/>
        </w:trPr>
        <w:tc>
          <w:tcPr>
            <w:tcW w:w="87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Taxes receivable</w:t>
            </w:r>
          </w:p>
        </w:tc>
        <w:tc>
          <w:tcPr>
            <w:tcW w:w="12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12</w:t>
            </w: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8760" w:type="dxa"/>
            <w:vAlign w:val="bottom"/>
          </w:tcPr>
          <w:p>
            <w:pPr>
              <w:ind w:left="140"/>
              <w:spacing w:after="0"/>
              <w:rPr>
                <w:sz w:val="20"/>
                <w:szCs w:val="20"/>
                <w:color w:val="auto"/>
              </w:rPr>
            </w:pPr>
            <w:r>
              <w:rPr>
                <w:rFonts w:ascii="Arial" w:cs="Arial" w:eastAsia="Arial" w:hAnsi="Arial"/>
                <w:sz w:val="14"/>
                <w:szCs w:val="14"/>
                <w:color w:val="auto"/>
              </w:rPr>
              <w:t>Accrued unbilled revenue</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640</w:t>
            </w:r>
          </w:p>
        </w:tc>
        <w:tc>
          <w:tcPr>
            <w:tcW w:w="1160" w:type="dxa"/>
            <w:vAlign w:val="bottom"/>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189"/>
        </w:trPr>
        <w:tc>
          <w:tcPr>
            <w:tcW w:w="87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Fuel oil, gas in storage, materials and supplies, at average cost</w:t>
            </w:r>
          </w:p>
        </w:tc>
        <w:tc>
          <w:tcPr>
            <w:tcW w:w="12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360</w:t>
            </w: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89"/>
        </w:trPr>
        <w:tc>
          <w:tcPr>
            <w:tcW w:w="8760" w:type="dxa"/>
            <w:vAlign w:val="bottom"/>
          </w:tcPr>
          <w:p>
            <w:pPr>
              <w:ind w:left="140"/>
              <w:spacing w:after="0"/>
              <w:rPr>
                <w:sz w:val="20"/>
                <w:szCs w:val="20"/>
                <w:color w:val="auto"/>
              </w:rPr>
            </w:pPr>
            <w:r>
              <w:rPr>
                <w:rFonts w:ascii="Arial" w:cs="Arial" w:eastAsia="Arial" w:hAnsi="Arial"/>
                <w:sz w:val="14"/>
                <w:szCs w:val="14"/>
                <w:color w:val="auto"/>
              </w:rPr>
              <w:t>Prepayments</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255</w:t>
            </w:r>
          </w:p>
        </w:tc>
        <w:tc>
          <w:tcPr>
            <w:tcW w:w="1160" w:type="dxa"/>
            <w:vAlign w:val="bottom"/>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89"/>
        </w:trPr>
        <w:tc>
          <w:tcPr>
            <w:tcW w:w="87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Regulatory assets</w:t>
            </w:r>
          </w:p>
        </w:tc>
        <w:tc>
          <w:tcPr>
            <w:tcW w:w="12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184</w:t>
            </w: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89"/>
        </w:trPr>
        <w:tc>
          <w:tcPr>
            <w:tcW w:w="876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111</w:t>
            </w:r>
          </w:p>
        </w:tc>
        <w:tc>
          <w:tcPr>
            <w:tcW w:w="116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89"/>
        </w:trPr>
        <w:tc>
          <w:tcPr>
            <w:tcW w:w="87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Revenue decoupling mechanism receivable</w:t>
            </w:r>
          </w:p>
        </w:tc>
        <w:tc>
          <w:tcPr>
            <w:tcW w:w="12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199</w:t>
            </w: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9"/>
        </w:trPr>
        <w:tc>
          <w:tcPr>
            <w:tcW w:w="8760" w:type="dxa"/>
            <w:vAlign w:val="bottom"/>
            <w:tcBorders>
              <w:bottom w:val="single" w:sz="8" w:color="8C8272"/>
            </w:tcBorders>
          </w:tcPr>
          <w:p>
            <w:pPr>
              <w:ind w:left="140"/>
              <w:spacing w:after="0"/>
              <w:rPr>
                <w:sz w:val="20"/>
                <w:szCs w:val="20"/>
                <w:color w:val="auto"/>
              </w:rPr>
            </w:pPr>
            <w:r>
              <w:rPr>
                <w:rFonts w:ascii="Arial" w:cs="Arial" w:eastAsia="Arial" w:hAnsi="Arial"/>
                <w:sz w:val="14"/>
                <w:szCs w:val="14"/>
                <w:color w:val="auto"/>
              </w:rPr>
              <w:t>Other current assets</w:t>
            </w:r>
          </w:p>
        </w:tc>
        <w:tc>
          <w:tcPr>
            <w:tcW w:w="128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color w:val="auto"/>
              </w:rPr>
              <w:t>326</w:t>
            </w:r>
          </w:p>
        </w:tc>
        <w:tc>
          <w:tcPr>
            <w:tcW w:w="11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83"/>
        </w:trPr>
        <w:tc>
          <w:tcPr>
            <w:tcW w:w="876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TOTAL CURRENT ASSETS</w:t>
            </w:r>
          </w:p>
        </w:tc>
        <w:tc>
          <w:tcPr>
            <w:tcW w:w="128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5,110</w:t>
            </w:r>
          </w:p>
        </w:tc>
        <w:tc>
          <w:tcPr>
            <w:tcW w:w="11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5,301</w:t>
            </w:r>
          </w:p>
        </w:tc>
        <w:tc>
          <w:tcPr>
            <w:tcW w:w="0" w:type="dxa"/>
            <w:vAlign w:val="bottom"/>
          </w:tcPr>
          <w:p>
            <w:pPr>
              <w:spacing w:after="0"/>
              <w:rPr>
                <w:sz w:val="1"/>
                <w:szCs w:val="1"/>
                <w:color w:val="auto"/>
              </w:rPr>
            </w:pPr>
          </w:p>
        </w:tc>
      </w:tr>
      <w:tr>
        <w:trPr>
          <w:trHeight w:val="183"/>
        </w:trPr>
        <w:tc>
          <w:tcPr>
            <w:tcW w:w="87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INVESTMENTS</w:t>
            </w:r>
          </w:p>
        </w:tc>
        <w:tc>
          <w:tcPr>
            <w:tcW w:w="128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color w:val="auto"/>
              </w:rPr>
              <w:t>1,688</w:t>
            </w:r>
          </w:p>
        </w:tc>
        <w:tc>
          <w:tcPr>
            <w:tcW w:w="11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1,816</w:t>
            </w:r>
          </w:p>
        </w:tc>
        <w:tc>
          <w:tcPr>
            <w:tcW w:w="0" w:type="dxa"/>
            <w:vAlign w:val="bottom"/>
          </w:tcPr>
          <w:p>
            <w:pPr>
              <w:spacing w:after="0"/>
              <w:rPr>
                <w:sz w:val="1"/>
                <w:szCs w:val="1"/>
                <w:color w:val="auto"/>
              </w:rPr>
            </w:pPr>
          </w:p>
        </w:tc>
      </w:tr>
      <w:tr>
        <w:trPr>
          <w:trHeight w:val="183"/>
        </w:trPr>
        <w:tc>
          <w:tcPr>
            <w:tcW w:w="8760" w:type="dxa"/>
            <w:vAlign w:val="bottom"/>
            <w:shd w:val="clear" w:color="auto" w:fill="E5E5E5"/>
          </w:tcPr>
          <w:p>
            <w:pPr>
              <w:ind w:left="20"/>
              <w:spacing w:after="0"/>
              <w:rPr>
                <w:sz w:val="20"/>
                <w:szCs w:val="20"/>
                <w:color w:val="auto"/>
              </w:rPr>
            </w:pPr>
            <w:r>
              <w:rPr>
                <w:rFonts w:ascii="Arial" w:cs="Arial" w:eastAsia="Arial" w:hAnsi="Arial"/>
                <w:sz w:val="14"/>
                <w:szCs w:val="14"/>
                <w:color w:val="auto"/>
              </w:rPr>
              <w:t>UTILITY PLANT, AT ORIGINAL COST</w:t>
            </w:r>
          </w:p>
        </w:tc>
        <w:tc>
          <w:tcPr>
            <w:tcW w:w="1280" w:type="dxa"/>
            <w:vAlign w:val="bottom"/>
            <w:shd w:val="clear" w:color="auto" w:fill="E5E5E5"/>
          </w:tcPr>
          <w:p>
            <w:pPr>
              <w:spacing w:after="0"/>
              <w:rPr>
                <w:sz w:val="15"/>
                <w:szCs w:val="15"/>
                <w:color w:val="auto"/>
              </w:rPr>
            </w:pPr>
          </w:p>
        </w:tc>
        <w:tc>
          <w:tcPr>
            <w:tcW w:w="11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60" w:type="dxa"/>
            <w:vAlign w:val="bottom"/>
          </w:tcPr>
          <w:p>
            <w:pPr>
              <w:ind w:left="140"/>
              <w:spacing w:after="0"/>
              <w:rPr>
                <w:sz w:val="20"/>
                <w:szCs w:val="20"/>
                <w:color w:val="auto"/>
              </w:rPr>
            </w:pPr>
            <w:r>
              <w:rPr>
                <w:rFonts w:ascii="Arial" w:cs="Arial" w:eastAsia="Arial" w:hAnsi="Arial"/>
                <w:sz w:val="14"/>
                <w:szCs w:val="14"/>
                <w:color w:val="auto"/>
              </w:rPr>
              <w:t>Electric</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34,126</w:t>
            </w:r>
          </w:p>
        </w:tc>
        <w:tc>
          <w:tcPr>
            <w:tcW w:w="1160" w:type="dxa"/>
            <w:vAlign w:val="bottom"/>
          </w:tcPr>
          <w:p>
            <w:pPr>
              <w:jc w:val="right"/>
              <w:spacing w:after="0"/>
              <w:rPr>
                <w:sz w:val="20"/>
                <w:szCs w:val="20"/>
                <w:color w:val="auto"/>
              </w:rPr>
            </w:pPr>
            <w:r>
              <w:rPr>
                <w:rFonts w:ascii="Arial" w:cs="Arial" w:eastAsia="Arial" w:hAnsi="Arial"/>
                <w:sz w:val="14"/>
                <w:szCs w:val="14"/>
                <w:color w:val="auto"/>
              </w:rPr>
              <w:t>33,315</w:t>
            </w:r>
          </w:p>
        </w:tc>
        <w:tc>
          <w:tcPr>
            <w:tcW w:w="0" w:type="dxa"/>
            <w:vAlign w:val="bottom"/>
          </w:tcPr>
          <w:p>
            <w:pPr>
              <w:spacing w:after="0"/>
              <w:rPr>
                <w:sz w:val="1"/>
                <w:szCs w:val="1"/>
                <w:color w:val="auto"/>
              </w:rPr>
            </w:pPr>
          </w:p>
        </w:tc>
      </w:tr>
      <w:tr>
        <w:trPr>
          <w:trHeight w:val="189"/>
        </w:trPr>
        <w:tc>
          <w:tcPr>
            <w:tcW w:w="87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Gas</w:t>
            </w:r>
          </w:p>
        </w:tc>
        <w:tc>
          <w:tcPr>
            <w:tcW w:w="12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11,408</w:t>
            </w: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10,847</w:t>
            </w:r>
          </w:p>
        </w:tc>
        <w:tc>
          <w:tcPr>
            <w:tcW w:w="0" w:type="dxa"/>
            <w:vAlign w:val="bottom"/>
          </w:tcPr>
          <w:p>
            <w:pPr>
              <w:spacing w:after="0"/>
              <w:rPr>
                <w:sz w:val="1"/>
                <w:szCs w:val="1"/>
                <w:color w:val="auto"/>
              </w:rPr>
            </w:pPr>
          </w:p>
        </w:tc>
      </w:tr>
      <w:tr>
        <w:trPr>
          <w:trHeight w:val="189"/>
        </w:trPr>
        <w:tc>
          <w:tcPr>
            <w:tcW w:w="8760" w:type="dxa"/>
            <w:vAlign w:val="bottom"/>
          </w:tcPr>
          <w:p>
            <w:pPr>
              <w:ind w:left="140"/>
              <w:spacing w:after="0"/>
              <w:rPr>
                <w:sz w:val="20"/>
                <w:szCs w:val="20"/>
                <w:color w:val="auto"/>
              </w:rPr>
            </w:pPr>
            <w:r>
              <w:rPr>
                <w:rFonts w:ascii="Arial" w:cs="Arial" w:eastAsia="Arial" w:hAnsi="Arial"/>
                <w:sz w:val="14"/>
                <w:szCs w:val="14"/>
                <w:color w:val="auto"/>
              </w:rPr>
              <w:t>Steam</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2,741</w:t>
            </w:r>
          </w:p>
        </w:tc>
        <w:tc>
          <w:tcPr>
            <w:tcW w:w="1160" w:type="dxa"/>
            <w:vAlign w:val="bottom"/>
          </w:tcPr>
          <w:p>
            <w:pPr>
              <w:jc w:val="right"/>
              <w:spacing w:after="0"/>
              <w:rPr>
                <w:sz w:val="20"/>
                <w:szCs w:val="20"/>
                <w:color w:val="auto"/>
              </w:rPr>
            </w:pPr>
            <w:r>
              <w:rPr>
                <w:rFonts w:ascii="Arial" w:cs="Arial" w:eastAsia="Arial" w:hAnsi="Arial"/>
                <w:sz w:val="14"/>
                <w:szCs w:val="14"/>
                <w:color w:val="auto"/>
              </w:rPr>
              <w:t>2,696</w:t>
            </w:r>
          </w:p>
        </w:tc>
        <w:tc>
          <w:tcPr>
            <w:tcW w:w="0" w:type="dxa"/>
            <w:vAlign w:val="bottom"/>
          </w:tcPr>
          <w:p>
            <w:pPr>
              <w:spacing w:after="0"/>
              <w:rPr>
                <w:sz w:val="1"/>
                <w:szCs w:val="1"/>
                <w:color w:val="auto"/>
              </w:rPr>
            </w:pPr>
          </w:p>
        </w:tc>
      </w:tr>
      <w:tr>
        <w:trPr>
          <w:trHeight w:val="189"/>
        </w:trPr>
        <w:tc>
          <w:tcPr>
            <w:tcW w:w="876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General</w:t>
            </w:r>
          </w:p>
        </w:tc>
        <w:tc>
          <w:tcPr>
            <w:tcW w:w="128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4,018</w:t>
            </w:r>
          </w:p>
        </w:tc>
        <w:tc>
          <w:tcPr>
            <w:tcW w:w="11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3,880</w:t>
            </w:r>
          </w:p>
        </w:tc>
        <w:tc>
          <w:tcPr>
            <w:tcW w:w="0" w:type="dxa"/>
            <w:vAlign w:val="bottom"/>
          </w:tcPr>
          <w:p>
            <w:pPr>
              <w:spacing w:after="0"/>
              <w:rPr>
                <w:sz w:val="1"/>
                <w:szCs w:val="1"/>
                <w:color w:val="auto"/>
              </w:rPr>
            </w:pPr>
          </w:p>
        </w:tc>
      </w:tr>
      <w:tr>
        <w:trPr>
          <w:trHeight w:val="183"/>
        </w:trPr>
        <w:tc>
          <w:tcPr>
            <w:tcW w:w="8760" w:type="dxa"/>
            <w:vAlign w:val="bottom"/>
          </w:tcPr>
          <w:p>
            <w:pPr>
              <w:ind w:left="140"/>
              <w:spacing w:after="0"/>
              <w:rPr>
                <w:sz w:val="20"/>
                <w:szCs w:val="20"/>
                <w:color w:val="auto"/>
              </w:rPr>
            </w:pPr>
            <w:r>
              <w:rPr>
                <w:rFonts w:ascii="Arial" w:cs="Arial" w:eastAsia="Arial" w:hAnsi="Arial"/>
                <w:sz w:val="14"/>
                <w:szCs w:val="14"/>
                <w:color w:val="auto"/>
              </w:rPr>
              <w:t>TOTAL</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52,293</w:t>
            </w:r>
          </w:p>
        </w:tc>
        <w:tc>
          <w:tcPr>
            <w:tcW w:w="1160" w:type="dxa"/>
            <w:vAlign w:val="bottom"/>
          </w:tcPr>
          <w:p>
            <w:pPr>
              <w:jc w:val="right"/>
              <w:spacing w:after="0"/>
              <w:rPr>
                <w:sz w:val="20"/>
                <w:szCs w:val="20"/>
                <w:color w:val="auto"/>
              </w:rPr>
            </w:pPr>
            <w:r>
              <w:rPr>
                <w:rFonts w:ascii="Arial" w:cs="Arial" w:eastAsia="Arial" w:hAnsi="Arial"/>
                <w:sz w:val="14"/>
                <w:szCs w:val="14"/>
                <w:color w:val="auto"/>
              </w:rPr>
              <w:t>50,738</w:t>
            </w:r>
          </w:p>
        </w:tc>
        <w:tc>
          <w:tcPr>
            <w:tcW w:w="0" w:type="dxa"/>
            <w:vAlign w:val="bottom"/>
          </w:tcPr>
          <w:p>
            <w:pPr>
              <w:spacing w:after="0"/>
              <w:rPr>
                <w:sz w:val="1"/>
                <w:szCs w:val="1"/>
                <w:color w:val="auto"/>
              </w:rPr>
            </w:pPr>
          </w:p>
        </w:tc>
      </w:tr>
      <w:tr>
        <w:trPr>
          <w:trHeight w:val="189"/>
        </w:trPr>
        <w:tc>
          <w:tcPr>
            <w:tcW w:w="876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Less: Accumulated depreciation</w:t>
            </w:r>
          </w:p>
        </w:tc>
        <w:tc>
          <w:tcPr>
            <w:tcW w:w="128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11,690</w:t>
            </w:r>
          </w:p>
        </w:tc>
        <w:tc>
          <w:tcPr>
            <w:tcW w:w="11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11,188</w:t>
            </w:r>
          </w:p>
        </w:tc>
        <w:tc>
          <w:tcPr>
            <w:tcW w:w="0" w:type="dxa"/>
            <w:vAlign w:val="bottom"/>
          </w:tcPr>
          <w:p>
            <w:pPr>
              <w:spacing w:after="0"/>
              <w:rPr>
                <w:sz w:val="1"/>
                <w:szCs w:val="1"/>
                <w:color w:val="auto"/>
              </w:rPr>
            </w:pPr>
          </w:p>
        </w:tc>
      </w:tr>
      <w:tr>
        <w:trPr>
          <w:trHeight w:val="183"/>
        </w:trPr>
        <w:tc>
          <w:tcPr>
            <w:tcW w:w="8760" w:type="dxa"/>
            <w:vAlign w:val="bottom"/>
          </w:tcPr>
          <w:p>
            <w:pPr>
              <w:ind w:left="140"/>
              <w:spacing w:after="0"/>
              <w:rPr>
                <w:sz w:val="20"/>
                <w:szCs w:val="20"/>
                <w:color w:val="auto"/>
              </w:rPr>
            </w:pPr>
            <w:r>
              <w:rPr>
                <w:rFonts w:ascii="Arial" w:cs="Arial" w:eastAsia="Arial" w:hAnsi="Arial"/>
                <w:sz w:val="14"/>
                <w:szCs w:val="14"/>
                <w:color w:val="auto"/>
              </w:rPr>
              <w:t>Net</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40,603</w:t>
            </w:r>
          </w:p>
        </w:tc>
        <w:tc>
          <w:tcPr>
            <w:tcW w:w="1160" w:type="dxa"/>
            <w:vAlign w:val="bottom"/>
          </w:tcPr>
          <w:p>
            <w:pPr>
              <w:jc w:val="right"/>
              <w:spacing w:after="0"/>
              <w:rPr>
                <w:sz w:val="20"/>
                <w:szCs w:val="20"/>
                <w:color w:val="auto"/>
              </w:rPr>
            </w:pPr>
            <w:r>
              <w:rPr>
                <w:rFonts w:ascii="Arial" w:cs="Arial" w:eastAsia="Arial" w:hAnsi="Arial"/>
                <w:sz w:val="14"/>
                <w:szCs w:val="14"/>
                <w:color w:val="auto"/>
              </w:rPr>
              <w:t>39,550</w:t>
            </w:r>
          </w:p>
        </w:tc>
        <w:tc>
          <w:tcPr>
            <w:tcW w:w="0" w:type="dxa"/>
            <w:vAlign w:val="bottom"/>
          </w:tcPr>
          <w:p>
            <w:pPr>
              <w:spacing w:after="0"/>
              <w:rPr>
                <w:sz w:val="1"/>
                <w:szCs w:val="1"/>
                <w:color w:val="auto"/>
              </w:rPr>
            </w:pPr>
          </w:p>
        </w:tc>
      </w:tr>
      <w:tr>
        <w:trPr>
          <w:trHeight w:val="189"/>
        </w:trPr>
        <w:tc>
          <w:tcPr>
            <w:tcW w:w="876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Construction work in progress</w:t>
            </w:r>
          </w:p>
        </w:tc>
        <w:tc>
          <w:tcPr>
            <w:tcW w:w="128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2,350</w:t>
            </w:r>
          </w:p>
        </w:tc>
        <w:tc>
          <w:tcPr>
            <w:tcW w:w="11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2,474</w:t>
            </w:r>
          </w:p>
        </w:tc>
        <w:tc>
          <w:tcPr>
            <w:tcW w:w="0" w:type="dxa"/>
            <w:vAlign w:val="bottom"/>
          </w:tcPr>
          <w:p>
            <w:pPr>
              <w:spacing w:after="0"/>
              <w:rPr>
                <w:sz w:val="1"/>
                <w:szCs w:val="1"/>
                <w:color w:val="auto"/>
              </w:rPr>
            </w:pPr>
          </w:p>
        </w:tc>
      </w:tr>
      <w:tr>
        <w:trPr>
          <w:trHeight w:val="183"/>
        </w:trPr>
        <w:tc>
          <w:tcPr>
            <w:tcW w:w="87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NET UTILITY PLANT</w:t>
            </w:r>
          </w:p>
        </w:tc>
        <w:tc>
          <w:tcPr>
            <w:tcW w:w="128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color w:val="auto"/>
              </w:rPr>
              <w:t>42,953</w:t>
            </w:r>
          </w:p>
        </w:tc>
        <w:tc>
          <w:tcPr>
            <w:tcW w:w="11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42,024</w:t>
            </w:r>
          </w:p>
        </w:tc>
        <w:tc>
          <w:tcPr>
            <w:tcW w:w="0" w:type="dxa"/>
            <w:vAlign w:val="bottom"/>
          </w:tcPr>
          <w:p>
            <w:pPr>
              <w:spacing w:after="0"/>
              <w:rPr>
                <w:sz w:val="1"/>
                <w:szCs w:val="1"/>
                <w:color w:val="auto"/>
              </w:rPr>
            </w:pPr>
          </w:p>
        </w:tc>
      </w:tr>
      <w:tr>
        <w:trPr>
          <w:trHeight w:val="183"/>
        </w:trPr>
        <w:tc>
          <w:tcPr>
            <w:tcW w:w="8760" w:type="dxa"/>
            <w:vAlign w:val="bottom"/>
            <w:shd w:val="clear" w:color="auto" w:fill="E5E5E5"/>
          </w:tcPr>
          <w:p>
            <w:pPr>
              <w:ind w:left="20"/>
              <w:spacing w:after="0"/>
              <w:rPr>
                <w:sz w:val="20"/>
                <w:szCs w:val="20"/>
                <w:color w:val="auto"/>
              </w:rPr>
            </w:pPr>
            <w:r>
              <w:rPr>
                <w:rFonts w:ascii="Arial" w:cs="Arial" w:eastAsia="Arial" w:hAnsi="Arial"/>
                <w:sz w:val="14"/>
                <w:szCs w:val="14"/>
                <w:color w:val="auto"/>
              </w:rPr>
              <w:t>NON-UTILITY PLANT</w:t>
            </w:r>
          </w:p>
        </w:tc>
        <w:tc>
          <w:tcPr>
            <w:tcW w:w="1280" w:type="dxa"/>
            <w:vAlign w:val="bottom"/>
            <w:shd w:val="clear" w:color="auto" w:fill="E5E5E5"/>
          </w:tcPr>
          <w:p>
            <w:pPr>
              <w:spacing w:after="0"/>
              <w:rPr>
                <w:sz w:val="15"/>
                <w:szCs w:val="15"/>
                <w:color w:val="auto"/>
              </w:rPr>
            </w:pPr>
          </w:p>
        </w:tc>
        <w:tc>
          <w:tcPr>
            <w:tcW w:w="11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60" w:type="dxa"/>
            <w:vAlign w:val="bottom"/>
          </w:tcPr>
          <w:p>
            <w:pPr>
              <w:ind w:left="140"/>
              <w:spacing w:after="0"/>
              <w:rPr>
                <w:sz w:val="20"/>
                <w:szCs w:val="20"/>
                <w:color w:val="auto"/>
              </w:rPr>
            </w:pPr>
            <w:r>
              <w:rPr>
                <w:rFonts w:ascii="Arial" w:cs="Arial" w:eastAsia="Arial" w:hAnsi="Arial"/>
                <w:sz w:val="14"/>
                <w:szCs w:val="14"/>
                <w:color w:val="auto"/>
              </w:rPr>
              <w:t>Non-utility property, less accumulated depreciation of $555 and $522 in 2021 and 2020, respectively</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3,904</w:t>
            </w:r>
          </w:p>
        </w:tc>
        <w:tc>
          <w:tcPr>
            <w:tcW w:w="1160" w:type="dxa"/>
            <w:vAlign w:val="bottom"/>
          </w:tcPr>
          <w:p>
            <w:pPr>
              <w:jc w:val="right"/>
              <w:spacing w:after="0"/>
              <w:rPr>
                <w:sz w:val="20"/>
                <w:szCs w:val="20"/>
                <w:color w:val="auto"/>
              </w:rPr>
            </w:pPr>
            <w:r>
              <w:rPr>
                <w:rFonts w:ascii="Arial" w:cs="Arial" w:eastAsia="Arial" w:hAnsi="Arial"/>
                <w:sz w:val="14"/>
                <w:szCs w:val="14"/>
                <w:color w:val="auto"/>
              </w:rPr>
              <w:t>3,893</w:t>
            </w:r>
          </w:p>
        </w:tc>
        <w:tc>
          <w:tcPr>
            <w:tcW w:w="0" w:type="dxa"/>
            <w:vAlign w:val="bottom"/>
          </w:tcPr>
          <w:p>
            <w:pPr>
              <w:spacing w:after="0"/>
              <w:rPr>
                <w:sz w:val="1"/>
                <w:szCs w:val="1"/>
                <w:color w:val="auto"/>
              </w:rPr>
            </w:pPr>
          </w:p>
        </w:tc>
      </w:tr>
      <w:tr>
        <w:trPr>
          <w:trHeight w:val="189"/>
        </w:trPr>
        <w:tc>
          <w:tcPr>
            <w:tcW w:w="876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Construction work in progress</w:t>
            </w:r>
          </w:p>
        </w:tc>
        <w:tc>
          <w:tcPr>
            <w:tcW w:w="128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482</w:t>
            </w:r>
          </w:p>
        </w:tc>
        <w:tc>
          <w:tcPr>
            <w:tcW w:w="11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183"/>
        </w:trPr>
        <w:tc>
          <w:tcPr>
            <w:tcW w:w="87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NET PLANT</w:t>
            </w:r>
          </w:p>
        </w:tc>
        <w:tc>
          <w:tcPr>
            <w:tcW w:w="128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color w:val="auto"/>
              </w:rPr>
              <w:t>47,339</w:t>
            </w:r>
          </w:p>
        </w:tc>
        <w:tc>
          <w:tcPr>
            <w:tcW w:w="11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46,555</w:t>
            </w:r>
          </w:p>
        </w:tc>
        <w:tc>
          <w:tcPr>
            <w:tcW w:w="0" w:type="dxa"/>
            <w:vAlign w:val="bottom"/>
          </w:tcPr>
          <w:p>
            <w:pPr>
              <w:spacing w:after="0"/>
              <w:rPr>
                <w:sz w:val="1"/>
                <w:szCs w:val="1"/>
                <w:color w:val="auto"/>
              </w:rPr>
            </w:pPr>
          </w:p>
        </w:tc>
      </w:tr>
      <w:tr>
        <w:trPr>
          <w:trHeight w:val="183"/>
        </w:trPr>
        <w:tc>
          <w:tcPr>
            <w:tcW w:w="876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 NONCURRENT ASSETS</w:t>
            </w:r>
          </w:p>
        </w:tc>
        <w:tc>
          <w:tcPr>
            <w:tcW w:w="1280" w:type="dxa"/>
            <w:vAlign w:val="bottom"/>
            <w:shd w:val="clear" w:color="auto" w:fill="E5E5E5"/>
          </w:tcPr>
          <w:p>
            <w:pPr>
              <w:spacing w:after="0"/>
              <w:rPr>
                <w:sz w:val="15"/>
                <w:szCs w:val="15"/>
                <w:color w:val="auto"/>
              </w:rPr>
            </w:pPr>
          </w:p>
        </w:tc>
        <w:tc>
          <w:tcPr>
            <w:tcW w:w="11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60" w:type="dxa"/>
            <w:vAlign w:val="bottom"/>
          </w:tcPr>
          <w:p>
            <w:pPr>
              <w:ind w:left="140"/>
              <w:spacing w:after="0"/>
              <w:rPr>
                <w:sz w:val="20"/>
                <w:szCs w:val="20"/>
                <w:color w:val="auto"/>
              </w:rPr>
            </w:pPr>
            <w:r>
              <w:rPr>
                <w:rFonts w:ascii="Arial" w:cs="Arial" w:eastAsia="Arial" w:hAnsi="Arial"/>
                <w:sz w:val="14"/>
                <w:szCs w:val="14"/>
                <w:color w:val="auto"/>
              </w:rPr>
              <w:t>Goodwill</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446</w:t>
            </w:r>
          </w:p>
        </w:tc>
        <w:tc>
          <w:tcPr>
            <w:tcW w:w="1160" w:type="dxa"/>
            <w:vAlign w:val="bottom"/>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89"/>
        </w:trPr>
        <w:tc>
          <w:tcPr>
            <w:tcW w:w="87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Intangible assets, less accumulated amortization of $249 and $228 in 2021 and 2020, respectively</w:t>
            </w:r>
          </w:p>
        </w:tc>
        <w:tc>
          <w:tcPr>
            <w:tcW w:w="12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1,340</w:t>
            </w: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189"/>
        </w:trPr>
        <w:tc>
          <w:tcPr>
            <w:tcW w:w="8760" w:type="dxa"/>
            <w:vAlign w:val="bottom"/>
          </w:tcPr>
          <w:p>
            <w:pPr>
              <w:ind w:left="140"/>
              <w:spacing w:after="0"/>
              <w:rPr>
                <w:sz w:val="20"/>
                <w:szCs w:val="20"/>
                <w:color w:val="auto"/>
              </w:rPr>
            </w:pPr>
            <w:r>
              <w:rPr>
                <w:rFonts w:ascii="Arial" w:cs="Arial" w:eastAsia="Arial" w:hAnsi="Arial"/>
                <w:sz w:val="14"/>
                <w:szCs w:val="14"/>
                <w:color w:val="auto"/>
              </w:rPr>
              <w:t>Regulatory assets</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5,889</w:t>
            </w:r>
          </w:p>
        </w:tc>
        <w:tc>
          <w:tcPr>
            <w:tcW w:w="1160" w:type="dxa"/>
            <w:vAlign w:val="bottom"/>
          </w:tcPr>
          <w:p>
            <w:pPr>
              <w:jc w:val="right"/>
              <w:spacing w:after="0"/>
              <w:rPr>
                <w:sz w:val="20"/>
                <w:szCs w:val="20"/>
                <w:color w:val="auto"/>
              </w:rPr>
            </w:pPr>
            <w:r>
              <w:rPr>
                <w:rFonts w:ascii="Arial" w:cs="Arial" w:eastAsia="Arial" w:hAnsi="Arial"/>
                <w:sz w:val="14"/>
                <w:szCs w:val="14"/>
                <w:color w:val="auto"/>
              </w:rPr>
              <w:t>6,195</w:t>
            </w:r>
          </w:p>
        </w:tc>
        <w:tc>
          <w:tcPr>
            <w:tcW w:w="0" w:type="dxa"/>
            <w:vAlign w:val="bottom"/>
          </w:tcPr>
          <w:p>
            <w:pPr>
              <w:spacing w:after="0"/>
              <w:rPr>
                <w:sz w:val="1"/>
                <w:szCs w:val="1"/>
                <w:color w:val="auto"/>
              </w:rPr>
            </w:pPr>
          </w:p>
        </w:tc>
      </w:tr>
      <w:tr>
        <w:trPr>
          <w:trHeight w:val="189"/>
        </w:trPr>
        <w:tc>
          <w:tcPr>
            <w:tcW w:w="87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Operating lease right-of-use asset</w:t>
            </w:r>
          </w:p>
        </w:tc>
        <w:tc>
          <w:tcPr>
            <w:tcW w:w="12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818</w:t>
            </w: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189"/>
        </w:trPr>
        <w:tc>
          <w:tcPr>
            <w:tcW w:w="8760" w:type="dxa"/>
            <w:vAlign w:val="bottom"/>
            <w:tcBorders>
              <w:bottom w:val="single" w:sz="8" w:color="8C8272"/>
            </w:tcBorders>
          </w:tcPr>
          <w:p>
            <w:pPr>
              <w:ind w:left="140"/>
              <w:spacing w:after="0"/>
              <w:rPr>
                <w:sz w:val="20"/>
                <w:szCs w:val="20"/>
                <w:color w:val="auto"/>
              </w:rPr>
            </w:pPr>
            <w:r>
              <w:rPr>
                <w:rFonts w:ascii="Arial" w:cs="Arial" w:eastAsia="Arial" w:hAnsi="Arial"/>
                <w:sz w:val="14"/>
                <w:szCs w:val="14"/>
                <w:color w:val="auto"/>
              </w:rPr>
              <w:t>Other deferred charges and noncurrent assets</w:t>
            </w:r>
          </w:p>
        </w:tc>
        <w:tc>
          <w:tcPr>
            <w:tcW w:w="128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color w:val="auto"/>
              </w:rPr>
              <w:t>289</w:t>
            </w:r>
          </w:p>
        </w:tc>
        <w:tc>
          <w:tcPr>
            <w:tcW w:w="11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83"/>
        </w:trPr>
        <w:tc>
          <w:tcPr>
            <w:tcW w:w="876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TOTAL OTHER NONCURRENT ASSETS</w:t>
            </w:r>
          </w:p>
        </w:tc>
        <w:tc>
          <w:tcPr>
            <w:tcW w:w="128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8,782</w:t>
            </w:r>
          </w:p>
        </w:tc>
        <w:tc>
          <w:tcPr>
            <w:tcW w:w="11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9,223</w:t>
            </w:r>
          </w:p>
        </w:tc>
        <w:tc>
          <w:tcPr>
            <w:tcW w:w="0" w:type="dxa"/>
            <w:vAlign w:val="bottom"/>
          </w:tcPr>
          <w:p>
            <w:pPr>
              <w:spacing w:after="0"/>
              <w:rPr>
                <w:sz w:val="1"/>
                <w:szCs w:val="1"/>
                <w:color w:val="auto"/>
              </w:rPr>
            </w:pPr>
          </w:p>
        </w:tc>
      </w:tr>
      <w:tr>
        <w:trPr>
          <w:trHeight w:val="183"/>
        </w:trPr>
        <w:tc>
          <w:tcPr>
            <w:tcW w:w="87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TOTAL ASSETS</w:t>
            </w:r>
          </w:p>
        </w:tc>
        <w:tc>
          <w:tcPr>
            <w:tcW w:w="128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color w:val="auto"/>
              </w:rPr>
              <w:t>$62,919</w:t>
            </w:r>
          </w:p>
        </w:tc>
        <w:tc>
          <w:tcPr>
            <w:tcW w:w="11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$62,895</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828282"/>
        </w:rPr>
        <w:t>Consolidated Edison,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 (UNAUDITED)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2180" w:type="dxa"/>
            <w:vAlign w:val="bottom"/>
          </w:tcPr>
          <w:p>
            <w:pPr>
              <w:jc w:val="right"/>
              <w:ind w:right="128"/>
              <w:spacing w:after="0"/>
              <w:rPr>
                <w:sz w:val="20"/>
                <w:szCs w:val="20"/>
                <w:color w:val="auto"/>
              </w:rPr>
            </w:pPr>
            <w:r>
              <w:rPr>
                <w:rFonts w:ascii="Arial" w:cs="Arial" w:eastAsia="Arial" w:hAnsi="Arial"/>
                <w:sz w:val="14"/>
                <w:szCs w:val="14"/>
                <w:b w:val="1"/>
                <w:bCs w:val="1"/>
                <w:color w:val="auto"/>
              </w:rPr>
              <w:t>June 30,</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7860" w:type="dxa"/>
            <w:vAlign w:val="bottom"/>
            <w:tcBorders>
              <w:bottom w:val="single" w:sz="8" w:color="8C8272"/>
            </w:tcBorders>
            <w:vMerge w:val="continue"/>
          </w:tcPr>
          <w:p>
            <w:pPr>
              <w:spacing w:after="0"/>
              <w:rPr>
                <w:sz w:val="15"/>
                <w:szCs w:val="15"/>
                <w:color w:val="auto"/>
              </w:rPr>
            </w:pPr>
          </w:p>
        </w:tc>
        <w:tc>
          <w:tcPr>
            <w:tcW w:w="218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11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color w:val="auto"/>
              </w:rPr>
              <w:t>LIABILITIES AND SHAREHOLDERS’ EQUITY</w:t>
            </w:r>
          </w:p>
        </w:tc>
        <w:tc>
          <w:tcPr>
            <w:tcW w:w="2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CURRENT LIABILITIES</w:t>
            </w:r>
          </w:p>
        </w:tc>
        <w:tc>
          <w:tcPr>
            <w:tcW w:w="218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rPr>
                <w:sz w:val="20"/>
                <w:szCs w:val="20"/>
                <w:color w:val="auto"/>
              </w:rPr>
            </w:pPr>
            <w:r>
              <w:rPr>
                <w:rFonts w:ascii="Arial" w:cs="Arial" w:eastAsia="Arial" w:hAnsi="Arial"/>
                <w:sz w:val="14"/>
                <w:szCs w:val="14"/>
                <w:color w:val="auto"/>
              </w:rPr>
              <w:t>Long-term debt due within one year</w:t>
            </w:r>
          </w:p>
        </w:tc>
        <w:tc>
          <w:tcPr>
            <w:tcW w:w="2180" w:type="dxa"/>
            <w:vAlign w:val="bottom"/>
          </w:tcPr>
          <w:p>
            <w:pPr>
              <w:jc w:val="right"/>
              <w:ind w:right="128"/>
              <w:spacing w:after="0"/>
              <w:rPr>
                <w:sz w:val="20"/>
                <w:szCs w:val="20"/>
                <w:color w:val="auto"/>
              </w:rPr>
            </w:pPr>
            <w:r>
              <w:rPr>
                <w:rFonts w:ascii="Arial" w:cs="Arial" w:eastAsia="Arial" w:hAnsi="Arial"/>
                <w:sz w:val="14"/>
                <w:szCs w:val="14"/>
                <w:color w:val="auto"/>
              </w:rPr>
              <w:t>$444</w:t>
            </w:r>
          </w:p>
        </w:tc>
        <w:tc>
          <w:tcPr>
            <w:tcW w:w="1140" w:type="dxa"/>
            <w:vAlign w:val="bottom"/>
          </w:tcPr>
          <w:p>
            <w:pPr>
              <w:jc w:val="right"/>
              <w:spacing w:after="0"/>
              <w:rPr>
                <w:sz w:val="20"/>
                <w:szCs w:val="20"/>
                <w:color w:val="auto"/>
              </w:rPr>
            </w:pPr>
            <w:r>
              <w:rPr>
                <w:rFonts w:ascii="Arial" w:cs="Arial" w:eastAsia="Arial" w:hAnsi="Arial"/>
                <w:sz w:val="14"/>
                <w:szCs w:val="14"/>
                <w:color w:val="auto"/>
              </w:rPr>
              <w:t>$1,967</w:t>
            </w:r>
          </w:p>
        </w:tc>
        <w:tc>
          <w:tcPr>
            <w:tcW w:w="0" w:type="dxa"/>
            <w:vAlign w:val="bottom"/>
          </w:tcPr>
          <w:p>
            <w:pPr>
              <w:spacing w:after="0"/>
              <w:rPr>
                <w:sz w:val="1"/>
                <w:szCs w:val="1"/>
                <w:color w:val="auto"/>
              </w:rPr>
            </w:pPr>
          </w:p>
        </w:tc>
      </w:tr>
      <w:tr>
        <w:trPr>
          <w:trHeight w:val="189"/>
        </w:trPr>
        <w:tc>
          <w:tcPr>
            <w:tcW w:w="78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Term loan</w:t>
            </w:r>
          </w:p>
        </w:tc>
        <w:tc>
          <w:tcPr>
            <w:tcW w:w="21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903</w:t>
            </w:r>
          </w:p>
        </w:tc>
        <w:tc>
          <w:tcPr>
            <w:tcW w:w="1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rPr>
                <w:sz w:val="20"/>
                <w:szCs w:val="20"/>
                <w:color w:val="auto"/>
              </w:rPr>
            </w:pPr>
            <w:r>
              <w:rPr>
                <w:rFonts w:ascii="Arial" w:cs="Arial" w:eastAsia="Arial" w:hAnsi="Arial"/>
                <w:sz w:val="14"/>
                <w:szCs w:val="14"/>
                <w:color w:val="auto"/>
              </w:rPr>
              <w:t>Notes payable</w:t>
            </w:r>
          </w:p>
        </w:tc>
        <w:tc>
          <w:tcPr>
            <w:tcW w:w="2180" w:type="dxa"/>
            <w:vAlign w:val="bottom"/>
          </w:tcPr>
          <w:p>
            <w:pPr>
              <w:jc w:val="right"/>
              <w:ind w:right="128"/>
              <w:spacing w:after="0"/>
              <w:rPr>
                <w:sz w:val="20"/>
                <w:szCs w:val="20"/>
                <w:color w:val="auto"/>
              </w:rPr>
            </w:pPr>
            <w:r>
              <w:rPr>
                <w:rFonts w:ascii="Arial" w:cs="Arial" w:eastAsia="Arial" w:hAnsi="Arial"/>
                <w:sz w:val="14"/>
                <w:szCs w:val="14"/>
                <w:color w:val="auto"/>
              </w:rPr>
              <w:t>1,052</w:t>
            </w:r>
          </w:p>
        </w:tc>
        <w:tc>
          <w:tcPr>
            <w:tcW w:w="1140" w:type="dxa"/>
            <w:vAlign w:val="bottom"/>
          </w:tcPr>
          <w:p>
            <w:pPr>
              <w:jc w:val="right"/>
              <w:spacing w:after="0"/>
              <w:rPr>
                <w:sz w:val="20"/>
                <w:szCs w:val="20"/>
                <w:color w:val="auto"/>
              </w:rPr>
            </w:pPr>
            <w:r>
              <w:rPr>
                <w:rFonts w:ascii="Arial" w:cs="Arial" w:eastAsia="Arial" w:hAnsi="Arial"/>
                <w:sz w:val="14"/>
                <w:szCs w:val="14"/>
                <w:color w:val="auto"/>
              </w:rPr>
              <w:t>1,705</w:t>
            </w:r>
          </w:p>
        </w:tc>
        <w:tc>
          <w:tcPr>
            <w:tcW w:w="0" w:type="dxa"/>
            <w:vAlign w:val="bottom"/>
          </w:tcPr>
          <w:p>
            <w:pPr>
              <w:spacing w:after="0"/>
              <w:rPr>
                <w:sz w:val="1"/>
                <w:szCs w:val="1"/>
                <w:color w:val="auto"/>
              </w:rPr>
            </w:pPr>
          </w:p>
        </w:tc>
      </w:tr>
      <w:tr>
        <w:trPr>
          <w:trHeight w:val="189"/>
        </w:trPr>
        <w:tc>
          <w:tcPr>
            <w:tcW w:w="78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Accounts payable</w:t>
            </w:r>
          </w:p>
        </w:tc>
        <w:tc>
          <w:tcPr>
            <w:tcW w:w="21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1,217</w:t>
            </w:r>
          </w:p>
        </w:tc>
        <w:tc>
          <w:tcPr>
            <w:tcW w:w="1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1,475</w:t>
            </w: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rPr>
                <w:sz w:val="20"/>
                <w:szCs w:val="20"/>
                <w:color w:val="auto"/>
              </w:rPr>
            </w:pPr>
            <w:r>
              <w:rPr>
                <w:rFonts w:ascii="Arial" w:cs="Arial" w:eastAsia="Arial" w:hAnsi="Arial"/>
                <w:sz w:val="14"/>
                <w:szCs w:val="14"/>
                <w:color w:val="auto"/>
              </w:rPr>
              <w:t>Customer deposits</w:t>
            </w:r>
          </w:p>
        </w:tc>
        <w:tc>
          <w:tcPr>
            <w:tcW w:w="2180" w:type="dxa"/>
            <w:vAlign w:val="bottom"/>
          </w:tcPr>
          <w:p>
            <w:pPr>
              <w:jc w:val="right"/>
              <w:ind w:right="128"/>
              <w:spacing w:after="0"/>
              <w:rPr>
                <w:sz w:val="20"/>
                <w:szCs w:val="20"/>
                <w:color w:val="auto"/>
              </w:rPr>
            </w:pPr>
            <w:r>
              <w:rPr>
                <w:rFonts w:ascii="Arial" w:cs="Arial" w:eastAsia="Arial" w:hAnsi="Arial"/>
                <w:sz w:val="14"/>
                <w:szCs w:val="14"/>
                <w:color w:val="auto"/>
              </w:rPr>
              <w:t>287</w:t>
            </w:r>
          </w:p>
        </w:tc>
        <w:tc>
          <w:tcPr>
            <w:tcW w:w="1140" w:type="dxa"/>
            <w:vAlign w:val="bottom"/>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89"/>
        </w:trPr>
        <w:tc>
          <w:tcPr>
            <w:tcW w:w="78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Accrued taxes</w:t>
            </w:r>
          </w:p>
        </w:tc>
        <w:tc>
          <w:tcPr>
            <w:tcW w:w="21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121</w:t>
            </w:r>
          </w:p>
        </w:tc>
        <w:tc>
          <w:tcPr>
            <w:tcW w:w="1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rPr>
                <w:sz w:val="20"/>
                <w:szCs w:val="20"/>
                <w:color w:val="auto"/>
              </w:rPr>
            </w:pPr>
            <w:r>
              <w:rPr>
                <w:rFonts w:ascii="Arial" w:cs="Arial" w:eastAsia="Arial" w:hAnsi="Arial"/>
                <w:sz w:val="14"/>
                <w:szCs w:val="14"/>
                <w:color w:val="auto"/>
              </w:rPr>
              <w:t>Accrued interest</w:t>
            </w:r>
          </w:p>
        </w:tc>
        <w:tc>
          <w:tcPr>
            <w:tcW w:w="2180" w:type="dxa"/>
            <w:vAlign w:val="bottom"/>
          </w:tcPr>
          <w:p>
            <w:pPr>
              <w:jc w:val="right"/>
              <w:ind w:right="128"/>
              <w:spacing w:after="0"/>
              <w:rPr>
                <w:sz w:val="20"/>
                <w:szCs w:val="20"/>
                <w:color w:val="auto"/>
              </w:rPr>
            </w:pPr>
            <w:r>
              <w:rPr>
                <w:rFonts w:ascii="Arial" w:cs="Arial" w:eastAsia="Arial" w:hAnsi="Arial"/>
                <w:sz w:val="14"/>
                <w:szCs w:val="14"/>
                <w:color w:val="auto"/>
              </w:rPr>
              <w:t>151</w:t>
            </w:r>
          </w:p>
        </w:tc>
        <w:tc>
          <w:tcPr>
            <w:tcW w:w="114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9"/>
        </w:trPr>
        <w:tc>
          <w:tcPr>
            <w:tcW w:w="78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Accrued wages</w:t>
            </w:r>
          </w:p>
        </w:tc>
        <w:tc>
          <w:tcPr>
            <w:tcW w:w="21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110</w:t>
            </w:r>
          </w:p>
        </w:tc>
        <w:tc>
          <w:tcPr>
            <w:tcW w:w="1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rPr>
                <w:sz w:val="20"/>
                <w:szCs w:val="20"/>
                <w:color w:val="auto"/>
              </w:rPr>
            </w:pPr>
            <w:r>
              <w:rPr>
                <w:rFonts w:ascii="Arial" w:cs="Arial" w:eastAsia="Arial" w:hAnsi="Arial"/>
                <w:sz w:val="14"/>
                <w:szCs w:val="14"/>
                <w:color w:val="auto"/>
              </w:rPr>
              <w:t>Fair value of derivative liabilities</w:t>
            </w:r>
          </w:p>
        </w:tc>
        <w:tc>
          <w:tcPr>
            <w:tcW w:w="2180" w:type="dxa"/>
            <w:vAlign w:val="bottom"/>
          </w:tcPr>
          <w:p>
            <w:pPr>
              <w:jc w:val="right"/>
              <w:ind w:right="128"/>
              <w:spacing w:after="0"/>
              <w:rPr>
                <w:sz w:val="20"/>
                <w:szCs w:val="20"/>
                <w:color w:val="auto"/>
              </w:rPr>
            </w:pPr>
            <w:r>
              <w:rPr>
                <w:rFonts w:ascii="Arial" w:cs="Arial" w:eastAsia="Arial" w:hAnsi="Arial"/>
                <w:sz w:val="14"/>
                <w:szCs w:val="14"/>
                <w:color w:val="auto"/>
              </w:rPr>
              <w:t>179</w:t>
            </w:r>
          </w:p>
        </w:tc>
        <w:tc>
          <w:tcPr>
            <w:tcW w:w="1140" w:type="dxa"/>
            <w:vAlign w:val="bottom"/>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89"/>
        </w:trPr>
        <w:tc>
          <w:tcPr>
            <w:tcW w:w="78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Regulatory liabilities</w:t>
            </w:r>
          </w:p>
        </w:tc>
        <w:tc>
          <w:tcPr>
            <w:tcW w:w="21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180</w:t>
            </w:r>
          </w:p>
        </w:tc>
        <w:tc>
          <w:tcPr>
            <w:tcW w:w="1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rPr>
                <w:sz w:val="20"/>
                <w:szCs w:val="20"/>
                <w:color w:val="auto"/>
              </w:rPr>
            </w:pPr>
            <w:r>
              <w:rPr>
                <w:rFonts w:ascii="Arial" w:cs="Arial" w:eastAsia="Arial" w:hAnsi="Arial"/>
                <w:sz w:val="14"/>
                <w:szCs w:val="14"/>
                <w:color w:val="auto"/>
              </w:rPr>
              <w:t>System benefit charge</w:t>
            </w:r>
          </w:p>
        </w:tc>
        <w:tc>
          <w:tcPr>
            <w:tcW w:w="2180" w:type="dxa"/>
            <w:vAlign w:val="bottom"/>
          </w:tcPr>
          <w:p>
            <w:pPr>
              <w:jc w:val="right"/>
              <w:ind w:right="128"/>
              <w:spacing w:after="0"/>
              <w:rPr>
                <w:sz w:val="20"/>
                <w:szCs w:val="20"/>
                <w:color w:val="auto"/>
              </w:rPr>
            </w:pPr>
            <w:r>
              <w:rPr>
                <w:rFonts w:ascii="Arial" w:cs="Arial" w:eastAsia="Arial" w:hAnsi="Arial"/>
                <w:sz w:val="14"/>
                <w:szCs w:val="14"/>
                <w:color w:val="auto"/>
              </w:rPr>
              <w:t>435</w:t>
            </w:r>
          </w:p>
        </w:tc>
        <w:tc>
          <w:tcPr>
            <w:tcW w:w="1140" w:type="dxa"/>
            <w:vAlign w:val="bottom"/>
          </w:tcPr>
          <w:p>
            <w:pPr>
              <w:jc w:val="right"/>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89"/>
        </w:trPr>
        <w:tc>
          <w:tcPr>
            <w:tcW w:w="78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Operating lease liabilities</w:t>
            </w:r>
          </w:p>
        </w:tc>
        <w:tc>
          <w:tcPr>
            <w:tcW w:w="21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109</w:t>
            </w:r>
          </w:p>
        </w:tc>
        <w:tc>
          <w:tcPr>
            <w:tcW w:w="1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8C8272"/>
            </w:tcBorders>
          </w:tcPr>
          <w:p>
            <w:pPr>
              <w:ind w:left="140"/>
              <w:spacing w:after="0"/>
              <w:rPr>
                <w:sz w:val="20"/>
                <w:szCs w:val="20"/>
                <w:color w:val="auto"/>
              </w:rPr>
            </w:pPr>
            <w:r>
              <w:rPr>
                <w:rFonts w:ascii="Arial" w:cs="Arial" w:eastAsia="Arial" w:hAnsi="Arial"/>
                <w:sz w:val="14"/>
                <w:szCs w:val="14"/>
                <w:color w:val="auto"/>
              </w:rPr>
              <w:t>Other current liabilities</w:t>
            </w:r>
          </w:p>
        </w:tc>
        <w:tc>
          <w:tcPr>
            <w:tcW w:w="218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color w:val="auto"/>
              </w:rPr>
              <w:t>369</w:t>
            </w:r>
          </w:p>
        </w:tc>
        <w:tc>
          <w:tcPr>
            <w:tcW w:w="11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83"/>
        </w:trPr>
        <w:tc>
          <w:tcPr>
            <w:tcW w:w="786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TOTAL CURRENT LIABILITIES</w:t>
            </w:r>
          </w:p>
        </w:tc>
        <w:tc>
          <w:tcPr>
            <w:tcW w:w="218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5,557</w:t>
            </w:r>
          </w:p>
        </w:tc>
        <w:tc>
          <w:tcPr>
            <w:tcW w:w="11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7,354</w:t>
            </w:r>
          </w:p>
        </w:tc>
        <w:tc>
          <w:tcPr>
            <w:tcW w:w="0" w:type="dxa"/>
            <w:vAlign w:val="bottom"/>
          </w:tcPr>
          <w:p>
            <w:pPr>
              <w:spacing w:after="0"/>
              <w:rPr>
                <w:sz w:val="1"/>
                <w:szCs w:val="1"/>
                <w:color w:val="auto"/>
              </w:rPr>
            </w:pP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color w:val="auto"/>
              </w:rPr>
              <w:t>NONCURRENT LIABILITIES</w:t>
            </w:r>
          </w:p>
        </w:tc>
        <w:tc>
          <w:tcPr>
            <w:tcW w:w="2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Provision for injuries and damages</w:t>
            </w:r>
          </w:p>
        </w:tc>
        <w:tc>
          <w:tcPr>
            <w:tcW w:w="21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170</w:t>
            </w:r>
          </w:p>
        </w:tc>
        <w:tc>
          <w:tcPr>
            <w:tcW w:w="1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rPr>
                <w:sz w:val="20"/>
                <w:szCs w:val="20"/>
                <w:color w:val="auto"/>
              </w:rPr>
            </w:pPr>
            <w:r>
              <w:rPr>
                <w:rFonts w:ascii="Arial" w:cs="Arial" w:eastAsia="Arial" w:hAnsi="Arial"/>
                <w:sz w:val="14"/>
                <w:szCs w:val="14"/>
                <w:color w:val="auto"/>
              </w:rPr>
              <w:t>Pensions and retiree benefits</w:t>
            </w:r>
          </w:p>
        </w:tc>
        <w:tc>
          <w:tcPr>
            <w:tcW w:w="2180" w:type="dxa"/>
            <w:vAlign w:val="bottom"/>
          </w:tcPr>
          <w:p>
            <w:pPr>
              <w:jc w:val="right"/>
              <w:ind w:right="128"/>
              <w:spacing w:after="0"/>
              <w:rPr>
                <w:sz w:val="20"/>
                <w:szCs w:val="20"/>
                <w:color w:val="auto"/>
              </w:rPr>
            </w:pPr>
            <w:r>
              <w:rPr>
                <w:rFonts w:ascii="Arial" w:cs="Arial" w:eastAsia="Arial" w:hAnsi="Arial"/>
                <w:sz w:val="14"/>
                <w:szCs w:val="14"/>
                <w:color w:val="auto"/>
              </w:rPr>
              <w:t>1,925</w:t>
            </w:r>
          </w:p>
        </w:tc>
        <w:tc>
          <w:tcPr>
            <w:tcW w:w="1140" w:type="dxa"/>
            <w:vAlign w:val="bottom"/>
          </w:tcPr>
          <w:p>
            <w:pPr>
              <w:jc w:val="right"/>
              <w:spacing w:after="0"/>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r>
        <w:trPr>
          <w:trHeight w:val="189"/>
        </w:trPr>
        <w:tc>
          <w:tcPr>
            <w:tcW w:w="78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Superfund and other environmental costs</w:t>
            </w:r>
          </w:p>
        </w:tc>
        <w:tc>
          <w:tcPr>
            <w:tcW w:w="21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847</w:t>
            </w:r>
          </w:p>
        </w:tc>
        <w:tc>
          <w:tcPr>
            <w:tcW w:w="1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rPr>
                <w:sz w:val="20"/>
                <w:szCs w:val="20"/>
                <w:color w:val="auto"/>
              </w:rPr>
            </w:pPr>
            <w:r>
              <w:rPr>
                <w:rFonts w:ascii="Arial" w:cs="Arial" w:eastAsia="Arial" w:hAnsi="Arial"/>
                <w:sz w:val="14"/>
                <w:szCs w:val="14"/>
                <w:color w:val="auto"/>
              </w:rPr>
              <w:t>Asset retirement obligations</w:t>
            </w:r>
          </w:p>
        </w:tc>
        <w:tc>
          <w:tcPr>
            <w:tcW w:w="2180" w:type="dxa"/>
            <w:vAlign w:val="bottom"/>
          </w:tcPr>
          <w:p>
            <w:pPr>
              <w:jc w:val="right"/>
              <w:ind w:right="128"/>
              <w:spacing w:after="0"/>
              <w:rPr>
                <w:sz w:val="20"/>
                <w:szCs w:val="20"/>
                <w:color w:val="auto"/>
              </w:rPr>
            </w:pPr>
            <w:r>
              <w:rPr>
                <w:rFonts w:ascii="Arial" w:cs="Arial" w:eastAsia="Arial" w:hAnsi="Arial"/>
                <w:sz w:val="14"/>
                <w:szCs w:val="14"/>
                <w:color w:val="auto"/>
              </w:rPr>
              <w:t>589</w:t>
            </w:r>
          </w:p>
        </w:tc>
        <w:tc>
          <w:tcPr>
            <w:tcW w:w="1140" w:type="dxa"/>
            <w:vAlign w:val="bottom"/>
          </w:tcPr>
          <w:p>
            <w:pPr>
              <w:jc w:val="right"/>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89"/>
        </w:trPr>
        <w:tc>
          <w:tcPr>
            <w:tcW w:w="78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Fair value of derivative liabilities</w:t>
            </w:r>
          </w:p>
        </w:tc>
        <w:tc>
          <w:tcPr>
            <w:tcW w:w="21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125</w:t>
            </w:r>
          </w:p>
        </w:tc>
        <w:tc>
          <w:tcPr>
            <w:tcW w:w="1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rPr>
                <w:sz w:val="20"/>
                <w:szCs w:val="20"/>
                <w:color w:val="auto"/>
              </w:rPr>
            </w:pPr>
            <w:r>
              <w:rPr>
                <w:rFonts w:ascii="Arial" w:cs="Arial" w:eastAsia="Arial" w:hAnsi="Arial"/>
                <w:sz w:val="14"/>
                <w:szCs w:val="14"/>
                <w:color w:val="auto"/>
              </w:rPr>
              <w:t>Deferred income taxes and unamortized investment tax credits</w:t>
            </w:r>
          </w:p>
        </w:tc>
        <w:tc>
          <w:tcPr>
            <w:tcW w:w="2180" w:type="dxa"/>
            <w:vAlign w:val="bottom"/>
          </w:tcPr>
          <w:p>
            <w:pPr>
              <w:jc w:val="right"/>
              <w:ind w:right="128"/>
              <w:spacing w:after="0"/>
              <w:rPr>
                <w:sz w:val="20"/>
                <w:szCs w:val="20"/>
                <w:color w:val="auto"/>
              </w:rPr>
            </w:pPr>
            <w:r>
              <w:rPr>
                <w:rFonts w:ascii="Arial" w:cs="Arial" w:eastAsia="Arial" w:hAnsi="Arial"/>
                <w:sz w:val="14"/>
                <w:szCs w:val="14"/>
                <w:color w:val="auto"/>
              </w:rPr>
              <w:t>6,634</w:t>
            </w:r>
          </w:p>
        </w:tc>
        <w:tc>
          <w:tcPr>
            <w:tcW w:w="1140" w:type="dxa"/>
            <w:vAlign w:val="bottom"/>
          </w:tcPr>
          <w:p>
            <w:pPr>
              <w:jc w:val="right"/>
              <w:spacing w:after="0"/>
              <w:rPr>
                <w:sz w:val="20"/>
                <w:szCs w:val="20"/>
                <w:color w:val="auto"/>
              </w:rPr>
            </w:pPr>
            <w:r>
              <w:rPr>
                <w:rFonts w:ascii="Arial" w:cs="Arial" w:eastAsia="Arial" w:hAnsi="Arial"/>
                <w:sz w:val="14"/>
                <w:szCs w:val="14"/>
                <w:color w:val="auto"/>
              </w:rPr>
              <w:t>6,475</w:t>
            </w:r>
          </w:p>
        </w:tc>
        <w:tc>
          <w:tcPr>
            <w:tcW w:w="0" w:type="dxa"/>
            <w:vAlign w:val="bottom"/>
          </w:tcPr>
          <w:p>
            <w:pPr>
              <w:spacing w:after="0"/>
              <w:rPr>
                <w:sz w:val="1"/>
                <w:szCs w:val="1"/>
                <w:color w:val="auto"/>
              </w:rPr>
            </w:pPr>
          </w:p>
        </w:tc>
      </w:tr>
      <w:tr>
        <w:trPr>
          <w:trHeight w:val="189"/>
        </w:trPr>
        <w:tc>
          <w:tcPr>
            <w:tcW w:w="78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Operating lease liabilities</w:t>
            </w:r>
          </w:p>
        </w:tc>
        <w:tc>
          <w:tcPr>
            <w:tcW w:w="21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750</w:t>
            </w:r>
          </w:p>
        </w:tc>
        <w:tc>
          <w:tcPr>
            <w:tcW w:w="1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rPr>
                <w:sz w:val="20"/>
                <w:szCs w:val="20"/>
                <w:color w:val="auto"/>
              </w:rPr>
            </w:pPr>
            <w:r>
              <w:rPr>
                <w:rFonts w:ascii="Arial" w:cs="Arial" w:eastAsia="Arial" w:hAnsi="Arial"/>
                <w:sz w:val="14"/>
                <w:szCs w:val="14"/>
                <w:color w:val="auto"/>
              </w:rPr>
              <w:t>Regulatory liabilities</w:t>
            </w:r>
          </w:p>
        </w:tc>
        <w:tc>
          <w:tcPr>
            <w:tcW w:w="2180" w:type="dxa"/>
            <w:vAlign w:val="bottom"/>
          </w:tcPr>
          <w:p>
            <w:pPr>
              <w:jc w:val="right"/>
              <w:ind w:right="128"/>
              <w:spacing w:after="0"/>
              <w:rPr>
                <w:sz w:val="20"/>
                <w:szCs w:val="20"/>
                <w:color w:val="auto"/>
              </w:rPr>
            </w:pPr>
            <w:r>
              <w:rPr>
                <w:rFonts w:ascii="Arial" w:cs="Arial" w:eastAsia="Arial" w:hAnsi="Arial"/>
                <w:sz w:val="14"/>
                <w:szCs w:val="14"/>
                <w:color w:val="auto"/>
              </w:rPr>
              <w:t>4,378</w:t>
            </w:r>
          </w:p>
        </w:tc>
        <w:tc>
          <w:tcPr>
            <w:tcW w:w="1140" w:type="dxa"/>
            <w:vAlign w:val="bottom"/>
          </w:tcPr>
          <w:p>
            <w:pPr>
              <w:jc w:val="right"/>
              <w:spacing w:after="0"/>
              <w:rPr>
                <w:sz w:val="20"/>
                <w:szCs w:val="20"/>
                <w:color w:val="auto"/>
              </w:rPr>
            </w:pPr>
            <w:r>
              <w:rPr>
                <w:rFonts w:ascii="Arial" w:cs="Arial" w:eastAsia="Arial" w:hAnsi="Arial"/>
                <w:sz w:val="14"/>
                <w:szCs w:val="14"/>
                <w:color w:val="auto"/>
              </w:rPr>
              <w:t>4,513</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Other deferred credits and noncurrent liabilities</w:t>
            </w:r>
          </w:p>
        </w:tc>
        <w:tc>
          <w:tcPr>
            <w:tcW w:w="218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225</w:t>
            </w:r>
          </w:p>
        </w:tc>
        <w:tc>
          <w:tcPr>
            <w:tcW w:w="11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83"/>
        </w:trPr>
        <w:tc>
          <w:tcPr>
            <w:tcW w:w="78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TOTAL NONCURRENT LIABILITIES</w:t>
            </w:r>
          </w:p>
        </w:tc>
        <w:tc>
          <w:tcPr>
            <w:tcW w:w="218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color w:val="auto"/>
              </w:rPr>
              <w:t>15,643</w:t>
            </w:r>
          </w:p>
        </w:tc>
        <w:tc>
          <w:tcPr>
            <w:tcW w:w="11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16,094</w:t>
            </w:r>
          </w:p>
        </w:tc>
        <w:tc>
          <w:tcPr>
            <w:tcW w:w="0" w:type="dxa"/>
            <w:vAlign w:val="bottom"/>
          </w:tcPr>
          <w:p>
            <w:pPr>
              <w:spacing w:after="0"/>
              <w:rPr>
                <w:sz w:val="1"/>
                <w:szCs w:val="1"/>
                <w:color w:val="auto"/>
              </w:rPr>
            </w:pPr>
          </w:p>
        </w:tc>
      </w:tr>
      <w:tr>
        <w:trPr>
          <w:trHeight w:val="183"/>
        </w:trPr>
        <w:tc>
          <w:tcPr>
            <w:tcW w:w="786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LONG-TERM DEBT</w:t>
            </w:r>
          </w:p>
        </w:tc>
        <w:tc>
          <w:tcPr>
            <w:tcW w:w="218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21,666</w:t>
            </w:r>
          </w:p>
        </w:tc>
        <w:tc>
          <w:tcPr>
            <w:tcW w:w="11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20,382</w:t>
            </w:r>
          </w:p>
        </w:tc>
        <w:tc>
          <w:tcPr>
            <w:tcW w:w="0" w:type="dxa"/>
            <w:vAlign w:val="bottom"/>
          </w:tcPr>
          <w:p>
            <w:pPr>
              <w:spacing w:after="0"/>
              <w:rPr>
                <w:sz w:val="1"/>
                <w:szCs w:val="1"/>
                <w:color w:val="auto"/>
              </w:rPr>
            </w:pPr>
          </w:p>
        </w:tc>
      </w:tr>
      <w:tr>
        <w:trPr>
          <w:trHeight w:val="206"/>
        </w:trPr>
        <w:tc>
          <w:tcPr>
            <w:tcW w:w="7860" w:type="dxa"/>
            <w:vAlign w:val="bottom"/>
            <w:tcBorders>
              <w:bottom w:val="single" w:sz="8" w:color="929292"/>
            </w:tcBorders>
          </w:tcPr>
          <w:p>
            <w:pPr>
              <w:ind w:left="20"/>
              <w:spacing w:after="0"/>
              <w:rPr>
                <w:sz w:val="20"/>
                <w:szCs w:val="20"/>
                <w:color w:val="auto"/>
              </w:rPr>
            </w:pPr>
            <w:r>
              <w:rPr>
                <w:rFonts w:ascii="Arial" w:cs="Arial" w:eastAsia="Arial" w:hAnsi="Arial"/>
                <w:sz w:val="16"/>
                <w:szCs w:val="16"/>
                <w:color w:val="auto"/>
              </w:rPr>
              <w:t>COMMITMENTS, CONTINGENCIES, AND GUARANTEES (Note B, Note G, and Note H)</w:t>
            </w:r>
          </w:p>
        </w:tc>
        <w:tc>
          <w:tcPr>
            <w:tcW w:w="218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EQUITY</w:t>
            </w:r>
          </w:p>
        </w:tc>
        <w:tc>
          <w:tcPr>
            <w:tcW w:w="218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rPr>
                <w:sz w:val="20"/>
                <w:szCs w:val="20"/>
                <w:color w:val="auto"/>
              </w:rPr>
            </w:pPr>
            <w:r>
              <w:rPr>
                <w:rFonts w:ascii="Arial" w:cs="Arial" w:eastAsia="Arial" w:hAnsi="Arial"/>
                <w:sz w:val="14"/>
                <w:szCs w:val="14"/>
                <w:color w:val="auto"/>
              </w:rPr>
              <w:t>Common shareholders’ equity</w:t>
            </w:r>
          </w:p>
        </w:tc>
        <w:tc>
          <w:tcPr>
            <w:tcW w:w="2180" w:type="dxa"/>
            <w:vAlign w:val="bottom"/>
          </w:tcPr>
          <w:p>
            <w:pPr>
              <w:jc w:val="right"/>
              <w:ind w:right="128"/>
              <w:spacing w:after="0"/>
              <w:rPr>
                <w:sz w:val="20"/>
                <w:szCs w:val="20"/>
                <w:color w:val="auto"/>
              </w:rPr>
            </w:pPr>
            <w:r>
              <w:rPr>
                <w:rFonts w:ascii="Arial" w:cs="Arial" w:eastAsia="Arial" w:hAnsi="Arial"/>
                <w:sz w:val="14"/>
                <w:szCs w:val="14"/>
                <w:color w:val="auto"/>
              </w:rPr>
              <w:t>19,743</w:t>
            </w:r>
          </w:p>
        </w:tc>
        <w:tc>
          <w:tcPr>
            <w:tcW w:w="1140" w:type="dxa"/>
            <w:vAlign w:val="bottom"/>
          </w:tcPr>
          <w:p>
            <w:pPr>
              <w:jc w:val="right"/>
              <w:spacing w:after="0"/>
              <w:rPr>
                <w:sz w:val="20"/>
                <w:szCs w:val="20"/>
                <w:color w:val="auto"/>
              </w:rPr>
            </w:pPr>
            <w:r>
              <w:rPr>
                <w:rFonts w:ascii="Arial" w:cs="Arial" w:eastAsia="Arial" w:hAnsi="Arial"/>
                <w:sz w:val="14"/>
                <w:szCs w:val="14"/>
                <w:color w:val="auto"/>
              </w:rPr>
              <w:t>18,847</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Noncontrolling interest</w:t>
            </w:r>
          </w:p>
        </w:tc>
        <w:tc>
          <w:tcPr>
            <w:tcW w:w="218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310</w:t>
            </w:r>
          </w:p>
        </w:tc>
        <w:tc>
          <w:tcPr>
            <w:tcW w:w="11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83"/>
        </w:trPr>
        <w:tc>
          <w:tcPr>
            <w:tcW w:w="78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TOTAL EQUITY (See Statement of Equity)</w:t>
            </w:r>
          </w:p>
        </w:tc>
        <w:tc>
          <w:tcPr>
            <w:tcW w:w="218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color w:val="auto"/>
              </w:rPr>
              <w:t>20,053</w:t>
            </w:r>
          </w:p>
        </w:tc>
        <w:tc>
          <w:tcPr>
            <w:tcW w:w="11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19,065</w:t>
            </w:r>
          </w:p>
        </w:tc>
        <w:tc>
          <w:tcPr>
            <w:tcW w:w="0" w:type="dxa"/>
            <w:vAlign w:val="bottom"/>
          </w:tcPr>
          <w:p>
            <w:pPr>
              <w:spacing w:after="0"/>
              <w:rPr>
                <w:sz w:val="1"/>
                <w:szCs w:val="1"/>
                <w:color w:val="auto"/>
              </w:rPr>
            </w:pPr>
          </w:p>
        </w:tc>
      </w:tr>
      <w:tr>
        <w:trPr>
          <w:trHeight w:val="183"/>
        </w:trPr>
        <w:tc>
          <w:tcPr>
            <w:tcW w:w="786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TOTAL LIABILITIES AND EQUITY</w:t>
            </w:r>
          </w:p>
        </w:tc>
        <w:tc>
          <w:tcPr>
            <w:tcW w:w="218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$62,919</w:t>
            </w:r>
          </w:p>
        </w:tc>
        <w:tc>
          <w:tcPr>
            <w:tcW w:w="11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$62,895</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828282"/>
        </w:rPr>
        <w:t>Consolidated Edison,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 OF EQUITY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00" w:type="dxa"/>
            <w:vAlign w:val="bottom"/>
          </w:tcPr>
          <w:p>
            <w:pPr>
              <w:spacing w:after="0"/>
              <w:rPr>
                <w:sz w:val="16"/>
                <w:szCs w:val="16"/>
                <w:color w:val="auto"/>
              </w:rPr>
            </w:pPr>
          </w:p>
        </w:tc>
        <w:tc>
          <w:tcPr>
            <w:tcW w:w="13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Treasury Stock</w:t>
            </w:r>
          </w:p>
        </w:tc>
        <w:tc>
          <w:tcPr>
            <w:tcW w:w="860" w:type="dxa"/>
            <w:vAlign w:val="bottom"/>
          </w:tcPr>
          <w:p>
            <w:pPr>
              <w:spacing w:after="0"/>
              <w:rPr>
                <w:sz w:val="16"/>
                <w:szCs w:val="16"/>
                <w:color w:val="auto"/>
              </w:rPr>
            </w:pPr>
          </w:p>
        </w:tc>
        <w:tc>
          <w:tcPr>
            <w:tcW w:w="1300" w:type="dxa"/>
            <w:vAlign w:val="bottom"/>
          </w:tcPr>
          <w:p>
            <w:pPr>
              <w:jc w:val="center"/>
              <w:ind w:right="10"/>
              <w:spacing w:after="0"/>
              <w:rPr>
                <w:sz w:val="20"/>
                <w:szCs w:val="20"/>
                <w:color w:val="auto"/>
              </w:rPr>
            </w:pPr>
            <w:r>
              <w:rPr>
                <w:rFonts w:ascii="Arial" w:cs="Arial" w:eastAsia="Arial" w:hAnsi="Arial"/>
                <w:sz w:val="14"/>
                <w:szCs w:val="14"/>
                <w:b w:val="1"/>
                <w:bCs w:val="1"/>
                <w:color w:val="auto"/>
              </w:rPr>
              <w:t>Accumulated</w:t>
            </w: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for dividends per</w:t>
            </w:r>
          </w:p>
        </w:tc>
        <w:tc>
          <w:tcPr>
            <w:tcW w:w="700" w:type="dxa"/>
            <w:vAlign w:val="bottom"/>
            <w:tcBorders>
              <w:bottom w:val="single" w:sz="8" w:color="8C8272"/>
            </w:tcBorders>
          </w:tcPr>
          <w:p>
            <w:pPr>
              <w:spacing w:after="0"/>
              <w:rPr>
                <w:sz w:val="3"/>
                <w:szCs w:val="3"/>
                <w:color w:val="auto"/>
              </w:rPr>
            </w:pPr>
          </w:p>
        </w:tc>
        <w:tc>
          <w:tcPr>
            <w:tcW w:w="680" w:type="dxa"/>
            <w:vAlign w:val="bottom"/>
            <w:tcBorders>
              <w:bottom w:val="single" w:sz="8" w:color="8C8272"/>
            </w:tcBorders>
          </w:tcPr>
          <w:p>
            <w:pPr>
              <w:spacing w:after="0"/>
              <w:rPr>
                <w:sz w:val="3"/>
                <w:szCs w:val="3"/>
                <w:color w:val="auto"/>
              </w:rPr>
            </w:pPr>
          </w:p>
        </w:tc>
        <w:tc>
          <w:tcPr>
            <w:tcW w:w="940" w:type="dxa"/>
            <w:vAlign w:val="bottom"/>
            <w:vMerge w:val="restart"/>
          </w:tcPr>
          <w:p>
            <w:pPr>
              <w:jc w:val="right"/>
              <w:ind w:right="49"/>
              <w:spacing w:after="0" w:line="95" w:lineRule="exact"/>
              <w:rPr>
                <w:sz w:val="20"/>
                <w:szCs w:val="20"/>
                <w:color w:val="auto"/>
              </w:rPr>
            </w:pPr>
            <w:r>
              <w:rPr>
                <w:rFonts w:ascii="Arial" w:cs="Arial" w:eastAsia="Arial" w:hAnsi="Arial"/>
                <w:sz w:val="10"/>
                <w:szCs w:val="10"/>
                <w:b w:val="1"/>
                <w:bCs w:val="1"/>
                <w:color w:val="auto"/>
              </w:rPr>
              <w:t>Additional</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Retained</w:t>
            </w:r>
          </w:p>
        </w:tc>
        <w:tc>
          <w:tcPr>
            <w:tcW w:w="680" w:type="dxa"/>
            <w:vAlign w:val="bottom"/>
            <w:tcBorders>
              <w:bottom w:val="single" w:sz="8" w:color="8C8272"/>
            </w:tcBorders>
          </w:tcPr>
          <w:p>
            <w:pPr>
              <w:spacing w:after="0"/>
              <w:rPr>
                <w:sz w:val="3"/>
                <w:szCs w:val="3"/>
                <w:color w:val="auto"/>
              </w:rPr>
            </w:pPr>
          </w:p>
        </w:tc>
        <w:tc>
          <w:tcPr>
            <w:tcW w:w="720" w:type="dxa"/>
            <w:vAlign w:val="bottom"/>
            <w:tcBorders>
              <w:bottom w:val="single" w:sz="8" w:color="8C8272"/>
            </w:tcBorders>
          </w:tcPr>
          <w:p>
            <w:pPr>
              <w:spacing w:after="0"/>
              <w:rPr>
                <w:sz w:val="3"/>
                <w:szCs w:val="3"/>
                <w:color w:val="auto"/>
              </w:rPr>
            </w:pPr>
          </w:p>
        </w:tc>
        <w:tc>
          <w:tcPr>
            <w:tcW w:w="86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Capital</w:t>
            </w:r>
          </w:p>
        </w:tc>
        <w:tc>
          <w:tcPr>
            <w:tcW w:w="1300" w:type="dxa"/>
            <w:vAlign w:val="bottom"/>
            <w:vMerge w:val="restart"/>
          </w:tcPr>
          <w:p>
            <w:pPr>
              <w:jc w:val="center"/>
              <w:ind w:right="10"/>
              <w:spacing w:after="0" w:line="95" w:lineRule="exact"/>
              <w:rPr>
                <w:sz w:val="20"/>
                <w:szCs w:val="20"/>
                <w:color w:val="auto"/>
              </w:rPr>
            </w:pPr>
            <w:r>
              <w:rPr>
                <w:rFonts w:ascii="Arial" w:cs="Arial" w:eastAsia="Arial" w:hAnsi="Arial"/>
                <w:sz w:val="10"/>
                <w:szCs w:val="10"/>
                <w:b w:val="1"/>
                <w:bCs w:val="1"/>
                <w:color w:val="auto"/>
              </w:rPr>
              <w:t>Other</w:t>
            </w:r>
          </w:p>
        </w:tc>
        <w:tc>
          <w:tcPr>
            <w:tcW w:w="88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Non-</w:t>
            </w: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00" w:type="dxa"/>
            <w:vAlign w:val="bottom"/>
            <w:vMerge w:val="continue"/>
          </w:tcPr>
          <w:p>
            <w:pPr>
              <w:spacing w:after="0"/>
              <w:rPr>
                <w:sz w:val="11"/>
                <w:szCs w:val="11"/>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right"/>
              <w:ind w:right="169"/>
              <w:spacing w:after="0" w:line="135" w:lineRule="exact"/>
              <w:rPr>
                <w:sz w:val="20"/>
                <w:szCs w:val="20"/>
                <w:color w:val="auto"/>
              </w:rPr>
            </w:pPr>
            <w:r>
              <w:rPr>
                <w:rFonts w:ascii="Arial" w:cs="Arial" w:eastAsia="Arial" w:hAnsi="Arial"/>
                <w:sz w:val="14"/>
                <w:szCs w:val="14"/>
                <w:b w:val="1"/>
                <w:bCs w:val="1"/>
                <w:color w:val="auto"/>
              </w:rPr>
              <w:t>Paid-In</w:t>
            </w:r>
          </w:p>
        </w:tc>
        <w:tc>
          <w:tcPr>
            <w:tcW w:w="760" w:type="dxa"/>
            <w:vAlign w:val="bottom"/>
            <w:vMerge w:val="continue"/>
          </w:tcPr>
          <w:p>
            <w:pPr>
              <w:spacing w:after="0"/>
              <w:rPr>
                <w:sz w:val="11"/>
                <w:szCs w:val="11"/>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Stock</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Comprehensive</w:t>
            </w: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controlling</w:t>
            </w: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90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share)</w:t>
            </w:r>
          </w:p>
        </w:tc>
        <w:tc>
          <w:tcPr>
            <w:tcW w:w="700" w:type="dxa"/>
            <w:vAlign w:val="bottom"/>
            <w:tcBorders>
              <w:bottom w:val="single" w:sz="8" w:color="8C8272"/>
            </w:tcBorders>
            <w:vMerge w:val="continue"/>
          </w:tcPr>
          <w:p>
            <w:pPr>
              <w:spacing w:after="0"/>
              <w:rPr>
                <w:sz w:val="15"/>
                <w:szCs w:val="15"/>
                <w:color w:val="auto"/>
              </w:rPr>
            </w:pPr>
          </w:p>
        </w:tc>
        <w:tc>
          <w:tcPr>
            <w:tcW w:w="680" w:type="dxa"/>
            <w:vAlign w:val="bottom"/>
            <w:tcBorders>
              <w:bottom w:val="single" w:sz="8" w:color="8C8272"/>
            </w:tcBorders>
            <w:vMerge w:val="continue"/>
          </w:tcPr>
          <w:p>
            <w:pPr>
              <w:spacing w:after="0"/>
              <w:rPr>
                <w:sz w:val="15"/>
                <w:szCs w:val="15"/>
                <w:color w:val="auto"/>
              </w:rPr>
            </w:pPr>
          </w:p>
        </w:tc>
        <w:tc>
          <w:tcPr>
            <w:tcW w:w="940" w:type="dxa"/>
            <w:vAlign w:val="bottom"/>
            <w:tcBorders>
              <w:bottom w:val="single" w:sz="8" w:color="8C8272"/>
            </w:tcBorders>
          </w:tcPr>
          <w:p>
            <w:pPr>
              <w:jc w:val="right"/>
              <w:ind w:right="169"/>
              <w:spacing w:after="0"/>
              <w:rPr>
                <w:sz w:val="20"/>
                <w:szCs w:val="20"/>
                <w:color w:val="auto"/>
              </w:rPr>
            </w:pPr>
            <w:r>
              <w:rPr>
                <w:rFonts w:ascii="Arial" w:cs="Arial" w:eastAsia="Arial" w:hAnsi="Arial"/>
                <w:sz w:val="14"/>
                <w:szCs w:val="14"/>
                <w:b w:val="1"/>
                <w:bCs w:val="1"/>
                <w:color w:val="auto"/>
              </w:rPr>
              <w:t>Capital</w:t>
            </w:r>
          </w:p>
        </w:tc>
        <w:tc>
          <w:tcPr>
            <w:tcW w:w="76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b w:val="1"/>
                <w:bCs w:val="1"/>
                <w:color w:val="auto"/>
              </w:rPr>
              <w:t>Earnings</w:t>
            </w:r>
          </w:p>
        </w:tc>
        <w:tc>
          <w:tcPr>
            <w:tcW w:w="680" w:type="dxa"/>
            <w:vAlign w:val="bottom"/>
            <w:tcBorders>
              <w:bottom w:val="single" w:sz="8" w:color="8C8272"/>
            </w:tcBorders>
            <w:vMerge w:val="continue"/>
          </w:tcPr>
          <w:p>
            <w:pPr>
              <w:spacing w:after="0"/>
              <w:rPr>
                <w:sz w:val="15"/>
                <w:szCs w:val="15"/>
                <w:color w:val="auto"/>
              </w:rPr>
            </w:pPr>
          </w:p>
        </w:tc>
        <w:tc>
          <w:tcPr>
            <w:tcW w:w="720" w:type="dxa"/>
            <w:vAlign w:val="bottom"/>
            <w:tcBorders>
              <w:bottom w:val="single" w:sz="8" w:color="8C8272"/>
            </w:tcBorders>
            <w:vMerge w:val="continue"/>
          </w:tcPr>
          <w:p>
            <w:pPr>
              <w:spacing w:after="0"/>
              <w:rPr>
                <w:sz w:val="15"/>
                <w:szCs w:val="15"/>
                <w:color w:val="auto"/>
              </w:rPr>
            </w:pPr>
          </w:p>
        </w:tc>
        <w:tc>
          <w:tcPr>
            <w:tcW w:w="860" w:type="dxa"/>
            <w:vAlign w:val="bottom"/>
            <w:tcBorders>
              <w:bottom w:val="single" w:sz="8" w:color="8C8272"/>
            </w:tcBorders>
          </w:tcPr>
          <w:p>
            <w:pPr>
              <w:jc w:val="center"/>
              <w:spacing w:after="0"/>
              <w:rPr>
                <w:sz w:val="20"/>
                <w:szCs w:val="20"/>
                <w:color w:val="auto"/>
              </w:rPr>
            </w:pPr>
            <w:r>
              <w:rPr>
                <w:rFonts w:ascii="Arial" w:cs="Arial" w:eastAsia="Arial" w:hAnsi="Arial"/>
                <w:sz w:val="14"/>
                <w:szCs w:val="14"/>
                <w:b w:val="1"/>
                <w:bCs w:val="1"/>
                <w:color w:val="auto"/>
              </w:rPr>
              <w:t>Expense</w:t>
            </w:r>
          </w:p>
        </w:tc>
        <w:tc>
          <w:tcPr>
            <w:tcW w:w="1300" w:type="dxa"/>
            <w:vAlign w:val="bottom"/>
            <w:tcBorders>
              <w:bottom w:val="single" w:sz="8" w:color="8C8272"/>
            </w:tcBorders>
          </w:tcPr>
          <w:p>
            <w:pPr>
              <w:jc w:val="center"/>
              <w:ind w:right="10"/>
              <w:spacing w:after="0"/>
              <w:rPr>
                <w:sz w:val="20"/>
                <w:szCs w:val="20"/>
                <w:color w:val="auto"/>
              </w:rPr>
            </w:pPr>
            <w:r>
              <w:rPr>
                <w:rFonts w:ascii="Arial" w:cs="Arial" w:eastAsia="Arial" w:hAnsi="Arial"/>
                <w:sz w:val="14"/>
                <w:szCs w:val="14"/>
                <w:b w:val="1"/>
                <w:bCs w:val="1"/>
                <w:color w:val="auto"/>
              </w:rPr>
              <w:t>Income/(Loss)</w:t>
            </w:r>
          </w:p>
        </w:tc>
        <w:tc>
          <w:tcPr>
            <w:tcW w:w="880" w:type="dxa"/>
            <w:vAlign w:val="bottom"/>
            <w:tcBorders>
              <w:bottom w:val="single" w:sz="8" w:color="8C8272"/>
            </w:tcBorders>
          </w:tcPr>
          <w:p>
            <w:pPr>
              <w:jc w:val="center"/>
              <w:spacing w:after="0"/>
              <w:rPr>
                <w:sz w:val="20"/>
                <w:szCs w:val="20"/>
                <w:color w:val="auto"/>
              </w:rPr>
            </w:pPr>
            <w:r>
              <w:rPr>
                <w:rFonts w:ascii="Arial" w:cs="Arial" w:eastAsia="Arial" w:hAnsi="Arial"/>
                <w:sz w:val="14"/>
                <w:szCs w:val="14"/>
                <w:b w:val="1"/>
                <w:bCs w:val="1"/>
                <w:color w:val="auto"/>
              </w:rPr>
              <w:t>Interest</w:t>
            </w:r>
          </w:p>
        </w:tc>
        <w:tc>
          <w:tcPr>
            <w:tcW w:w="820" w:type="dxa"/>
            <w:vAlign w:val="bottom"/>
            <w:tcBorders>
              <w:bottom w:val="single" w:sz="8" w:color="828282"/>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00" w:type="dxa"/>
            <w:vAlign w:val="bottom"/>
            <w:tcBorders>
              <w:bottom w:val="single" w:sz="8" w:color="8C8272"/>
            </w:tcBorders>
            <w:shd w:val="clear" w:color="auto" w:fill="DBDBDB"/>
          </w:tcPr>
          <w:p>
            <w:pPr>
              <w:ind w:left="180"/>
              <w:spacing w:after="0"/>
              <w:rPr>
                <w:sz w:val="20"/>
                <w:szCs w:val="20"/>
                <w:color w:val="auto"/>
              </w:rPr>
            </w:pPr>
            <w:r>
              <w:rPr>
                <w:rFonts w:ascii="Arial" w:cs="Arial" w:eastAsia="Arial" w:hAnsi="Arial"/>
                <w:sz w:val="14"/>
                <w:szCs w:val="14"/>
                <w:color w:val="auto"/>
              </w:rPr>
              <w:t>BALANCE AS OF DECEMBER 31, 2019</w:t>
            </w:r>
          </w:p>
        </w:tc>
        <w:tc>
          <w:tcPr>
            <w:tcW w:w="70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333</w:t>
            </w:r>
          </w:p>
        </w:tc>
        <w:tc>
          <w:tcPr>
            <w:tcW w:w="68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$35</w:t>
            </w:r>
          </w:p>
        </w:tc>
        <w:tc>
          <w:tcPr>
            <w:tcW w:w="94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$8,054</w:t>
            </w:r>
          </w:p>
        </w:tc>
        <w:tc>
          <w:tcPr>
            <w:tcW w:w="76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$11,100</w:t>
            </w:r>
          </w:p>
        </w:tc>
        <w:tc>
          <w:tcPr>
            <w:tcW w:w="68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23</w:t>
            </w:r>
          </w:p>
        </w:tc>
        <w:tc>
          <w:tcPr>
            <w:tcW w:w="72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$(1,038)</w:t>
            </w:r>
          </w:p>
        </w:tc>
        <w:tc>
          <w:tcPr>
            <w:tcW w:w="86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$(110)</w:t>
            </w:r>
          </w:p>
        </w:tc>
        <w:tc>
          <w:tcPr>
            <w:tcW w:w="130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$(19)</w:t>
            </w:r>
          </w:p>
        </w:tc>
        <w:tc>
          <w:tcPr>
            <w:tcW w:w="88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$191</w:t>
            </w:r>
          </w:p>
        </w:tc>
        <w:tc>
          <w:tcPr>
            <w:tcW w:w="820" w:type="dxa"/>
            <w:vAlign w:val="bottom"/>
            <w:tcBorders>
              <w:bottom w:val="single" w:sz="8" w:color="828282"/>
            </w:tcBorders>
            <w:shd w:val="clear" w:color="auto" w:fill="DBDBDB"/>
          </w:tcPr>
          <w:p>
            <w:pPr>
              <w:jc w:val="right"/>
              <w:spacing w:after="0"/>
              <w:rPr>
                <w:sz w:val="20"/>
                <w:szCs w:val="20"/>
                <w:color w:val="auto"/>
              </w:rPr>
            </w:pPr>
            <w:r>
              <w:rPr>
                <w:rFonts w:ascii="Arial" w:cs="Arial" w:eastAsia="Arial" w:hAnsi="Arial"/>
                <w:sz w:val="14"/>
                <w:szCs w:val="14"/>
                <w:color w:val="auto"/>
              </w:rPr>
              <w:t>$18,213</w:t>
            </w:r>
          </w:p>
        </w:tc>
        <w:tc>
          <w:tcPr>
            <w:tcW w:w="0" w:type="dxa"/>
            <w:vAlign w:val="bottom"/>
          </w:tcPr>
          <w:p>
            <w:pPr>
              <w:spacing w:after="0"/>
              <w:rPr>
                <w:sz w:val="1"/>
                <w:szCs w:val="1"/>
                <w:color w:val="auto"/>
              </w:rPr>
            </w:pPr>
          </w:p>
        </w:tc>
      </w:tr>
      <w:tr>
        <w:trPr>
          <w:trHeight w:val="183"/>
        </w:trPr>
        <w:tc>
          <w:tcPr>
            <w:tcW w:w="29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375</w:t>
            </w: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c>
          <w:tcPr>
            <w:tcW w:w="820" w:type="dxa"/>
            <w:vAlign w:val="bottom"/>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53"/>
        </w:trPr>
        <w:tc>
          <w:tcPr>
            <w:tcW w:w="2900" w:type="dxa"/>
            <w:vAlign w:val="bottom"/>
            <w:shd w:val="clear" w:color="auto" w:fill="DBDBDB"/>
          </w:tcPr>
          <w:p>
            <w:pPr>
              <w:ind w:left="180"/>
              <w:spacing w:after="0" w:line="153" w:lineRule="exact"/>
              <w:rPr>
                <w:sz w:val="20"/>
                <w:szCs w:val="20"/>
                <w:color w:val="auto"/>
              </w:rPr>
            </w:pPr>
            <w:r>
              <w:rPr>
                <w:rFonts w:ascii="Arial" w:cs="Arial" w:eastAsia="Arial" w:hAnsi="Arial"/>
                <w:sz w:val="14"/>
                <w:szCs w:val="14"/>
                <w:color w:val="auto"/>
              </w:rPr>
              <w:t>Common stock dividends ($0.76 per</w:t>
            </w:r>
          </w:p>
        </w:tc>
        <w:tc>
          <w:tcPr>
            <w:tcW w:w="70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(255)</w:t>
            </w:r>
          </w:p>
        </w:tc>
        <w:tc>
          <w:tcPr>
            <w:tcW w:w="6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71"/>
        </w:trPr>
        <w:tc>
          <w:tcPr>
            <w:tcW w:w="2900" w:type="dxa"/>
            <w:vAlign w:val="bottom"/>
            <w:shd w:val="clear" w:color="auto" w:fill="DBDBDB"/>
          </w:tcPr>
          <w:p>
            <w:pPr>
              <w:ind w:left="180"/>
              <w:spacing w:after="0"/>
              <w:rPr>
                <w:sz w:val="20"/>
                <w:szCs w:val="20"/>
                <w:color w:val="auto"/>
              </w:rPr>
            </w:pPr>
            <w:r>
              <w:rPr>
                <w:rFonts w:ascii="Arial" w:cs="Arial" w:eastAsia="Arial" w:hAnsi="Arial"/>
                <w:sz w:val="14"/>
                <w:szCs w:val="14"/>
                <w:color w:val="auto"/>
              </w:rPr>
              <w:t>share)</w:t>
            </w:r>
          </w:p>
        </w:tc>
        <w:tc>
          <w:tcPr>
            <w:tcW w:w="70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760" w:type="dxa"/>
            <w:vAlign w:val="bottom"/>
            <w:vMerge w:val="continue"/>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82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180"/>
              <w:spacing w:after="0" w:line="153" w:lineRule="exact"/>
              <w:rPr>
                <w:sz w:val="20"/>
                <w:szCs w:val="20"/>
                <w:color w:val="auto"/>
              </w:rPr>
            </w:pPr>
            <w:r>
              <w:rPr>
                <w:rFonts w:ascii="Arial" w:cs="Arial" w:eastAsia="Arial" w:hAnsi="Arial"/>
                <w:sz w:val="14"/>
                <w:szCs w:val="14"/>
                <w:color w:val="auto"/>
              </w:rPr>
              <w:t>Issuance of common shares - public</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6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71"/>
        </w:trPr>
        <w:tc>
          <w:tcPr>
            <w:tcW w:w="2900" w:type="dxa"/>
            <w:vAlign w:val="bottom"/>
          </w:tcPr>
          <w:p>
            <w:pPr>
              <w:ind w:left="180"/>
              <w:spacing w:after="0"/>
              <w:rPr>
                <w:sz w:val="20"/>
                <w:szCs w:val="20"/>
                <w:color w:val="auto"/>
              </w:rPr>
            </w:pPr>
            <w:r>
              <w:rPr>
                <w:rFonts w:ascii="Arial" w:cs="Arial" w:eastAsia="Arial" w:hAnsi="Arial"/>
                <w:sz w:val="14"/>
                <w:szCs w:val="14"/>
                <w:color w:val="auto"/>
              </w:rPr>
              <w:t>offering</w:t>
            </w:r>
          </w:p>
        </w:tc>
        <w:tc>
          <w:tcPr>
            <w:tcW w:w="7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DBDBDB"/>
          </w:tcPr>
          <w:p>
            <w:pPr>
              <w:ind w:left="180"/>
              <w:spacing w:after="0" w:line="153" w:lineRule="exact"/>
              <w:rPr>
                <w:sz w:val="20"/>
                <w:szCs w:val="20"/>
                <w:color w:val="auto"/>
              </w:rPr>
            </w:pPr>
            <w:r>
              <w:rPr>
                <w:rFonts w:ascii="Arial" w:cs="Arial" w:eastAsia="Arial" w:hAnsi="Arial"/>
                <w:sz w:val="14"/>
                <w:szCs w:val="14"/>
                <w:color w:val="auto"/>
              </w:rPr>
              <w:t>Issuance of common shares for stock</w:t>
            </w:r>
          </w:p>
        </w:tc>
        <w:tc>
          <w:tcPr>
            <w:tcW w:w="70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26</w:t>
            </w:r>
          </w:p>
        </w:tc>
        <w:tc>
          <w:tcPr>
            <w:tcW w:w="76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1"/>
        </w:trPr>
        <w:tc>
          <w:tcPr>
            <w:tcW w:w="2900" w:type="dxa"/>
            <w:vAlign w:val="bottom"/>
            <w:shd w:val="clear" w:color="auto" w:fill="DBDBDB"/>
          </w:tcPr>
          <w:p>
            <w:pPr>
              <w:ind w:left="180"/>
              <w:spacing w:after="0"/>
              <w:rPr>
                <w:sz w:val="20"/>
                <w:szCs w:val="20"/>
                <w:color w:val="auto"/>
              </w:rPr>
            </w:pPr>
            <w:r>
              <w:rPr>
                <w:rFonts w:ascii="Arial" w:cs="Arial" w:eastAsia="Arial" w:hAnsi="Arial"/>
                <w:sz w:val="14"/>
                <w:szCs w:val="14"/>
                <w:color w:val="auto"/>
              </w:rPr>
              <w:t>plans</w:t>
            </w:r>
          </w:p>
        </w:tc>
        <w:tc>
          <w:tcPr>
            <w:tcW w:w="70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940" w:type="dxa"/>
            <w:vAlign w:val="bottom"/>
            <w:vMerge w:val="continue"/>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82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0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w:t>
            </w:r>
          </w:p>
        </w:tc>
        <w:tc>
          <w:tcPr>
            <w:tcW w:w="8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900" w:type="dxa"/>
            <w:vAlign w:val="bottom"/>
            <w:tcBorders>
              <w:bottom w:val="single" w:sz="8" w:color="8C8272"/>
            </w:tcBorders>
            <w:shd w:val="clear" w:color="auto" w:fill="DBDBDB"/>
          </w:tcPr>
          <w:p>
            <w:pPr>
              <w:ind w:left="180"/>
              <w:spacing w:after="0"/>
              <w:rPr>
                <w:sz w:val="20"/>
                <w:szCs w:val="20"/>
                <w:color w:val="auto"/>
              </w:rPr>
            </w:pPr>
            <w:r>
              <w:rPr>
                <w:rFonts w:ascii="Arial" w:cs="Arial" w:eastAsia="Arial" w:hAnsi="Arial"/>
                <w:sz w:val="14"/>
                <w:szCs w:val="14"/>
                <w:color w:val="auto"/>
              </w:rPr>
              <w:t>Distributions to noncontrolling interests</w:t>
            </w:r>
          </w:p>
        </w:tc>
        <w:tc>
          <w:tcPr>
            <w:tcW w:w="700" w:type="dxa"/>
            <w:vAlign w:val="bottom"/>
            <w:tcBorders>
              <w:bottom w:val="single" w:sz="8" w:color="8C8272"/>
            </w:tcBorders>
            <w:shd w:val="clear" w:color="auto" w:fill="DBDBDB"/>
          </w:tcPr>
          <w:p>
            <w:pPr>
              <w:spacing w:after="0"/>
              <w:rPr>
                <w:sz w:val="16"/>
                <w:szCs w:val="16"/>
                <w:color w:val="auto"/>
              </w:rPr>
            </w:pPr>
          </w:p>
        </w:tc>
        <w:tc>
          <w:tcPr>
            <w:tcW w:w="680" w:type="dxa"/>
            <w:vAlign w:val="bottom"/>
            <w:tcBorders>
              <w:bottom w:val="single" w:sz="8" w:color="8C8272"/>
            </w:tcBorders>
            <w:shd w:val="clear" w:color="auto" w:fill="DBDBDB"/>
          </w:tcPr>
          <w:p>
            <w:pPr>
              <w:spacing w:after="0"/>
              <w:rPr>
                <w:sz w:val="16"/>
                <w:szCs w:val="16"/>
                <w:color w:val="auto"/>
              </w:rPr>
            </w:pPr>
          </w:p>
        </w:tc>
        <w:tc>
          <w:tcPr>
            <w:tcW w:w="940" w:type="dxa"/>
            <w:vAlign w:val="bottom"/>
            <w:tcBorders>
              <w:bottom w:val="single" w:sz="8" w:color="8C8272"/>
            </w:tcBorders>
            <w:shd w:val="clear" w:color="auto" w:fill="DBDBDB"/>
          </w:tcPr>
          <w:p>
            <w:pPr>
              <w:spacing w:after="0"/>
              <w:rPr>
                <w:sz w:val="16"/>
                <w:szCs w:val="16"/>
                <w:color w:val="auto"/>
              </w:rPr>
            </w:pPr>
          </w:p>
        </w:tc>
        <w:tc>
          <w:tcPr>
            <w:tcW w:w="760" w:type="dxa"/>
            <w:vAlign w:val="bottom"/>
            <w:tcBorders>
              <w:bottom w:val="single" w:sz="8" w:color="8C8272"/>
            </w:tcBorders>
            <w:shd w:val="clear" w:color="auto" w:fill="DBDBDB"/>
          </w:tcPr>
          <w:p>
            <w:pPr>
              <w:spacing w:after="0"/>
              <w:rPr>
                <w:sz w:val="16"/>
                <w:szCs w:val="16"/>
                <w:color w:val="auto"/>
              </w:rPr>
            </w:pPr>
          </w:p>
        </w:tc>
        <w:tc>
          <w:tcPr>
            <w:tcW w:w="680" w:type="dxa"/>
            <w:vAlign w:val="bottom"/>
            <w:tcBorders>
              <w:bottom w:val="single" w:sz="8" w:color="8C8272"/>
            </w:tcBorders>
            <w:shd w:val="clear" w:color="auto" w:fill="DBDBDB"/>
          </w:tcPr>
          <w:p>
            <w:pPr>
              <w:spacing w:after="0"/>
              <w:rPr>
                <w:sz w:val="16"/>
                <w:szCs w:val="16"/>
                <w:color w:val="auto"/>
              </w:rPr>
            </w:pPr>
          </w:p>
        </w:tc>
        <w:tc>
          <w:tcPr>
            <w:tcW w:w="720" w:type="dxa"/>
            <w:vAlign w:val="bottom"/>
            <w:tcBorders>
              <w:bottom w:val="single" w:sz="8" w:color="8C8272"/>
            </w:tcBorders>
            <w:shd w:val="clear" w:color="auto" w:fill="DBDBDB"/>
          </w:tcPr>
          <w:p>
            <w:pPr>
              <w:spacing w:after="0"/>
              <w:rPr>
                <w:sz w:val="16"/>
                <w:szCs w:val="16"/>
                <w:color w:val="auto"/>
              </w:rPr>
            </w:pPr>
          </w:p>
        </w:tc>
        <w:tc>
          <w:tcPr>
            <w:tcW w:w="860" w:type="dxa"/>
            <w:vAlign w:val="bottom"/>
            <w:tcBorders>
              <w:bottom w:val="single" w:sz="8" w:color="8C8272"/>
            </w:tcBorders>
            <w:shd w:val="clear" w:color="auto" w:fill="DBDBDB"/>
          </w:tcPr>
          <w:p>
            <w:pPr>
              <w:spacing w:after="0"/>
              <w:rPr>
                <w:sz w:val="16"/>
                <w:szCs w:val="16"/>
                <w:color w:val="auto"/>
              </w:rPr>
            </w:pPr>
          </w:p>
        </w:tc>
        <w:tc>
          <w:tcPr>
            <w:tcW w:w="1300" w:type="dxa"/>
            <w:vAlign w:val="bottom"/>
            <w:tcBorders>
              <w:bottom w:val="single" w:sz="8" w:color="8C8272"/>
            </w:tcBorders>
            <w:shd w:val="clear" w:color="auto" w:fill="DBDBDB"/>
          </w:tcPr>
          <w:p>
            <w:pPr>
              <w:spacing w:after="0"/>
              <w:rPr>
                <w:sz w:val="16"/>
                <w:szCs w:val="16"/>
                <w:color w:val="auto"/>
              </w:rPr>
            </w:pPr>
          </w:p>
        </w:tc>
        <w:tc>
          <w:tcPr>
            <w:tcW w:w="88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820" w:type="dxa"/>
            <w:vAlign w:val="bottom"/>
            <w:tcBorders>
              <w:bottom w:val="single" w:sz="8" w:color="828282"/>
            </w:tcBorders>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2900" w:type="dxa"/>
            <w:vAlign w:val="bottom"/>
            <w:tcBorders>
              <w:bottom w:val="single" w:sz="8" w:color="8C8272"/>
            </w:tcBorders>
          </w:tcPr>
          <w:p>
            <w:pPr>
              <w:ind w:left="180"/>
              <w:spacing w:after="0"/>
              <w:rPr>
                <w:sz w:val="20"/>
                <w:szCs w:val="20"/>
                <w:color w:val="auto"/>
              </w:rPr>
            </w:pPr>
            <w:r>
              <w:rPr>
                <w:rFonts w:ascii="Arial" w:cs="Arial" w:eastAsia="Arial" w:hAnsi="Arial"/>
                <w:sz w:val="14"/>
                <w:szCs w:val="14"/>
                <w:color w:val="auto"/>
              </w:rPr>
              <w:t>BALANCE AS OF MARCH 31, 2020</w:t>
            </w:r>
          </w:p>
        </w:tc>
        <w:tc>
          <w:tcPr>
            <w:tcW w:w="7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334</w:t>
            </w:r>
          </w:p>
        </w:tc>
        <w:tc>
          <w:tcPr>
            <w:tcW w:w="6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$35</w:t>
            </w:r>
          </w:p>
        </w:tc>
        <w:tc>
          <w:tcPr>
            <w:tcW w:w="9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$8,168</w:t>
            </w:r>
          </w:p>
        </w:tc>
        <w:tc>
          <w:tcPr>
            <w:tcW w:w="7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$11,220</w:t>
            </w:r>
          </w:p>
        </w:tc>
        <w:tc>
          <w:tcPr>
            <w:tcW w:w="6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23</w:t>
            </w:r>
          </w:p>
        </w:tc>
        <w:tc>
          <w:tcPr>
            <w:tcW w:w="7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$(1,038)</w:t>
            </w:r>
          </w:p>
        </w:tc>
        <w:tc>
          <w:tcPr>
            <w:tcW w:w="8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$(110)</w:t>
            </w:r>
          </w:p>
        </w:tc>
        <w:tc>
          <w:tcPr>
            <w:tcW w:w="13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$(14)</w:t>
            </w:r>
          </w:p>
        </w:tc>
        <w:tc>
          <w:tcPr>
            <w:tcW w:w="8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$206</w:t>
            </w:r>
          </w:p>
        </w:tc>
        <w:tc>
          <w:tcPr>
            <w:tcW w:w="82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$18,467</w:t>
            </w:r>
          </w:p>
        </w:tc>
        <w:tc>
          <w:tcPr>
            <w:tcW w:w="0" w:type="dxa"/>
            <w:vAlign w:val="bottom"/>
          </w:tcPr>
          <w:p>
            <w:pPr>
              <w:spacing w:after="0"/>
              <w:rPr>
                <w:sz w:val="1"/>
                <w:szCs w:val="1"/>
                <w:color w:val="auto"/>
              </w:rPr>
            </w:pPr>
          </w:p>
        </w:tc>
      </w:tr>
      <w:tr>
        <w:trPr>
          <w:trHeight w:val="183"/>
        </w:trPr>
        <w:tc>
          <w:tcPr>
            <w:tcW w:w="2900" w:type="dxa"/>
            <w:vAlign w:val="bottom"/>
            <w:shd w:val="clear" w:color="auto" w:fill="DBDBDB"/>
          </w:tcPr>
          <w:p>
            <w:pPr>
              <w:ind w:left="180"/>
              <w:spacing w:after="0"/>
              <w:rPr>
                <w:sz w:val="20"/>
                <w:szCs w:val="20"/>
                <w:color w:val="auto"/>
              </w:rPr>
            </w:pPr>
            <w:r>
              <w:rPr>
                <w:rFonts w:ascii="Arial" w:cs="Arial" w:eastAsia="Arial" w:hAnsi="Arial"/>
                <w:sz w:val="14"/>
                <w:szCs w:val="14"/>
                <w:color w:val="auto"/>
              </w:rPr>
              <w:t>Net income</w:t>
            </w:r>
          </w:p>
        </w:tc>
        <w:tc>
          <w:tcPr>
            <w:tcW w:w="70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190</w:t>
            </w:r>
          </w:p>
        </w:tc>
        <w:tc>
          <w:tcPr>
            <w:tcW w:w="68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53"/>
        </w:trPr>
        <w:tc>
          <w:tcPr>
            <w:tcW w:w="2900" w:type="dxa"/>
            <w:vAlign w:val="bottom"/>
          </w:tcPr>
          <w:p>
            <w:pPr>
              <w:ind w:left="180"/>
              <w:spacing w:after="0" w:line="153" w:lineRule="exact"/>
              <w:rPr>
                <w:sz w:val="20"/>
                <w:szCs w:val="20"/>
                <w:color w:val="auto"/>
              </w:rPr>
            </w:pPr>
            <w:r>
              <w:rPr>
                <w:rFonts w:ascii="Arial" w:cs="Arial" w:eastAsia="Arial" w:hAnsi="Arial"/>
                <w:sz w:val="14"/>
                <w:szCs w:val="14"/>
                <w:color w:val="auto"/>
              </w:rPr>
              <w:t>Common stock dividends ($0.76 per</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(256)</w:t>
            </w: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71"/>
        </w:trPr>
        <w:tc>
          <w:tcPr>
            <w:tcW w:w="2900" w:type="dxa"/>
            <w:vAlign w:val="bottom"/>
          </w:tcPr>
          <w:p>
            <w:pPr>
              <w:ind w:left="180"/>
              <w:spacing w:after="0"/>
              <w:rPr>
                <w:sz w:val="20"/>
                <w:szCs w:val="20"/>
                <w:color w:val="auto"/>
              </w:rPr>
            </w:pPr>
            <w:r>
              <w:rPr>
                <w:rFonts w:ascii="Arial" w:cs="Arial" w:eastAsia="Arial" w:hAnsi="Arial"/>
                <w:sz w:val="14"/>
                <w:szCs w:val="14"/>
                <w:color w:val="auto"/>
              </w:rPr>
              <w:t>share)</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DBDBDB"/>
          </w:tcPr>
          <w:p>
            <w:pPr>
              <w:ind w:left="180"/>
              <w:spacing w:after="0" w:line="153" w:lineRule="exact"/>
              <w:rPr>
                <w:sz w:val="20"/>
                <w:szCs w:val="20"/>
                <w:color w:val="auto"/>
              </w:rPr>
            </w:pPr>
            <w:r>
              <w:rPr>
                <w:rFonts w:ascii="Arial" w:cs="Arial" w:eastAsia="Arial" w:hAnsi="Arial"/>
                <w:sz w:val="14"/>
                <w:szCs w:val="14"/>
                <w:color w:val="auto"/>
              </w:rPr>
              <w:t>Issuance of common shares for stock</w:t>
            </w:r>
          </w:p>
        </w:tc>
        <w:tc>
          <w:tcPr>
            <w:tcW w:w="70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30</w:t>
            </w:r>
          </w:p>
        </w:tc>
        <w:tc>
          <w:tcPr>
            <w:tcW w:w="76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1"/>
        </w:trPr>
        <w:tc>
          <w:tcPr>
            <w:tcW w:w="2900" w:type="dxa"/>
            <w:vAlign w:val="bottom"/>
            <w:shd w:val="clear" w:color="auto" w:fill="DBDBDB"/>
          </w:tcPr>
          <w:p>
            <w:pPr>
              <w:ind w:left="180"/>
              <w:spacing w:after="0"/>
              <w:rPr>
                <w:sz w:val="20"/>
                <w:szCs w:val="20"/>
                <w:color w:val="auto"/>
              </w:rPr>
            </w:pPr>
            <w:r>
              <w:rPr>
                <w:rFonts w:ascii="Arial" w:cs="Arial" w:eastAsia="Arial" w:hAnsi="Arial"/>
                <w:sz w:val="14"/>
                <w:szCs w:val="14"/>
                <w:color w:val="auto"/>
              </w:rPr>
              <w:t>plans</w:t>
            </w:r>
          </w:p>
        </w:tc>
        <w:tc>
          <w:tcPr>
            <w:tcW w:w="70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940" w:type="dxa"/>
            <w:vAlign w:val="bottom"/>
            <w:vMerge w:val="continue"/>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82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00" w:type="dxa"/>
            <w:vAlign w:val="bottom"/>
            <w:tcBorders>
              <w:bottom w:val="single" w:sz="8" w:color="8C8272"/>
            </w:tcBorders>
          </w:tcPr>
          <w:p>
            <w:pPr>
              <w:ind w:left="180"/>
              <w:spacing w:after="0"/>
              <w:rPr>
                <w:sz w:val="20"/>
                <w:szCs w:val="20"/>
                <w:color w:val="auto"/>
              </w:rPr>
            </w:pPr>
            <w:r>
              <w:rPr>
                <w:rFonts w:ascii="Arial" w:cs="Arial" w:eastAsia="Arial" w:hAnsi="Arial"/>
                <w:sz w:val="14"/>
                <w:szCs w:val="14"/>
                <w:color w:val="auto"/>
              </w:rPr>
              <w:t>Distributions to noncontrolling interest</w:t>
            </w:r>
          </w:p>
        </w:tc>
        <w:tc>
          <w:tcPr>
            <w:tcW w:w="700" w:type="dxa"/>
            <w:vAlign w:val="bottom"/>
            <w:tcBorders>
              <w:bottom w:val="single" w:sz="8" w:color="8C8272"/>
            </w:tcBorders>
          </w:tcPr>
          <w:p>
            <w:pPr>
              <w:spacing w:after="0"/>
              <w:rPr>
                <w:sz w:val="16"/>
                <w:szCs w:val="16"/>
                <w:color w:val="auto"/>
              </w:rPr>
            </w:pPr>
          </w:p>
        </w:tc>
        <w:tc>
          <w:tcPr>
            <w:tcW w:w="680" w:type="dxa"/>
            <w:vAlign w:val="bottom"/>
            <w:tcBorders>
              <w:bottom w:val="single" w:sz="8" w:color="8C8272"/>
            </w:tcBorders>
          </w:tcPr>
          <w:p>
            <w:pPr>
              <w:spacing w:after="0"/>
              <w:rPr>
                <w:sz w:val="16"/>
                <w:szCs w:val="16"/>
                <w:color w:val="auto"/>
              </w:rPr>
            </w:pPr>
          </w:p>
        </w:tc>
        <w:tc>
          <w:tcPr>
            <w:tcW w:w="940" w:type="dxa"/>
            <w:vAlign w:val="bottom"/>
            <w:tcBorders>
              <w:bottom w:val="single" w:sz="8" w:color="8C8272"/>
            </w:tcBorders>
          </w:tcPr>
          <w:p>
            <w:pPr>
              <w:spacing w:after="0"/>
              <w:rPr>
                <w:sz w:val="16"/>
                <w:szCs w:val="16"/>
                <w:color w:val="auto"/>
              </w:rPr>
            </w:pPr>
          </w:p>
        </w:tc>
        <w:tc>
          <w:tcPr>
            <w:tcW w:w="760" w:type="dxa"/>
            <w:vAlign w:val="bottom"/>
            <w:tcBorders>
              <w:bottom w:val="single" w:sz="8" w:color="8C8272"/>
            </w:tcBorders>
          </w:tcPr>
          <w:p>
            <w:pPr>
              <w:spacing w:after="0"/>
              <w:rPr>
                <w:sz w:val="16"/>
                <w:szCs w:val="16"/>
                <w:color w:val="auto"/>
              </w:rPr>
            </w:pPr>
          </w:p>
        </w:tc>
        <w:tc>
          <w:tcPr>
            <w:tcW w:w="680" w:type="dxa"/>
            <w:vAlign w:val="bottom"/>
            <w:tcBorders>
              <w:bottom w:val="single" w:sz="8" w:color="8C8272"/>
            </w:tcBorders>
          </w:tcPr>
          <w:p>
            <w:pPr>
              <w:spacing w:after="0"/>
              <w:rPr>
                <w:sz w:val="16"/>
                <w:szCs w:val="16"/>
                <w:color w:val="auto"/>
              </w:rPr>
            </w:pPr>
          </w:p>
        </w:tc>
        <w:tc>
          <w:tcPr>
            <w:tcW w:w="720" w:type="dxa"/>
            <w:vAlign w:val="bottom"/>
            <w:tcBorders>
              <w:bottom w:val="single" w:sz="8" w:color="8C8272"/>
            </w:tcBorders>
          </w:tcPr>
          <w:p>
            <w:pPr>
              <w:spacing w:after="0"/>
              <w:rPr>
                <w:sz w:val="16"/>
                <w:szCs w:val="16"/>
                <w:color w:val="auto"/>
              </w:rPr>
            </w:pPr>
          </w:p>
        </w:tc>
        <w:tc>
          <w:tcPr>
            <w:tcW w:w="860" w:type="dxa"/>
            <w:vAlign w:val="bottom"/>
            <w:tcBorders>
              <w:bottom w:val="single" w:sz="8" w:color="8C8272"/>
            </w:tcBorders>
          </w:tcPr>
          <w:p>
            <w:pPr>
              <w:spacing w:after="0"/>
              <w:rPr>
                <w:sz w:val="16"/>
                <w:szCs w:val="16"/>
                <w:color w:val="auto"/>
              </w:rPr>
            </w:pPr>
          </w:p>
        </w:tc>
        <w:tc>
          <w:tcPr>
            <w:tcW w:w="1300" w:type="dxa"/>
            <w:vAlign w:val="bottom"/>
            <w:tcBorders>
              <w:bottom w:val="single" w:sz="8" w:color="8C8272"/>
            </w:tcBorders>
          </w:tcPr>
          <w:p>
            <w:pPr>
              <w:spacing w:after="0"/>
              <w:rPr>
                <w:sz w:val="16"/>
                <w:szCs w:val="16"/>
                <w:color w:val="auto"/>
              </w:rPr>
            </w:pPr>
          </w:p>
        </w:tc>
        <w:tc>
          <w:tcPr>
            <w:tcW w:w="8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w:t>
            </w:r>
          </w:p>
        </w:tc>
        <w:tc>
          <w:tcPr>
            <w:tcW w:w="82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2900" w:type="dxa"/>
            <w:vAlign w:val="bottom"/>
            <w:tcBorders>
              <w:bottom w:val="single" w:sz="8" w:color="6D6D6D"/>
            </w:tcBorders>
            <w:shd w:val="clear" w:color="auto" w:fill="DBDBDB"/>
          </w:tcPr>
          <w:p>
            <w:pPr>
              <w:ind w:left="180"/>
              <w:spacing w:after="0"/>
              <w:rPr>
                <w:sz w:val="20"/>
                <w:szCs w:val="20"/>
                <w:color w:val="auto"/>
              </w:rPr>
            </w:pPr>
            <w:r>
              <w:rPr>
                <w:rFonts w:ascii="Arial" w:cs="Arial" w:eastAsia="Arial" w:hAnsi="Arial"/>
                <w:sz w:val="14"/>
                <w:szCs w:val="14"/>
                <w:color w:val="auto"/>
              </w:rPr>
              <w:t>BALANCE AS OF JUNE 30, 2020</w:t>
            </w:r>
          </w:p>
        </w:tc>
        <w:tc>
          <w:tcPr>
            <w:tcW w:w="70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334</w:t>
            </w:r>
          </w:p>
        </w:tc>
        <w:tc>
          <w:tcPr>
            <w:tcW w:w="68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$35</w:t>
            </w:r>
          </w:p>
        </w:tc>
        <w:tc>
          <w:tcPr>
            <w:tcW w:w="94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$8,198</w:t>
            </w:r>
          </w:p>
        </w:tc>
        <w:tc>
          <w:tcPr>
            <w:tcW w:w="76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$11,154</w:t>
            </w:r>
          </w:p>
        </w:tc>
        <w:tc>
          <w:tcPr>
            <w:tcW w:w="68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23</w:t>
            </w:r>
          </w:p>
        </w:tc>
        <w:tc>
          <w:tcPr>
            <w:tcW w:w="72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$(1,038)</w:t>
            </w:r>
          </w:p>
        </w:tc>
        <w:tc>
          <w:tcPr>
            <w:tcW w:w="86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$(110)</w:t>
            </w:r>
          </w:p>
        </w:tc>
        <w:tc>
          <w:tcPr>
            <w:tcW w:w="130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$(14)</w:t>
            </w:r>
          </w:p>
        </w:tc>
        <w:tc>
          <w:tcPr>
            <w:tcW w:w="88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$216</w:t>
            </w:r>
          </w:p>
        </w:tc>
        <w:tc>
          <w:tcPr>
            <w:tcW w:w="82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$18,441</w:t>
            </w:r>
          </w:p>
        </w:tc>
        <w:tc>
          <w:tcPr>
            <w:tcW w:w="0" w:type="dxa"/>
            <w:vAlign w:val="bottom"/>
          </w:tcPr>
          <w:p>
            <w:pPr>
              <w:spacing w:after="0"/>
              <w:rPr>
                <w:sz w:val="1"/>
                <w:szCs w:val="1"/>
                <w:color w:val="auto"/>
              </w:rPr>
            </w:pPr>
          </w:p>
        </w:tc>
      </w:tr>
      <w:tr>
        <w:trPr>
          <w:trHeight w:val="142"/>
        </w:trPr>
        <w:tc>
          <w:tcPr>
            <w:tcW w:w="2900" w:type="dxa"/>
            <w:vAlign w:val="bottom"/>
            <w:tcBorders>
              <w:bottom w:val="single" w:sz="8" w:color="6D6D6D"/>
            </w:tcBorders>
          </w:tcPr>
          <w:p>
            <w:pPr>
              <w:spacing w:after="0"/>
              <w:rPr>
                <w:sz w:val="12"/>
                <w:szCs w:val="12"/>
                <w:color w:val="auto"/>
              </w:rPr>
            </w:pPr>
          </w:p>
        </w:tc>
        <w:tc>
          <w:tcPr>
            <w:tcW w:w="700" w:type="dxa"/>
            <w:vAlign w:val="bottom"/>
            <w:tcBorders>
              <w:bottom w:val="single" w:sz="8" w:color="6D6D6D"/>
            </w:tcBorders>
          </w:tcPr>
          <w:p>
            <w:pPr>
              <w:spacing w:after="0"/>
              <w:rPr>
                <w:sz w:val="12"/>
                <w:szCs w:val="12"/>
                <w:color w:val="auto"/>
              </w:rPr>
            </w:pPr>
          </w:p>
        </w:tc>
        <w:tc>
          <w:tcPr>
            <w:tcW w:w="680" w:type="dxa"/>
            <w:vAlign w:val="bottom"/>
            <w:tcBorders>
              <w:bottom w:val="single" w:sz="8" w:color="6D6D6D"/>
            </w:tcBorders>
          </w:tcPr>
          <w:p>
            <w:pPr>
              <w:spacing w:after="0"/>
              <w:rPr>
                <w:sz w:val="12"/>
                <w:szCs w:val="12"/>
                <w:color w:val="auto"/>
              </w:rPr>
            </w:pPr>
          </w:p>
        </w:tc>
        <w:tc>
          <w:tcPr>
            <w:tcW w:w="940" w:type="dxa"/>
            <w:vAlign w:val="bottom"/>
            <w:tcBorders>
              <w:bottom w:val="single" w:sz="8" w:color="6D6D6D"/>
            </w:tcBorders>
          </w:tcPr>
          <w:p>
            <w:pPr>
              <w:spacing w:after="0"/>
              <w:rPr>
                <w:sz w:val="12"/>
                <w:szCs w:val="12"/>
                <w:color w:val="auto"/>
              </w:rPr>
            </w:pPr>
          </w:p>
        </w:tc>
        <w:tc>
          <w:tcPr>
            <w:tcW w:w="760" w:type="dxa"/>
            <w:vAlign w:val="bottom"/>
            <w:tcBorders>
              <w:bottom w:val="single" w:sz="8" w:color="6D6D6D"/>
            </w:tcBorders>
          </w:tcPr>
          <w:p>
            <w:pPr>
              <w:spacing w:after="0"/>
              <w:rPr>
                <w:sz w:val="12"/>
                <w:szCs w:val="12"/>
                <w:color w:val="auto"/>
              </w:rPr>
            </w:pPr>
          </w:p>
        </w:tc>
        <w:tc>
          <w:tcPr>
            <w:tcW w:w="680" w:type="dxa"/>
            <w:vAlign w:val="bottom"/>
            <w:tcBorders>
              <w:bottom w:val="single" w:sz="8" w:color="6D6D6D"/>
            </w:tcBorders>
          </w:tcPr>
          <w:p>
            <w:pPr>
              <w:spacing w:after="0"/>
              <w:rPr>
                <w:sz w:val="12"/>
                <w:szCs w:val="12"/>
                <w:color w:val="auto"/>
              </w:rPr>
            </w:pPr>
          </w:p>
        </w:tc>
        <w:tc>
          <w:tcPr>
            <w:tcW w:w="720" w:type="dxa"/>
            <w:vAlign w:val="bottom"/>
            <w:tcBorders>
              <w:bottom w:val="single" w:sz="8" w:color="6D6D6D"/>
            </w:tcBorders>
          </w:tcPr>
          <w:p>
            <w:pPr>
              <w:spacing w:after="0"/>
              <w:rPr>
                <w:sz w:val="12"/>
                <w:szCs w:val="12"/>
                <w:color w:val="auto"/>
              </w:rPr>
            </w:pPr>
          </w:p>
        </w:tc>
        <w:tc>
          <w:tcPr>
            <w:tcW w:w="860" w:type="dxa"/>
            <w:vAlign w:val="bottom"/>
            <w:tcBorders>
              <w:bottom w:val="single" w:sz="8" w:color="6D6D6D"/>
            </w:tcBorders>
          </w:tcPr>
          <w:p>
            <w:pPr>
              <w:spacing w:after="0"/>
              <w:rPr>
                <w:sz w:val="12"/>
                <w:szCs w:val="12"/>
                <w:color w:val="auto"/>
              </w:rPr>
            </w:pPr>
          </w:p>
        </w:tc>
        <w:tc>
          <w:tcPr>
            <w:tcW w:w="1300" w:type="dxa"/>
            <w:vAlign w:val="bottom"/>
            <w:tcBorders>
              <w:bottom w:val="single" w:sz="8" w:color="6D6D6D"/>
            </w:tcBorders>
          </w:tcPr>
          <w:p>
            <w:pPr>
              <w:spacing w:after="0"/>
              <w:rPr>
                <w:sz w:val="12"/>
                <w:szCs w:val="12"/>
                <w:color w:val="auto"/>
              </w:rPr>
            </w:pPr>
          </w:p>
        </w:tc>
        <w:tc>
          <w:tcPr>
            <w:tcW w:w="880" w:type="dxa"/>
            <w:vAlign w:val="bottom"/>
            <w:tcBorders>
              <w:bottom w:val="single" w:sz="8" w:color="6D6D6D"/>
            </w:tcBorders>
          </w:tcPr>
          <w:p>
            <w:pPr>
              <w:spacing w:after="0"/>
              <w:rPr>
                <w:sz w:val="12"/>
                <w:szCs w:val="12"/>
                <w:color w:val="auto"/>
              </w:rPr>
            </w:pPr>
          </w:p>
        </w:tc>
        <w:tc>
          <w:tcPr>
            <w:tcW w:w="820" w:type="dxa"/>
            <w:vAlign w:val="bottom"/>
            <w:tcBorders>
              <w:bottom w:val="single" w:sz="8" w:color="6D6D6D"/>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900" w:type="dxa"/>
            <w:vAlign w:val="bottom"/>
            <w:tcBorders>
              <w:bottom w:val="single" w:sz="8" w:color="6D6D6D"/>
            </w:tcBorders>
            <w:shd w:val="clear" w:color="auto" w:fill="DBDBDB"/>
          </w:tcPr>
          <w:p>
            <w:pPr>
              <w:ind w:left="180"/>
              <w:spacing w:after="0"/>
              <w:rPr>
                <w:sz w:val="20"/>
                <w:szCs w:val="20"/>
                <w:color w:val="auto"/>
              </w:rPr>
            </w:pPr>
            <w:r>
              <w:rPr>
                <w:rFonts w:ascii="Arial" w:cs="Arial" w:eastAsia="Arial" w:hAnsi="Arial"/>
                <w:sz w:val="14"/>
                <w:szCs w:val="14"/>
                <w:color w:val="auto"/>
              </w:rPr>
              <w:t>BALANCE AS OF DECEMBER 31, 2020</w:t>
            </w:r>
          </w:p>
        </w:tc>
        <w:tc>
          <w:tcPr>
            <w:tcW w:w="70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342</w:t>
            </w:r>
          </w:p>
        </w:tc>
        <w:tc>
          <w:tcPr>
            <w:tcW w:w="68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$36</w:t>
            </w:r>
          </w:p>
        </w:tc>
        <w:tc>
          <w:tcPr>
            <w:tcW w:w="94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$8,808</w:t>
            </w:r>
          </w:p>
        </w:tc>
        <w:tc>
          <w:tcPr>
            <w:tcW w:w="76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$11,178</w:t>
            </w:r>
          </w:p>
        </w:tc>
        <w:tc>
          <w:tcPr>
            <w:tcW w:w="68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23</w:t>
            </w:r>
          </w:p>
        </w:tc>
        <w:tc>
          <w:tcPr>
            <w:tcW w:w="72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$(1,038)</w:t>
            </w:r>
          </w:p>
        </w:tc>
        <w:tc>
          <w:tcPr>
            <w:tcW w:w="86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$(112)</w:t>
            </w:r>
          </w:p>
        </w:tc>
        <w:tc>
          <w:tcPr>
            <w:tcW w:w="130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$(25)</w:t>
            </w:r>
          </w:p>
        </w:tc>
        <w:tc>
          <w:tcPr>
            <w:tcW w:w="88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$218</w:t>
            </w:r>
          </w:p>
        </w:tc>
        <w:tc>
          <w:tcPr>
            <w:tcW w:w="82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$19,065</w:t>
            </w:r>
          </w:p>
        </w:tc>
        <w:tc>
          <w:tcPr>
            <w:tcW w:w="0" w:type="dxa"/>
            <w:vAlign w:val="bottom"/>
          </w:tcPr>
          <w:p>
            <w:pPr>
              <w:spacing w:after="0"/>
              <w:rPr>
                <w:sz w:val="1"/>
                <w:szCs w:val="1"/>
                <w:color w:val="auto"/>
              </w:rPr>
            </w:pPr>
          </w:p>
        </w:tc>
      </w:tr>
      <w:tr>
        <w:trPr>
          <w:trHeight w:val="183"/>
        </w:trPr>
        <w:tc>
          <w:tcPr>
            <w:tcW w:w="29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419</w:t>
            </w: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820" w:type="dxa"/>
            <w:vAlign w:val="bottom"/>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53"/>
        </w:trPr>
        <w:tc>
          <w:tcPr>
            <w:tcW w:w="2900" w:type="dxa"/>
            <w:vAlign w:val="bottom"/>
            <w:shd w:val="clear" w:color="auto" w:fill="DBDBDB"/>
          </w:tcPr>
          <w:p>
            <w:pPr>
              <w:ind w:left="180"/>
              <w:spacing w:after="0" w:line="153" w:lineRule="exact"/>
              <w:rPr>
                <w:sz w:val="20"/>
                <w:szCs w:val="20"/>
                <w:color w:val="auto"/>
              </w:rPr>
            </w:pPr>
            <w:r>
              <w:rPr>
                <w:rFonts w:ascii="Arial" w:cs="Arial" w:eastAsia="Arial" w:hAnsi="Arial"/>
                <w:sz w:val="14"/>
                <w:szCs w:val="14"/>
                <w:color w:val="auto"/>
              </w:rPr>
              <w:t>Common stock dividends ($0.775 per</w:t>
            </w:r>
          </w:p>
        </w:tc>
        <w:tc>
          <w:tcPr>
            <w:tcW w:w="70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(265)</w:t>
            </w:r>
          </w:p>
        </w:tc>
        <w:tc>
          <w:tcPr>
            <w:tcW w:w="6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71"/>
        </w:trPr>
        <w:tc>
          <w:tcPr>
            <w:tcW w:w="2900" w:type="dxa"/>
            <w:vAlign w:val="bottom"/>
            <w:shd w:val="clear" w:color="auto" w:fill="DBDBDB"/>
          </w:tcPr>
          <w:p>
            <w:pPr>
              <w:ind w:left="180"/>
              <w:spacing w:after="0"/>
              <w:rPr>
                <w:sz w:val="20"/>
                <w:szCs w:val="20"/>
                <w:color w:val="auto"/>
              </w:rPr>
            </w:pPr>
            <w:r>
              <w:rPr>
                <w:rFonts w:ascii="Arial" w:cs="Arial" w:eastAsia="Arial" w:hAnsi="Arial"/>
                <w:sz w:val="14"/>
                <w:szCs w:val="14"/>
                <w:color w:val="auto"/>
              </w:rPr>
              <w:t>share)</w:t>
            </w:r>
          </w:p>
        </w:tc>
        <w:tc>
          <w:tcPr>
            <w:tcW w:w="70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760" w:type="dxa"/>
            <w:vAlign w:val="bottom"/>
            <w:vMerge w:val="continue"/>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82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180"/>
              <w:spacing w:after="0" w:line="153" w:lineRule="exact"/>
              <w:rPr>
                <w:sz w:val="20"/>
                <w:szCs w:val="20"/>
                <w:color w:val="auto"/>
              </w:rPr>
            </w:pPr>
            <w:r>
              <w:rPr>
                <w:rFonts w:ascii="Arial" w:cs="Arial" w:eastAsia="Arial" w:hAnsi="Arial"/>
                <w:sz w:val="14"/>
                <w:szCs w:val="14"/>
                <w:color w:val="auto"/>
              </w:rPr>
              <w:t>Issuance of common shares for stock</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1"/>
        </w:trPr>
        <w:tc>
          <w:tcPr>
            <w:tcW w:w="2900" w:type="dxa"/>
            <w:vAlign w:val="bottom"/>
          </w:tcPr>
          <w:p>
            <w:pPr>
              <w:ind w:left="180"/>
              <w:spacing w:after="0"/>
              <w:rPr>
                <w:sz w:val="20"/>
                <w:szCs w:val="20"/>
                <w:color w:val="auto"/>
              </w:rPr>
            </w:pPr>
            <w:r>
              <w:rPr>
                <w:rFonts w:ascii="Arial" w:cs="Arial" w:eastAsia="Arial" w:hAnsi="Arial"/>
                <w:sz w:val="14"/>
                <w:szCs w:val="14"/>
                <w:color w:val="auto"/>
              </w:rPr>
              <w:t>plans</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00" w:type="dxa"/>
            <w:vAlign w:val="bottom"/>
            <w:shd w:val="clear" w:color="auto" w:fill="DBDBDB"/>
          </w:tcPr>
          <w:p>
            <w:pPr>
              <w:ind w:left="180"/>
              <w:spacing w:after="0"/>
              <w:rPr>
                <w:sz w:val="20"/>
                <w:szCs w:val="20"/>
                <w:color w:val="auto"/>
              </w:rPr>
            </w:pPr>
            <w:r>
              <w:rPr>
                <w:rFonts w:ascii="Arial" w:cs="Arial" w:eastAsia="Arial" w:hAnsi="Arial"/>
                <w:sz w:val="14"/>
                <w:szCs w:val="14"/>
                <w:color w:val="auto"/>
              </w:rPr>
              <w:t>Other comprehensive income</w:t>
            </w:r>
          </w:p>
        </w:tc>
        <w:tc>
          <w:tcPr>
            <w:tcW w:w="70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88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2900" w:type="dxa"/>
            <w:vAlign w:val="bottom"/>
          </w:tcPr>
          <w:p>
            <w:pPr>
              <w:ind w:left="180"/>
              <w:spacing w:after="0"/>
              <w:rPr>
                <w:sz w:val="20"/>
                <w:szCs w:val="20"/>
                <w:color w:val="auto"/>
              </w:rPr>
            </w:pPr>
            <w:r>
              <w:rPr>
                <w:rFonts w:ascii="Arial" w:cs="Arial" w:eastAsia="Arial" w:hAnsi="Arial"/>
                <w:sz w:val="14"/>
                <w:szCs w:val="14"/>
                <w:color w:val="auto"/>
              </w:rPr>
              <w:t>Distributions to noncontrolling interests</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2900" w:type="dxa"/>
            <w:vAlign w:val="bottom"/>
            <w:tcBorders>
              <w:bottom w:val="single" w:sz="8" w:color="8C8272"/>
            </w:tcBorders>
            <w:shd w:val="clear" w:color="auto" w:fill="DBDBDB"/>
          </w:tcPr>
          <w:p>
            <w:pPr>
              <w:ind w:left="180"/>
              <w:spacing w:after="0"/>
              <w:rPr>
                <w:sz w:val="20"/>
                <w:szCs w:val="20"/>
                <w:color w:val="auto"/>
              </w:rPr>
            </w:pPr>
            <w:r>
              <w:rPr>
                <w:rFonts w:ascii="Arial" w:cs="Arial" w:eastAsia="Arial" w:hAnsi="Arial"/>
                <w:sz w:val="14"/>
                <w:szCs w:val="14"/>
                <w:color w:val="auto"/>
              </w:rPr>
              <w:t>Net proceeds from sale of equity interest</w:t>
            </w:r>
          </w:p>
        </w:tc>
        <w:tc>
          <w:tcPr>
            <w:tcW w:w="700" w:type="dxa"/>
            <w:vAlign w:val="bottom"/>
            <w:tcBorders>
              <w:bottom w:val="single" w:sz="8" w:color="8C8272"/>
            </w:tcBorders>
            <w:shd w:val="clear" w:color="auto" w:fill="DBDBDB"/>
          </w:tcPr>
          <w:p>
            <w:pPr>
              <w:spacing w:after="0"/>
              <w:rPr>
                <w:sz w:val="16"/>
                <w:szCs w:val="16"/>
                <w:color w:val="auto"/>
              </w:rPr>
            </w:pPr>
          </w:p>
        </w:tc>
        <w:tc>
          <w:tcPr>
            <w:tcW w:w="680" w:type="dxa"/>
            <w:vAlign w:val="bottom"/>
            <w:tcBorders>
              <w:bottom w:val="single" w:sz="8" w:color="8C8272"/>
            </w:tcBorders>
            <w:shd w:val="clear" w:color="auto" w:fill="DBDBDB"/>
          </w:tcPr>
          <w:p>
            <w:pPr>
              <w:spacing w:after="0"/>
              <w:rPr>
                <w:sz w:val="16"/>
                <w:szCs w:val="16"/>
                <w:color w:val="auto"/>
              </w:rPr>
            </w:pPr>
          </w:p>
        </w:tc>
        <w:tc>
          <w:tcPr>
            <w:tcW w:w="940" w:type="dxa"/>
            <w:vAlign w:val="bottom"/>
            <w:tcBorders>
              <w:bottom w:val="single" w:sz="8" w:color="8C8272"/>
            </w:tcBorders>
            <w:shd w:val="clear" w:color="auto" w:fill="DBDBDB"/>
          </w:tcPr>
          <w:p>
            <w:pPr>
              <w:spacing w:after="0"/>
              <w:rPr>
                <w:sz w:val="16"/>
                <w:szCs w:val="16"/>
                <w:color w:val="auto"/>
              </w:rPr>
            </w:pPr>
          </w:p>
        </w:tc>
        <w:tc>
          <w:tcPr>
            <w:tcW w:w="760" w:type="dxa"/>
            <w:vAlign w:val="bottom"/>
            <w:tcBorders>
              <w:bottom w:val="single" w:sz="8" w:color="8C8272"/>
            </w:tcBorders>
            <w:shd w:val="clear" w:color="auto" w:fill="DBDBDB"/>
          </w:tcPr>
          <w:p>
            <w:pPr>
              <w:spacing w:after="0"/>
              <w:rPr>
                <w:sz w:val="16"/>
                <w:szCs w:val="16"/>
                <w:color w:val="auto"/>
              </w:rPr>
            </w:pPr>
          </w:p>
        </w:tc>
        <w:tc>
          <w:tcPr>
            <w:tcW w:w="680" w:type="dxa"/>
            <w:vAlign w:val="bottom"/>
            <w:tcBorders>
              <w:bottom w:val="single" w:sz="8" w:color="8C8272"/>
            </w:tcBorders>
            <w:shd w:val="clear" w:color="auto" w:fill="DBDBDB"/>
          </w:tcPr>
          <w:p>
            <w:pPr>
              <w:spacing w:after="0"/>
              <w:rPr>
                <w:sz w:val="16"/>
                <w:szCs w:val="16"/>
                <w:color w:val="auto"/>
              </w:rPr>
            </w:pPr>
          </w:p>
        </w:tc>
        <w:tc>
          <w:tcPr>
            <w:tcW w:w="720" w:type="dxa"/>
            <w:vAlign w:val="bottom"/>
            <w:tcBorders>
              <w:bottom w:val="single" w:sz="8" w:color="8C8272"/>
            </w:tcBorders>
            <w:shd w:val="clear" w:color="auto" w:fill="DBDBDB"/>
          </w:tcPr>
          <w:p>
            <w:pPr>
              <w:spacing w:after="0"/>
              <w:rPr>
                <w:sz w:val="16"/>
                <w:szCs w:val="16"/>
                <w:color w:val="auto"/>
              </w:rPr>
            </w:pPr>
          </w:p>
        </w:tc>
        <w:tc>
          <w:tcPr>
            <w:tcW w:w="860" w:type="dxa"/>
            <w:vAlign w:val="bottom"/>
            <w:tcBorders>
              <w:bottom w:val="single" w:sz="8" w:color="8C8272"/>
            </w:tcBorders>
            <w:shd w:val="clear" w:color="auto" w:fill="DBDBDB"/>
          </w:tcPr>
          <w:p>
            <w:pPr>
              <w:spacing w:after="0"/>
              <w:rPr>
                <w:sz w:val="16"/>
                <w:szCs w:val="16"/>
                <w:color w:val="auto"/>
              </w:rPr>
            </w:pPr>
          </w:p>
        </w:tc>
        <w:tc>
          <w:tcPr>
            <w:tcW w:w="1300" w:type="dxa"/>
            <w:vAlign w:val="bottom"/>
            <w:tcBorders>
              <w:bottom w:val="single" w:sz="8" w:color="8C8272"/>
            </w:tcBorders>
            <w:shd w:val="clear" w:color="auto" w:fill="DBDBDB"/>
          </w:tcPr>
          <w:p>
            <w:pPr>
              <w:spacing w:after="0"/>
              <w:rPr>
                <w:sz w:val="16"/>
                <w:szCs w:val="16"/>
                <w:color w:val="auto"/>
              </w:rPr>
            </w:pPr>
          </w:p>
        </w:tc>
        <w:tc>
          <w:tcPr>
            <w:tcW w:w="88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33</w:t>
            </w:r>
          </w:p>
        </w:tc>
        <w:tc>
          <w:tcPr>
            <w:tcW w:w="820" w:type="dxa"/>
            <w:vAlign w:val="bottom"/>
            <w:tcBorders>
              <w:bottom w:val="single" w:sz="8" w:color="828282"/>
            </w:tcBorders>
            <w:shd w:val="clear" w:color="auto" w:fill="DBDBDB"/>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3"/>
        </w:trPr>
        <w:tc>
          <w:tcPr>
            <w:tcW w:w="2900" w:type="dxa"/>
            <w:vAlign w:val="bottom"/>
            <w:tcBorders>
              <w:bottom w:val="single" w:sz="8" w:color="8C8272"/>
            </w:tcBorders>
          </w:tcPr>
          <w:p>
            <w:pPr>
              <w:ind w:left="180"/>
              <w:spacing w:after="0"/>
              <w:rPr>
                <w:sz w:val="20"/>
                <w:szCs w:val="20"/>
                <w:color w:val="auto"/>
              </w:rPr>
            </w:pPr>
            <w:r>
              <w:rPr>
                <w:rFonts w:ascii="Arial" w:cs="Arial" w:eastAsia="Arial" w:hAnsi="Arial"/>
                <w:sz w:val="14"/>
                <w:szCs w:val="14"/>
                <w:color w:val="auto"/>
              </w:rPr>
              <w:t>BALANCE AS OF MARCH 31, 2021</w:t>
            </w:r>
          </w:p>
        </w:tc>
        <w:tc>
          <w:tcPr>
            <w:tcW w:w="7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342</w:t>
            </w:r>
          </w:p>
        </w:tc>
        <w:tc>
          <w:tcPr>
            <w:tcW w:w="6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$36</w:t>
            </w:r>
          </w:p>
        </w:tc>
        <w:tc>
          <w:tcPr>
            <w:tcW w:w="9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$8,836</w:t>
            </w:r>
          </w:p>
        </w:tc>
        <w:tc>
          <w:tcPr>
            <w:tcW w:w="7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$11,332</w:t>
            </w:r>
          </w:p>
        </w:tc>
        <w:tc>
          <w:tcPr>
            <w:tcW w:w="6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23</w:t>
            </w:r>
          </w:p>
        </w:tc>
        <w:tc>
          <w:tcPr>
            <w:tcW w:w="7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$(1,038)</w:t>
            </w:r>
          </w:p>
        </w:tc>
        <w:tc>
          <w:tcPr>
            <w:tcW w:w="8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$(112)</w:t>
            </w:r>
          </w:p>
        </w:tc>
        <w:tc>
          <w:tcPr>
            <w:tcW w:w="13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$(21)</w:t>
            </w:r>
          </w:p>
        </w:tc>
        <w:tc>
          <w:tcPr>
            <w:tcW w:w="8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$249</w:t>
            </w:r>
          </w:p>
        </w:tc>
        <w:tc>
          <w:tcPr>
            <w:tcW w:w="82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$19,282</w:t>
            </w:r>
          </w:p>
        </w:tc>
        <w:tc>
          <w:tcPr>
            <w:tcW w:w="0" w:type="dxa"/>
            <w:vAlign w:val="bottom"/>
          </w:tcPr>
          <w:p>
            <w:pPr>
              <w:spacing w:after="0"/>
              <w:rPr>
                <w:sz w:val="1"/>
                <w:szCs w:val="1"/>
                <w:color w:val="auto"/>
              </w:rPr>
            </w:pPr>
          </w:p>
        </w:tc>
      </w:tr>
      <w:tr>
        <w:trPr>
          <w:trHeight w:val="183"/>
        </w:trPr>
        <w:tc>
          <w:tcPr>
            <w:tcW w:w="2900" w:type="dxa"/>
            <w:vAlign w:val="bottom"/>
            <w:shd w:val="clear" w:color="auto" w:fill="DBDBDB"/>
          </w:tcPr>
          <w:p>
            <w:pPr>
              <w:ind w:left="180"/>
              <w:spacing w:after="0"/>
              <w:rPr>
                <w:sz w:val="20"/>
                <w:szCs w:val="20"/>
                <w:color w:val="auto"/>
              </w:rPr>
            </w:pPr>
            <w:r>
              <w:rPr>
                <w:rFonts w:ascii="Arial" w:cs="Arial" w:eastAsia="Arial" w:hAnsi="Arial"/>
                <w:sz w:val="14"/>
                <w:szCs w:val="14"/>
                <w:color w:val="auto"/>
              </w:rPr>
              <w:t>Net income (loss)</w:t>
            </w:r>
          </w:p>
        </w:tc>
        <w:tc>
          <w:tcPr>
            <w:tcW w:w="70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165</w:t>
            </w:r>
          </w:p>
        </w:tc>
        <w:tc>
          <w:tcPr>
            <w:tcW w:w="68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(47)</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53"/>
        </w:trPr>
        <w:tc>
          <w:tcPr>
            <w:tcW w:w="2900" w:type="dxa"/>
            <w:vAlign w:val="bottom"/>
          </w:tcPr>
          <w:p>
            <w:pPr>
              <w:ind w:left="180"/>
              <w:spacing w:after="0" w:line="153" w:lineRule="exact"/>
              <w:rPr>
                <w:sz w:val="20"/>
                <w:szCs w:val="20"/>
                <w:color w:val="auto"/>
              </w:rPr>
            </w:pPr>
            <w:r>
              <w:rPr>
                <w:rFonts w:ascii="Arial" w:cs="Arial" w:eastAsia="Arial" w:hAnsi="Arial"/>
                <w:sz w:val="14"/>
                <w:szCs w:val="14"/>
                <w:color w:val="auto"/>
              </w:rPr>
              <w:t>Common stock dividends ($0.775 per</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(266)</w:t>
            </w: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71"/>
        </w:trPr>
        <w:tc>
          <w:tcPr>
            <w:tcW w:w="2900" w:type="dxa"/>
            <w:vAlign w:val="bottom"/>
          </w:tcPr>
          <w:p>
            <w:pPr>
              <w:ind w:left="180"/>
              <w:spacing w:after="0"/>
              <w:rPr>
                <w:sz w:val="20"/>
                <w:szCs w:val="20"/>
                <w:color w:val="auto"/>
              </w:rPr>
            </w:pPr>
            <w:r>
              <w:rPr>
                <w:rFonts w:ascii="Arial" w:cs="Arial" w:eastAsia="Arial" w:hAnsi="Arial"/>
                <w:sz w:val="14"/>
                <w:szCs w:val="14"/>
                <w:color w:val="auto"/>
              </w:rPr>
              <w:t>share)</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DBDBDB"/>
          </w:tcPr>
          <w:p>
            <w:pPr>
              <w:ind w:left="180"/>
              <w:spacing w:after="0" w:line="153" w:lineRule="exact"/>
              <w:rPr>
                <w:sz w:val="20"/>
                <w:szCs w:val="20"/>
                <w:color w:val="auto"/>
              </w:rPr>
            </w:pPr>
            <w:r>
              <w:rPr>
                <w:rFonts w:ascii="Arial" w:cs="Arial" w:eastAsia="Arial" w:hAnsi="Arial"/>
                <w:sz w:val="14"/>
                <w:szCs w:val="14"/>
                <w:color w:val="auto"/>
              </w:rPr>
              <w:t>Issuance of common shares - public</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11</w:t>
            </w: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785</w:t>
            </w:r>
          </w:p>
        </w:tc>
        <w:tc>
          <w:tcPr>
            <w:tcW w:w="76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(11)</w:t>
            </w:r>
          </w:p>
        </w:tc>
        <w:tc>
          <w:tcPr>
            <w:tcW w:w="13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171"/>
        </w:trPr>
        <w:tc>
          <w:tcPr>
            <w:tcW w:w="2900" w:type="dxa"/>
            <w:vAlign w:val="bottom"/>
            <w:shd w:val="clear" w:color="auto" w:fill="DBDBDB"/>
          </w:tcPr>
          <w:p>
            <w:pPr>
              <w:ind w:left="180"/>
              <w:spacing w:after="0"/>
              <w:rPr>
                <w:sz w:val="20"/>
                <w:szCs w:val="20"/>
                <w:color w:val="auto"/>
              </w:rPr>
            </w:pPr>
            <w:r>
              <w:rPr>
                <w:rFonts w:ascii="Arial" w:cs="Arial" w:eastAsia="Arial" w:hAnsi="Arial"/>
                <w:sz w:val="14"/>
                <w:szCs w:val="14"/>
                <w:color w:val="auto"/>
              </w:rPr>
              <w:t>offering</w:t>
            </w:r>
          </w:p>
        </w:tc>
        <w:tc>
          <w:tcPr>
            <w:tcW w:w="700" w:type="dxa"/>
            <w:vAlign w:val="bottom"/>
            <w:vMerge w:val="continue"/>
            <w:shd w:val="clear" w:color="auto" w:fill="DBDBDB"/>
          </w:tcPr>
          <w:p>
            <w:pPr>
              <w:spacing w:after="0"/>
              <w:rPr>
                <w:sz w:val="14"/>
                <w:szCs w:val="14"/>
                <w:color w:val="auto"/>
              </w:rPr>
            </w:pPr>
          </w:p>
        </w:tc>
        <w:tc>
          <w:tcPr>
            <w:tcW w:w="680" w:type="dxa"/>
            <w:vAlign w:val="bottom"/>
            <w:vMerge w:val="continue"/>
            <w:shd w:val="clear" w:color="auto" w:fill="DBDBDB"/>
          </w:tcPr>
          <w:p>
            <w:pPr>
              <w:spacing w:after="0"/>
              <w:rPr>
                <w:sz w:val="14"/>
                <w:szCs w:val="14"/>
                <w:color w:val="auto"/>
              </w:rPr>
            </w:pPr>
          </w:p>
        </w:tc>
        <w:tc>
          <w:tcPr>
            <w:tcW w:w="940" w:type="dxa"/>
            <w:vAlign w:val="bottom"/>
            <w:vMerge w:val="continue"/>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860" w:type="dxa"/>
            <w:vAlign w:val="bottom"/>
            <w:vMerge w:val="continue"/>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82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180"/>
              <w:spacing w:after="0" w:line="153" w:lineRule="exact"/>
              <w:rPr>
                <w:sz w:val="20"/>
                <w:szCs w:val="20"/>
                <w:color w:val="auto"/>
              </w:rPr>
            </w:pPr>
            <w:r>
              <w:rPr>
                <w:rFonts w:ascii="Arial" w:cs="Arial" w:eastAsia="Arial" w:hAnsi="Arial"/>
                <w:sz w:val="14"/>
                <w:szCs w:val="14"/>
                <w:color w:val="auto"/>
              </w:rPr>
              <w:t>Issuance of common shares for stock</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1"/>
        </w:trPr>
        <w:tc>
          <w:tcPr>
            <w:tcW w:w="2900" w:type="dxa"/>
            <w:vAlign w:val="bottom"/>
          </w:tcPr>
          <w:p>
            <w:pPr>
              <w:ind w:left="180"/>
              <w:spacing w:after="0"/>
              <w:rPr>
                <w:sz w:val="20"/>
                <w:szCs w:val="20"/>
                <w:color w:val="auto"/>
              </w:rPr>
            </w:pPr>
            <w:r>
              <w:rPr>
                <w:rFonts w:ascii="Arial" w:cs="Arial" w:eastAsia="Arial" w:hAnsi="Arial"/>
                <w:sz w:val="14"/>
                <w:szCs w:val="14"/>
                <w:color w:val="auto"/>
              </w:rPr>
              <w:t>plans</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00" w:type="dxa"/>
            <w:vAlign w:val="bottom"/>
            <w:shd w:val="clear" w:color="auto" w:fill="DBDBDB"/>
          </w:tcPr>
          <w:p>
            <w:pPr>
              <w:ind w:left="180"/>
              <w:spacing w:after="0"/>
              <w:rPr>
                <w:sz w:val="20"/>
                <w:szCs w:val="20"/>
                <w:color w:val="auto"/>
              </w:rPr>
            </w:pPr>
            <w:r>
              <w:rPr>
                <w:rFonts w:ascii="Arial" w:cs="Arial" w:eastAsia="Arial" w:hAnsi="Arial"/>
                <w:sz w:val="14"/>
                <w:szCs w:val="14"/>
                <w:color w:val="auto"/>
              </w:rPr>
              <w:t>Other comprehensive income</w:t>
            </w:r>
          </w:p>
        </w:tc>
        <w:tc>
          <w:tcPr>
            <w:tcW w:w="70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88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900" w:type="dxa"/>
            <w:vAlign w:val="bottom"/>
          </w:tcPr>
          <w:p>
            <w:pPr>
              <w:ind w:left="180"/>
              <w:spacing w:after="0"/>
              <w:rPr>
                <w:sz w:val="20"/>
                <w:szCs w:val="20"/>
                <w:color w:val="auto"/>
              </w:rPr>
            </w:pPr>
            <w:r>
              <w:rPr>
                <w:rFonts w:ascii="Arial" w:cs="Arial" w:eastAsia="Arial" w:hAnsi="Arial"/>
                <w:sz w:val="14"/>
                <w:szCs w:val="14"/>
                <w:color w:val="auto"/>
              </w:rPr>
              <w:t>Distributions to noncontrolling interests</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2900" w:type="dxa"/>
            <w:vAlign w:val="bottom"/>
            <w:tcBorders>
              <w:bottom w:val="single" w:sz="8" w:color="6D6D6D"/>
            </w:tcBorders>
            <w:shd w:val="clear" w:color="auto" w:fill="DBDBDB"/>
          </w:tcPr>
          <w:p>
            <w:pPr>
              <w:ind w:left="180"/>
              <w:spacing w:after="0"/>
              <w:rPr>
                <w:sz w:val="20"/>
                <w:szCs w:val="20"/>
                <w:color w:val="auto"/>
              </w:rPr>
            </w:pPr>
            <w:r>
              <w:rPr>
                <w:rFonts w:ascii="Arial" w:cs="Arial" w:eastAsia="Arial" w:hAnsi="Arial"/>
                <w:sz w:val="14"/>
                <w:szCs w:val="14"/>
                <w:color w:val="auto"/>
              </w:rPr>
              <w:t>Net proceeds from sale of equity interest</w:t>
            </w:r>
          </w:p>
        </w:tc>
        <w:tc>
          <w:tcPr>
            <w:tcW w:w="700" w:type="dxa"/>
            <w:vAlign w:val="bottom"/>
            <w:tcBorders>
              <w:bottom w:val="single" w:sz="8" w:color="6D6D6D"/>
            </w:tcBorders>
            <w:shd w:val="clear" w:color="auto" w:fill="DBDBDB"/>
          </w:tcPr>
          <w:p>
            <w:pPr>
              <w:spacing w:after="0"/>
              <w:rPr>
                <w:sz w:val="16"/>
                <w:szCs w:val="16"/>
                <w:color w:val="auto"/>
              </w:rPr>
            </w:pPr>
          </w:p>
        </w:tc>
        <w:tc>
          <w:tcPr>
            <w:tcW w:w="680" w:type="dxa"/>
            <w:vAlign w:val="bottom"/>
            <w:tcBorders>
              <w:bottom w:val="single" w:sz="8" w:color="6D6D6D"/>
            </w:tcBorders>
            <w:shd w:val="clear" w:color="auto" w:fill="DBDBDB"/>
          </w:tcPr>
          <w:p>
            <w:pPr>
              <w:spacing w:after="0"/>
              <w:rPr>
                <w:sz w:val="16"/>
                <w:szCs w:val="16"/>
                <w:color w:val="auto"/>
              </w:rPr>
            </w:pPr>
          </w:p>
        </w:tc>
        <w:tc>
          <w:tcPr>
            <w:tcW w:w="940" w:type="dxa"/>
            <w:vAlign w:val="bottom"/>
            <w:tcBorders>
              <w:bottom w:val="single" w:sz="8" w:color="6D6D6D"/>
            </w:tcBorders>
            <w:shd w:val="clear" w:color="auto" w:fill="DBDBDB"/>
          </w:tcPr>
          <w:p>
            <w:pPr>
              <w:spacing w:after="0"/>
              <w:rPr>
                <w:sz w:val="16"/>
                <w:szCs w:val="16"/>
                <w:color w:val="auto"/>
              </w:rPr>
            </w:pPr>
          </w:p>
        </w:tc>
        <w:tc>
          <w:tcPr>
            <w:tcW w:w="760" w:type="dxa"/>
            <w:vAlign w:val="bottom"/>
            <w:tcBorders>
              <w:bottom w:val="single" w:sz="8" w:color="6D6D6D"/>
            </w:tcBorders>
            <w:shd w:val="clear" w:color="auto" w:fill="DBDBDB"/>
          </w:tcPr>
          <w:p>
            <w:pPr>
              <w:spacing w:after="0"/>
              <w:rPr>
                <w:sz w:val="16"/>
                <w:szCs w:val="16"/>
                <w:color w:val="auto"/>
              </w:rPr>
            </w:pPr>
          </w:p>
        </w:tc>
        <w:tc>
          <w:tcPr>
            <w:tcW w:w="680" w:type="dxa"/>
            <w:vAlign w:val="bottom"/>
            <w:tcBorders>
              <w:bottom w:val="single" w:sz="8" w:color="6D6D6D"/>
            </w:tcBorders>
            <w:shd w:val="clear" w:color="auto" w:fill="DBDBDB"/>
          </w:tcPr>
          <w:p>
            <w:pPr>
              <w:spacing w:after="0"/>
              <w:rPr>
                <w:sz w:val="16"/>
                <w:szCs w:val="16"/>
                <w:color w:val="auto"/>
              </w:rPr>
            </w:pPr>
          </w:p>
        </w:tc>
        <w:tc>
          <w:tcPr>
            <w:tcW w:w="720" w:type="dxa"/>
            <w:vAlign w:val="bottom"/>
            <w:tcBorders>
              <w:bottom w:val="single" w:sz="8" w:color="6D6D6D"/>
            </w:tcBorders>
            <w:shd w:val="clear" w:color="auto" w:fill="DBDBDB"/>
          </w:tcPr>
          <w:p>
            <w:pPr>
              <w:spacing w:after="0"/>
              <w:rPr>
                <w:sz w:val="16"/>
                <w:szCs w:val="16"/>
                <w:color w:val="auto"/>
              </w:rPr>
            </w:pPr>
          </w:p>
        </w:tc>
        <w:tc>
          <w:tcPr>
            <w:tcW w:w="860" w:type="dxa"/>
            <w:vAlign w:val="bottom"/>
            <w:tcBorders>
              <w:bottom w:val="single" w:sz="8" w:color="6D6D6D"/>
            </w:tcBorders>
            <w:shd w:val="clear" w:color="auto" w:fill="DBDBDB"/>
          </w:tcPr>
          <w:p>
            <w:pPr>
              <w:spacing w:after="0"/>
              <w:rPr>
                <w:sz w:val="16"/>
                <w:szCs w:val="16"/>
                <w:color w:val="auto"/>
              </w:rPr>
            </w:pPr>
          </w:p>
        </w:tc>
        <w:tc>
          <w:tcPr>
            <w:tcW w:w="1300" w:type="dxa"/>
            <w:vAlign w:val="bottom"/>
            <w:tcBorders>
              <w:bottom w:val="single" w:sz="8" w:color="6D6D6D"/>
            </w:tcBorders>
            <w:shd w:val="clear" w:color="auto" w:fill="DBDBDB"/>
          </w:tcPr>
          <w:p>
            <w:pPr>
              <w:spacing w:after="0"/>
              <w:rPr>
                <w:sz w:val="16"/>
                <w:szCs w:val="16"/>
                <w:color w:val="auto"/>
              </w:rPr>
            </w:pPr>
          </w:p>
        </w:tc>
        <w:tc>
          <w:tcPr>
            <w:tcW w:w="88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112</w:t>
            </w:r>
          </w:p>
        </w:tc>
        <w:tc>
          <w:tcPr>
            <w:tcW w:w="820" w:type="dxa"/>
            <w:vAlign w:val="bottom"/>
            <w:tcBorders>
              <w:bottom w:val="single" w:sz="8" w:color="6D6D6D"/>
            </w:tcBorders>
            <w:shd w:val="clear" w:color="auto" w:fill="DBDBDB"/>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3"/>
        </w:trPr>
        <w:tc>
          <w:tcPr>
            <w:tcW w:w="2900" w:type="dxa"/>
            <w:vAlign w:val="bottom"/>
            <w:tcBorders>
              <w:bottom w:val="single" w:sz="8" w:color="6D6D6D"/>
            </w:tcBorders>
          </w:tcPr>
          <w:p>
            <w:pPr>
              <w:ind w:left="180"/>
              <w:spacing w:after="0"/>
              <w:rPr>
                <w:sz w:val="20"/>
                <w:szCs w:val="20"/>
                <w:color w:val="auto"/>
              </w:rPr>
            </w:pPr>
            <w:r>
              <w:rPr>
                <w:rFonts w:ascii="Arial" w:cs="Arial" w:eastAsia="Arial" w:hAnsi="Arial"/>
                <w:sz w:val="14"/>
                <w:szCs w:val="14"/>
                <w:color w:val="auto"/>
              </w:rPr>
              <w:t>BALANCE AS OF JUNE 30, 2021</w:t>
            </w:r>
          </w:p>
        </w:tc>
        <w:tc>
          <w:tcPr>
            <w:tcW w:w="70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353</w:t>
            </w:r>
          </w:p>
        </w:tc>
        <w:tc>
          <w:tcPr>
            <w:tcW w:w="68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$37</w:t>
            </w:r>
          </w:p>
        </w:tc>
        <w:tc>
          <w:tcPr>
            <w:tcW w:w="94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$9,655</w:t>
            </w:r>
          </w:p>
        </w:tc>
        <w:tc>
          <w:tcPr>
            <w:tcW w:w="76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$11,231</w:t>
            </w:r>
          </w:p>
        </w:tc>
        <w:tc>
          <w:tcPr>
            <w:tcW w:w="68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23</w:t>
            </w:r>
          </w:p>
        </w:tc>
        <w:tc>
          <w:tcPr>
            <w:tcW w:w="72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$(1,038)</w:t>
            </w:r>
          </w:p>
        </w:tc>
        <w:tc>
          <w:tcPr>
            <w:tcW w:w="86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$(123)</w:t>
            </w:r>
          </w:p>
        </w:tc>
        <w:tc>
          <w:tcPr>
            <w:tcW w:w="130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$(19)</w:t>
            </w:r>
          </w:p>
        </w:tc>
        <w:tc>
          <w:tcPr>
            <w:tcW w:w="88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$310</w:t>
            </w:r>
          </w:p>
        </w:tc>
        <w:tc>
          <w:tcPr>
            <w:tcW w:w="82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$20,053</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828282"/>
        </w:rPr>
        <w:t>Consolidated Edison Company of New York,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STATEMENT (UNAUDITED)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1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For the Three Months</w:t>
            </w:r>
          </w:p>
        </w:tc>
        <w:tc>
          <w:tcPr>
            <w:tcW w:w="2180" w:type="dxa"/>
            <w:vAlign w:val="bottom"/>
            <w:gridSpan w:val="3"/>
          </w:tcPr>
          <w:p>
            <w:pPr>
              <w:jc w:val="center"/>
              <w:spacing w:after="0"/>
              <w:rPr>
                <w:sz w:val="20"/>
                <w:szCs w:val="20"/>
                <w:color w:val="auto"/>
              </w:rPr>
            </w:pPr>
            <w:r>
              <w:rPr>
                <w:rFonts w:ascii="Arial" w:cs="Arial" w:eastAsia="Arial" w:hAnsi="Arial"/>
                <w:sz w:val="14"/>
                <w:szCs w:val="14"/>
                <w:b w:val="1"/>
                <w:bCs w:val="1"/>
                <w:color w:val="auto"/>
              </w:rPr>
              <w:t>For the Six Months Ended June</w:t>
            </w:r>
          </w:p>
        </w:tc>
      </w:tr>
      <w:tr>
        <w:trPr>
          <w:trHeight w:val="175"/>
        </w:trPr>
        <w:tc>
          <w:tcPr>
            <w:tcW w:w="6820" w:type="dxa"/>
            <w:vAlign w:val="bottom"/>
            <w:tcBorders>
              <w:bottom w:val="single" w:sz="8" w:color="8C8272"/>
            </w:tcBorders>
          </w:tcPr>
          <w:p>
            <w:pPr>
              <w:spacing w:after="0"/>
              <w:rPr>
                <w:sz w:val="15"/>
                <w:szCs w:val="15"/>
                <w:color w:val="auto"/>
              </w:rPr>
            </w:pPr>
          </w:p>
        </w:tc>
        <w:tc>
          <w:tcPr>
            <w:tcW w:w="16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Ended June 30,</w:t>
            </w:r>
          </w:p>
        </w:tc>
        <w:tc>
          <w:tcPr>
            <w:tcW w:w="520" w:type="dxa"/>
            <w:vAlign w:val="bottom"/>
            <w:tcBorders>
              <w:bottom w:val="single" w:sz="8" w:color="8C8272"/>
            </w:tcBorders>
          </w:tcPr>
          <w:p>
            <w:pPr>
              <w:spacing w:after="0"/>
              <w:rPr>
                <w:sz w:val="15"/>
                <w:szCs w:val="15"/>
                <w:color w:val="auto"/>
              </w:rPr>
            </w:pPr>
          </w:p>
        </w:tc>
        <w:tc>
          <w:tcPr>
            <w:tcW w:w="1460" w:type="dxa"/>
            <w:vAlign w:val="bottom"/>
            <w:tcBorders>
              <w:bottom w:val="single" w:sz="8" w:color="929292"/>
            </w:tcBorders>
            <w:gridSpan w:val="2"/>
          </w:tcPr>
          <w:p>
            <w:pPr>
              <w:jc w:val="right"/>
              <w:ind w:right="2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929292"/>
            </w:tcBorders>
          </w:tcPr>
          <w:p>
            <w:pPr>
              <w:spacing w:after="0"/>
              <w:rPr>
                <w:sz w:val="15"/>
                <w:szCs w:val="15"/>
                <w:color w:val="auto"/>
              </w:rPr>
            </w:pPr>
          </w:p>
        </w:tc>
      </w:tr>
      <w:tr>
        <w:trPr>
          <w:trHeight w:val="183"/>
        </w:trPr>
        <w:tc>
          <w:tcPr>
            <w:tcW w:w="682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660" w:type="dxa"/>
            <w:vAlign w:val="bottom"/>
            <w:tcBorders>
              <w:bottom w:val="single" w:sz="8" w:color="828282"/>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828282"/>
            </w:tcBorders>
          </w:tcPr>
          <w:p>
            <w:pPr>
              <w:jc w:val="right"/>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929292"/>
            </w:tcBorders>
          </w:tcPr>
          <w:p>
            <w:pPr>
              <w:spacing w:after="0"/>
              <w:rPr>
                <w:sz w:val="15"/>
                <w:szCs w:val="15"/>
                <w:color w:val="auto"/>
              </w:rPr>
            </w:pPr>
          </w:p>
        </w:tc>
        <w:tc>
          <w:tcPr>
            <w:tcW w:w="72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6820" w:type="dxa"/>
            <w:vAlign w:val="bottom"/>
          </w:tcPr>
          <w:p>
            <w:pPr>
              <w:ind w:left="20"/>
              <w:spacing w:after="0"/>
              <w:rPr>
                <w:sz w:val="20"/>
                <w:szCs w:val="20"/>
                <w:color w:val="auto"/>
              </w:rPr>
            </w:pPr>
            <w:r>
              <w:rPr>
                <w:rFonts w:ascii="Arial" w:cs="Arial" w:eastAsia="Arial" w:hAnsi="Arial"/>
                <w:sz w:val="14"/>
                <w:szCs w:val="14"/>
                <w:color w:val="auto"/>
              </w:rPr>
              <w:t>OPERATING REVENUES</w:t>
            </w: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9"/>
        </w:trPr>
        <w:tc>
          <w:tcPr>
            <w:tcW w:w="68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Electric</w:t>
            </w:r>
          </w:p>
        </w:tc>
        <w:tc>
          <w:tcPr>
            <w:tcW w:w="1660" w:type="dxa"/>
            <w:vAlign w:val="bottom"/>
            <w:shd w:val="clear" w:color="auto" w:fill="E5E5E5"/>
          </w:tcPr>
          <w:p>
            <w:pPr>
              <w:jc w:val="right"/>
              <w:ind w:right="528"/>
              <w:spacing w:after="0"/>
              <w:rPr>
                <w:sz w:val="20"/>
                <w:szCs w:val="20"/>
                <w:color w:val="auto"/>
              </w:rPr>
            </w:pPr>
            <w:r>
              <w:rPr>
                <w:rFonts w:ascii="Arial" w:cs="Arial" w:eastAsia="Arial" w:hAnsi="Arial"/>
                <w:sz w:val="14"/>
                <w:szCs w:val="14"/>
                <w:color w:val="auto"/>
              </w:rPr>
              <w:t>$1,963</w:t>
            </w: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$1,845</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$3,931</w:t>
            </w:r>
          </w:p>
        </w:tc>
        <w:tc>
          <w:tcPr>
            <w:tcW w:w="36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$3,616</w:t>
            </w:r>
          </w:p>
        </w:tc>
      </w:tr>
      <w:tr>
        <w:trPr>
          <w:trHeight w:val="189"/>
        </w:trPr>
        <w:tc>
          <w:tcPr>
            <w:tcW w:w="6820" w:type="dxa"/>
            <w:vAlign w:val="bottom"/>
          </w:tcPr>
          <w:p>
            <w:pPr>
              <w:ind w:left="140"/>
              <w:spacing w:after="0"/>
              <w:rPr>
                <w:sz w:val="20"/>
                <w:szCs w:val="20"/>
                <w:color w:val="auto"/>
              </w:rPr>
            </w:pPr>
            <w:r>
              <w:rPr>
                <w:rFonts w:ascii="Arial" w:cs="Arial" w:eastAsia="Arial" w:hAnsi="Arial"/>
                <w:sz w:val="14"/>
                <w:szCs w:val="14"/>
                <w:color w:val="auto"/>
              </w:rPr>
              <w:t>Gas</w:t>
            </w:r>
          </w:p>
        </w:tc>
        <w:tc>
          <w:tcPr>
            <w:tcW w:w="1660" w:type="dxa"/>
            <w:vAlign w:val="bottom"/>
          </w:tcPr>
          <w:p>
            <w:pPr>
              <w:jc w:val="right"/>
              <w:ind w:right="528"/>
              <w:spacing w:after="0"/>
              <w:rPr>
                <w:sz w:val="20"/>
                <w:szCs w:val="20"/>
                <w:color w:val="auto"/>
              </w:rPr>
            </w:pPr>
            <w:r>
              <w:rPr>
                <w:rFonts w:ascii="Arial" w:cs="Arial" w:eastAsia="Arial" w:hAnsi="Arial"/>
                <w:sz w:val="14"/>
                <w:szCs w:val="14"/>
                <w:color w:val="auto"/>
              </w:rPr>
              <w:t>449</w:t>
            </w:r>
          </w:p>
        </w:tc>
        <w:tc>
          <w:tcPr>
            <w:tcW w:w="520" w:type="dxa"/>
            <w:vAlign w:val="bottom"/>
          </w:tcPr>
          <w:p>
            <w:pPr>
              <w:jc w:val="right"/>
              <w:spacing w:after="0"/>
              <w:rPr>
                <w:sz w:val="20"/>
                <w:szCs w:val="20"/>
                <w:color w:val="auto"/>
              </w:rPr>
            </w:pPr>
            <w:r>
              <w:rPr>
                <w:rFonts w:ascii="Arial" w:cs="Arial" w:eastAsia="Arial" w:hAnsi="Arial"/>
                <w:sz w:val="14"/>
                <w:szCs w:val="14"/>
                <w:color w:val="auto"/>
              </w:rPr>
              <w:t>416</w:t>
            </w:r>
          </w:p>
        </w:tc>
        <w:tc>
          <w:tcPr>
            <w:tcW w:w="1100" w:type="dxa"/>
            <w:vAlign w:val="bottom"/>
          </w:tcPr>
          <w:p>
            <w:pPr>
              <w:jc w:val="right"/>
              <w:spacing w:after="0"/>
              <w:rPr>
                <w:sz w:val="20"/>
                <w:szCs w:val="20"/>
                <w:color w:val="auto"/>
              </w:rPr>
            </w:pPr>
            <w:r>
              <w:rPr>
                <w:rFonts w:ascii="Arial" w:cs="Arial" w:eastAsia="Arial" w:hAnsi="Arial"/>
                <w:sz w:val="14"/>
                <w:szCs w:val="14"/>
                <w:color w:val="auto"/>
              </w:rPr>
              <w:t>1,423</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1,250</w:t>
            </w:r>
          </w:p>
        </w:tc>
      </w:tr>
      <w:tr>
        <w:trPr>
          <w:trHeight w:val="189"/>
        </w:trPr>
        <w:tc>
          <w:tcPr>
            <w:tcW w:w="682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Steam</w:t>
            </w:r>
          </w:p>
        </w:tc>
        <w:tc>
          <w:tcPr>
            <w:tcW w:w="1660" w:type="dxa"/>
            <w:vAlign w:val="bottom"/>
            <w:tcBorders>
              <w:bottom w:val="single" w:sz="8" w:color="8C8272"/>
            </w:tcBorders>
            <w:shd w:val="clear" w:color="auto" w:fill="E5E5E5"/>
          </w:tcPr>
          <w:p>
            <w:pPr>
              <w:jc w:val="right"/>
              <w:ind w:right="528"/>
              <w:spacing w:after="0"/>
              <w:rPr>
                <w:sz w:val="20"/>
                <w:szCs w:val="20"/>
                <w:color w:val="auto"/>
              </w:rPr>
            </w:pPr>
            <w:r>
              <w:rPr>
                <w:rFonts w:ascii="Arial" w:cs="Arial" w:eastAsia="Arial" w:hAnsi="Arial"/>
                <w:sz w:val="14"/>
                <w:szCs w:val="14"/>
                <w:color w:val="auto"/>
              </w:rPr>
              <w:t>74</w:t>
            </w:r>
          </w:p>
        </w:tc>
        <w:tc>
          <w:tcPr>
            <w:tcW w:w="5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84</w:t>
            </w:r>
          </w:p>
        </w:tc>
        <w:tc>
          <w:tcPr>
            <w:tcW w:w="1100" w:type="dxa"/>
            <w:vAlign w:val="bottom"/>
            <w:tcBorders>
              <w:bottom w:val="single" w:sz="8" w:color="929292"/>
            </w:tcBorders>
            <w:shd w:val="clear" w:color="auto" w:fill="E5E5E5"/>
          </w:tcPr>
          <w:p>
            <w:pPr>
              <w:jc w:val="right"/>
              <w:spacing w:after="0"/>
              <w:rPr>
                <w:sz w:val="20"/>
                <w:szCs w:val="20"/>
                <w:color w:val="auto"/>
              </w:rPr>
            </w:pPr>
            <w:r>
              <w:rPr>
                <w:rFonts w:ascii="Arial" w:cs="Arial" w:eastAsia="Arial" w:hAnsi="Arial"/>
                <w:sz w:val="14"/>
                <w:szCs w:val="14"/>
                <w:color w:val="auto"/>
              </w:rPr>
              <w:t>338</w:t>
            </w:r>
          </w:p>
        </w:tc>
        <w:tc>
          <w:tcPr>
            <w:tcW w:w="360" w:type="dxa"/>
            <w:vAlign w:val="bottom"/>
            <w:tcBorders>
              <w:bottom w:val="single" w:sz="8" w:color="8C8272"/>
            </w:tcBorders>
            <w:shd w:val="clear" w:color="auto" w:fill="E5E5E5"/>
          </w:tcPr>
          <w:p>
            <w:pPr>
              <w:spacing w:after="0"/>
              <w:rPr>
                <w:sz w:val="16"/>
                <w:szCs w:val="16"/>
                <w:color w:val="auto"/>
              </w:rPr>
            </w:pPr>
          </w:p>
        </w:tc>
        <w:tc>
          <w:tcPr>
            <w:tcW w:w="7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334</w:t>
            </w:r>
          </w:p>
        </w:tc>
      </w:tr>
      <w:tr>
        <w:trPr>
          <w:trHeight w:val="183"/>
        </w:trPr>
        <w:tc>
          <w:tcPr>
            <w:tcW w:w="68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TOTAL OPERATING REVENUES</w:t>
            </w:r>
          </w:p>
        </w:tc>
        <w:tc>
          <w:tcPr>
            <w:tcW w:w="1660" w:type="dxa"/>
            <w:vAlign w:val="bottom"/>
            <w:tcBorders>
              <w:bottom w:val="single" w:sz="8" w:color="8C8272"/>
            </w:tcBorders>
          </w:tcPr>
          <w:p>
            <w:pPr>
              <w:jc w:val="right"/>
              <w:ind w:right="528"/>
              <w:spacing w:after="0"/>
              <w:rPr>
                <w:sz w:val="20"/>
                <w:szCs w:val="20"/>
                <w:color w:val="auto"/>
              </w:rPr>
            </w:pPr>
            <w:r>
              <w:rPr>
                <w:rFonts w:ascii="Arial" w:cs="Arial" w:eastAsia="Arial" w:hAnsi="Arial"/>
                <w:sz w:val="14"/>
                <w:szCs w:val="14"/>
                <w:color w:val="auto"/>
              </w:rPr>
              <w:t>2,486</w:t>
            </w:r>
          </w:p>
        </w:tc>
        <w:tc>
          <w:tcPr>
            <w:tcW w:w="5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2,345</w:t>
            </w:r>
          </w:p>
        </w:tc>
        <w:tc>
          <w:tcPr>
            <w:tcW w:w="11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5,692</w:t>
            </w:r>
          </w:p>
        </w:tc>
        <w:tc>
          <w:tcPr>
            <w:tcW w:w="360" w:type="dxa"/>
            <w:vAlign w:val="bottom"/>
            <w:tcBorders>
              <w:bottom w:val="single" w:sz="8" w:color="8C8272"/>
            </w:tcBorders>
          </w:tcPr>
          <w:p>
            <w:pPr>
              <w:spacing w:after="0"/>
              <w:rPr>
                <w:sz w:val="15"/>
                <w:szCs w:val="15"/>
                <w:color w:val="auto"/>
              </w:rPr>
            </w:pPr>
          </w:p>
        </w:tc>
        <w:tc>
          <w:tcPr>
            <w:tcW w:w="7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5,200</w:t>
            </w:r>
          </w:p>
        </w:tc>
      </w:tr>
      <w:tr>
        <w:trPr>
          <w:trHeight w:val="183"/>
        </w:trPr>
        <w:tc>
          <w:tcPr>
            <w:tcW w:w="6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EXPENSES</w:t>
            </w:r>
          </w:p>
        </w:tc>
        <w:tc>
          <w:tcPr>
            <w:tcW w:w="166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r>
      <w:tr>
        <w:trPr>
          <w:trHeight w:val="189"/>
        </w:trPr>
        <w:tc>
          <w:tcPr>
            <w:tcW w:w="6820" w:type="dxa"/>
            <w:vAlign w:val="bottom"/>
          </w:tcPr>
          <w:p>
            <w:pPr>
              <w:ind w:left="140"/>
              <w:spacing w:after="0"/>
              <w:rPr>
                <w:sz w:val="20"/>
                <w:szCs w:val="20"/>
                <w:color w:val="auto"/>
              </w:rPr>
            </w:pPr>
            <w:r>
              <w:rPr>
                <w:rFonts w:ascii="Arial" w:cs="Arial" w:eastAsia="Arial" w:hAnsi="Arial"/>
                <w:sz w:val="14"/>
                <w:szCs w:val="14"/>
                <w:color w:val="auto"/>
              </w:rPr>
              <w:t>Purchased power</w:t>
            </w:r>
          </w:p>
        </w:tc>
        <w:tc>
          <w:tcPr>
            <w:tcW w:w="1660" w:type="dxa"/>
            <w:vAlign w:val="bottom"/>
          </w:tcPr>
          <w:p>
            <w:pPr>
              <w:jc w:val="right"/>
              <w:ind w:right="528"/>
              <w:spacing w:after="0"/>
              <w:rPr>
                <w:sz w:val="20"/>
                <w:szCs w:val="20"/>
                <w:color w:val="auto"/>
              </w:rPr>
            </w:pPr>
            <w:r>
              <w:rPr>
                <w:rFonts w:ascii="Arial" w:cs="Arial" w:eastAsia="Arial" w:hAnsi="Arial"/>
                <w:sz w:val="14"/>
                <w:szCs w:val="14"/>
                <w:color w:val="auto"/>
              </w:rPr>
              <w:t>417</w:t>
            </w:r>
          </w:p>
        </w:tc>
        <w:tc>
          <w:tcPr>
            <w:tcW w:w="520" w:type="dxa"/>
            <w:vAlign w:val="bottom"/>
          </w:tcPr>
          <w:p>
            <w:pPr>
              <w:jc w:val="right"/>
              <w:spacing w:after="0"/>
              <w:rPr>
                <w:sz w:val="20"/>
                <w:szCs w:val="20"/>
                <w:color w:val="auto"/>
              </w:rPr>
            </w:pPr>
            <w:r>
              <w:rPr>
                <w:rFonts w:ascii="Arial" w:cs="Arial" w:eastAsia="Arial" w:hAnsi="Arial"/>
                <w:sz w:val="14"/>
                <w:szCs w:val="14"/>
                <w:color w:val="auto"/>
              </w:rPr>
              <w:t>345</w:t>
            </w:r>
          </w:p>
        </w:tc>
        <w:tc>
          <w:tcPr>
            <w:tcW w:w="1100" w:type="dxa"/>
            <w:vAlign w:val="bottom"/>
          </w:tcPr>
          <w:p>
            <w:pPr>
              <w:jc w:val="right"/>
              <w:spacing w:after="0"/>
              <w:rPr>
                <w:sz w:val="20"/>
                <w:szCs w:val="20"/>
                <w:color w:val="auto"/>
              </w:rPr>
            </w:pPr>
            <w:r>
              <w:rPr>
                <w:rFonts w:ascii="Arial" w:cs="Arial" w:eastAsia="Arial" w:hAnsi="Arial"/>
                <w:sz w:val="14"/>
                <w:szCs w:val="14"/>
                <w:color w:val="auto"/>
              </w:rPr>
              <w:t>813</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618</w:t>
            </w:r>
          </w:p>
        </w:tc>
      </w:tr>
      <w:tr>
        <w:trPr>
          <w:trHeight w:val="189"/>
        </w:trPr>
        <w:tc>
          <w:tcPr>
            <w:tcW w:w="68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Fuel</w:t>
            </w:r>
          </w:p>
        </w:tc>
        <w:tc>
          <w:tcPr>
            <w:tcW w:w="1660" w:type="dxa"/>
            <w:vAlign w:val="bottom"/>
            <w:shd w:val="clear" w:color="auto" w:fill="E5E5E5"/>
          </w:tcPr>
          <w:p>
            <w:pPr>
              <w:jc w:val="right"/>
              <w:ind w:right="528"/>
              <w:spacing w:after="0"/>
              <w:rPr>
                <w:sz w:val="20"/>
                <w:szCs w:val="20"/>
                <w:color w:val="auto"/>
              </w:rPr>
            </w:pPr>
            <w:r>
              <w:rPr>
                <w:rFonts w:ascii="Arial" w:cs="Arial" w:eastAsia="Arial" w:hAnsi="Arial"/>
                <w:sz w:val="14"/>
                <w:szCs w:val="14"/>
                <w:color w:val="auto"/>
              </w:rPr>
              <w:t>29</w:t>
            </w: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122</w:t>
            </w:r>
          </w:p>
        </w:tc>
        <w:tc>
          <w:tcPr>
            <w:tcW w:w="36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101</w:t>
            </w:r>
          </w:p>
        </w:tc>
      </w:tr>
      <w:tr>
        <w:trPr>
          <w:trHeight w:val="189"/>
        </w:trPr>
        <w:tc>
          <w:tcPr>
            <w:tcW w:w="6820" w:type="dxa"/>
            <w:vAlign w:val="bottom"/>
          </w:tcPr>
          <w:p>
            <w:pPr>
              <w:ind w:left="140"/>
              <w:spacing w:after="0"/>
              <w:rPr>
                <w:sz w:val="20"/>
                <w:szCs w:val="20"/>
                <w:color w:val="auto"/>
              </w:rPr>
            </w:pPr>
            <w:r>
              <w:rPr>
                <w:rFonts w:ascii="Arial" w:cs="Arial" w:eastAsia="Arial" w:hAnsi="Arial"/>
                <w:sz w:val="14"/>
                <w:szCs w:val="14"/>
                <w:color w:val="auto"/>
              </w:rPr>
              <w:t>Gas purchased for resale</w:t>
            </w:r>
          </w:p>
        </w:tc>
        <w:tc>
          <w:tcPr>
            <w:tcW w:w="1660" w:type="dxa"/>
            <w:vAlign w:val="bottom"/>
          </w:tcPr>
          <w:p>
            <w:pPr>
              <w:jc w:val="right"/>
              <w:ind w:right="528"/>
              <w:spacing w:after="0"/>
              <w:rPr>
                <w:sz w:val="20"/>
                <w:szCs w:val="20"/>
                <w:color w:val="auto"/>
              </w:rPr>
            </w:pPr>
            <w:r>
              <w:rPr>
                <w:rFonts w:ascii="Arial" w:cs="Arial" w:eastAsia="Arial" w:hAnsi="Arial"/>
                <w:sz w:val="14"/>
                <w:szCs w:val="14"/>
                <w:color w:val="auto"/>
              </w:rPr>
              <w:t>63</w:t>
            </w:r>
          </w:p>
        </w:tc>
        <w:tc>
          <w:tcPr>
            <w:tcW w:w="520" w:type="dxa"/>
            <w:vAlign w:val="bottom"/>
          </w:tcPr>
          <w:p>
            <w:pPr>
              <w:jc w:val="right"/>
              <w:spacing w:after="0"/>
              <w:rPr>
                <w:sz w:val="20"/>
                <w:szCs w:val="20"/>
                <w:color w:val="auto"/>
              </w:rPr>
            </w:pPr>
            <w:r>
              <w:rPr>
                <w:rFonts w:ascii="Arial" w:cs="Arial" w:eastAsia="Arial" w:hAnsi="Arial"/>
                <w:sz w:val="14"/>
                <w:szCs w:val="14"/>
                <w:color w:val="auto"/>
              </w:rPr>
              <w:t>64</w:t>
            </w:r>
          </w:p>
        </w:tc>
        <w:tc>
          <w:tcPr>
            <w:tcW w:w="1100" w:type="dxa"/>
            <w:vAlign w:val="bottom"/>
          </w:tcPr>
          <w:p>
            <w:pPr>
              <w:jc w:val="right"/>
              <w:spacing w:after="0"/>
              <w:rPr>
                <w:sz w:val="20"/>
                <w:szCs w:val="20"/>
                <w:color w:val="auto"/>
              </w:rPr>
            </w:pPr>
            <w:r>
              <w:rPr>
                <w:rFonts w:ascii="Arial" w:cs="Arial" w:eastAsia="Arial" w:hAnsi="Arial"/>
                <w:sz w:val="14"/>
                <w:szCs w:val="14"/>
                <w:color w:val="auto"/>
              </w:rPr>
              <w:t>296</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260</w:t>
            </w:r>
          </w:p>
        </w:tc>
      </w:tr>
      <w:tr>
        <w:trPr>
          <w:trHeight w:val="189"/>
        </w:trPr>
        <w:tc>
          <w:tcPr>
            <w:tcW w:w="68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Other operations and maintenance</w:t>
            </w:r>
          </w:p>
        </w:tc>
        <w:tc>
          <w:tcPr>
            <w:tcW w:w="1660" w:type="dxa"/>
            <w:vAlign w:val="bottom"/>
            <w:shd w:val="clear" w:color="auto" w:fill="E5E5E5"/>
          </w:tcPr>
          <w:p>
            <w:pPr>
              <w:jc w:val="right"/>
              <w:ind w:right="528"/>
              <w:spacing w:after="0"/>
              <w:rPr>
                <w:sz w:val="20"/>
                <w:szCs w:val="20"/>
                <w:color w:val="auto"/>
              </w:rPr>
            </w:pPr>
            <w:r>
              <w:rPr>
                <w:rFonts w:ascii="Arial" w:cs="Arial" w:eastAsia="Arial" w:hAnsi="Arial"/>
                <w:sz w:val="14"/>
                <w:szCs w:val="14"/>
                <w:color w:val="auto"/>
              </w:rPr>
              <w:t>590</w:t>
            </w: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549</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1,198</w:t>
            </w:r>
          </w:p>
        </w:tc>
        <w:tc>
          <w:tcPr>
            <w:tcW w:w="36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1,117</w:t>
            </w:r>
          </w:p>
        </w:tc>
      </w:tr>
      <w:tr>
        <w:trPr>
          <w:trHeight w:val="189"/>
        </w:trPr>
        <w:tc>
          <w:tcPr>
            <w:tcW w:w="682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660" w:type="dxa"/>
            <w:vAlign w:val="bottom"/>
          </w:tcPr>
          <w:p>
            <w:pPr>
              <w:jc w:val="right"/>
              <w:ind w:right="528"/>
              <w:spacing w:after="0"/>
              <w:rPr>
                <w:sz w:val="20"/>
                <w:szCs w:val="20"/>
                <w:color w:val="auto"/>
              </w:rPr>
            </w:pPr>
            <w:r>
              <w:rPr>
                <w:rFonts w:ascii="Arial" w:cs="Arial" w:eastAsia="Arial" w:hAnsi="Arial"/>
                <w:sz w:val="14"/>
                <w:szCs w:val="14"/>
                <w:color w:val="auto"/>
              </w:rPr>
              <w:t>423</w:t>
            </w:r>
          </w:p>
        </w:tc>
        <w:tc>
          <w:tcPr>
            <w:tcW w:w="520" w:type="dxa"/>
            <w:vAlign w:val="bottom"/>
          </w:tcPr>
          <w:p>
            <w:pPr>
              <w:jc w:val="right"/>
              <w:spacing w:after="0"/>
              <w:rPr>
                <w:sz w:val="20"/>
                <w:szCs w:val="20"/>
                <w:color w:val="auto"/>
              </w:rPr>
            </w:pPr>
            <w:r>
              <w:rPr>
                <w:rFonts w:ascii="Arial" w:cs="Arial" w:eastAsia="Arial" w:hAnsi="Arial"/>
                <w:sz w:val="14"/>
                <w:szCs w:val="14"/>
                <w:color w:val="auto"/>
              </w:rPr>
              <w:t>396</w:t>
            </w:r>
          </w:p>
        </w:tc>
        <w:tc>
          <w:tcPr>
            <w:tcW w:w="1100" w:type="dxa"/>
            <w:vAlign w:val="bottom"/>
          </w:tcPr>
          <w:p>
            <w:pPr>
              <w:jc w:val="right"/>
              <w:spacing w:after="0"/>
              <w:rPr>
                <w:sz w:val="20"/>
                <w:szCs w:val="20"/>
                <w:color w:val="auto"/>
              </w:rPr>
            </w:pPr>
            <w:r>
              <w:rPr>
                <w:rFonts w:ascii="Arial" w:cs="Arial" w:eastAsia="Arial" w:hAnsi="Arial"/>
                <w:sz w:val="14"/>
                <w:szCs w:val="14"/>
                <w:color w:val="auto"/>
              </w:rPr>
              <w:t>838</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786</w:t>
            </w:r>
          </w:p>
        </w:tc>
      </w:tr>
      <w:tr>
        <w:trPr>
          <w:trHeight w:val="189"/>
        </w:trPr>
        <w:tc>
          <w:tcPr>
            <w:tcW w:w="682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Taxes, other than income taxes</w:t>
            </w:r>
          </w:p>
        </w:tc>
        <w:tc>
          <w:tcPr>
            <w:tcW w:w="1660" w:type="dxa"/>
            <w:vAlign w:val="bottom"/>
            <w:tcBorders>
              <w:bottom w:val="single" w:sz="8" w:color="8C8272"/>
            </w:tcBorders>
            <w:shd w:val="clear" w:color="auto" w:fill="E5E5E5"/>
          </w:tcPr>
          <w:p>
            <w:pPr>
              <w:jc w:val="right"/>
              <w:ind w:right="528"/>
              <w:spacing w:after="0"/>
              <w:rPr>
                <w:sz w:val="20"/>
                <w:szCs w:val="20"/>
                <w:color w:val="auto"/>
              </w:rPr>
            </w:pPr>
            <w:r>
              <w:rPr>
                <w:rFonts w:ascii="Arial" w:cs="Arial" w:eastAsia="Arial" w:hAnsi="Arial"/>
                <w:sz w:val="14"/>
                <w:szCs w:val="14"/>
                <w:color w:val="auto"/>
              </w:rPr>
              <w:t>643</w:t>
            </w:r>
          </w:p>
        </w:tc>
        <w:tc>
          <w:tcPr>
            <w:tcW w:w="5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579</w:t>
            </w:r>
          </w:p>
        </w:tc>
        <w:tc>
          <w:tcPr>
            <w:tcW w:w="1100" w:type="dxa"/>
            <w:vAlign w:val="bottom"/>
            <w:tcBorders>
              <w:bottom w:val="single" w:sz="8" w:color="929292"/>
            </w:tcBorders>
            <w:shd w:val="clear" w:color="auto" w:fill="E5E5E5"/>
          </w:tcPr>
          <w:p>
            <w:pPr>
              <w:jc w:val="right"/>
              <w:spacing w:after="0"/>
              <w:rPr>
                <w:sz w:val="20"/>
                <w:szCs w:val="20"/>
                <w:color w:val="auto"/>
              </w:rPr>
            </w:pPr>
            <w:r>
              <w:rPr>
                <w:rFonts w:ascii="Arial" w:cs="Arial" w:eastAsia="Arial" w:hAnsi="Arial"/>
                <w:sz w:val="14"/>
                <w:szCs w:val="14"/>
                <w:color w:val="auto"/>
              </w:rPr>
              <w:t>1,317</w:t>
            </w:r>
          </w:p>
        </w:tc>
        <w:tc>
          <w:tcPr>
            <w:tcW w:w="360" w:type="dxa"/>
            <w:vAlign w:val="bottom"/>
            <w:tcBorders>
              <w:bottom w:val="single" w:sz="8" w:color="8C8272"/>
            </w:tcBorders>
            <w:shd w:val="clear" w:color="auto" w:fill="E5E5E5"/>
          </w:tcPr>
          <w:p>
            <w:pPr>
              <w:spacing w:after="0"/>
              <w:rPr>
                <w:sz w:val="16"/>
                <w:szCs w:val="16"/>
                <w:color w:val="auto"/>
              </w:rPr>
            </w:pPr>
          </w:p>
        </w:tc>
        <w:tc>
          <w:tcPr>
            <w:tcW w:w="7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1,186</w:t>
            </w:r>
          </w:p>
        </w:tc>
      </w:tr>
      <w:tr>
        <w:trPr>
          <w:trHeight w:val="183"/>
        </w:trPr>
        <w:tc>
          <w:tcPr>
            <w:tcW w:w="68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TOTAL OPERATING EXPENSES</w:t>
            </w:r>
          </w:p>
        </w:tc>
        <w:tc>
          <w:tcPr>
            <w:tcW w:w="1660" w:type="dxa"/>
            <w:vAlign w:val="bottom"/>
            <w:tcBorders>
              <w:bottom w:val="single" w:sz="8" w:color="8C8272"/>
            </w:tcBorders>
          </w:tcPr>
          <w:p>
            <w:pPr>
              <w:jc w:val="right"/>
              <w:ind w:right="528"/>
              <w:spacing w:after="0"/>
              <w:rPr>
                <w:sz w:val="20"/>
                <w:szCs w:val="20"/>
                <w:color w:val="auto"/>
              </w:rPr>
            </w:pPr>
            <w:r>
              <w:rPr>
                <w:rFonts w:ascii="Arial" w:cs="Arial" w:eastAsia="Arial" w:hAnsi="Arial"/>
                <w:sz w:val="14"/>
                <w:szCs w:val="14"/>
                <w:color w:val="auto"/>
              </w:rPr>
              <w:t>2,165</w:t>
            </w:r>
          </w:p>
        </w:tc>
        <w:tc>
          <w:tcPr>
            <w:tcW w:w="5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1,956</w:t>
            </w:r>
          </w:p>
        </w:tc>
        <w:tc>
          <w:tcPr>
            <w:tcW w:w="11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4,584</w:t>
            </w:r>
          </w:p>
        </w:tc>
        <w:tc>
          <w:tcPr>
            <w:tcW w:w="360" w:type="dxa"/>
            <w:vAlign w:val="bottom"/>
            <w:tcBorders>
              <w:bottom w:val="single" w:sz="8" w:color="8C8272"/>
            </w:tcBorders>
          </w:tcPr>
          <w:p>
            <w:pPr>
              <w:spacing w:after="0"/>
              <w:rPr>
                <w:sz w:val="15"/>
                <w:szCs w:val="15"/>
                <w:color w:val="auto"/>
              </w:rPr>
            </w:pPr>
          </w:p>
        </w:tc>
        <w:tc>
          <w:tcPr>
            <w:tcW w:w="7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4,068</w:t>
            </w:r>
          </w:p>
        </w:tc>
      </w:tr>
      <w:tr>
        <w:trPr>
          <w:trHeight w:val="183"/>
        </w:trPr>
        <w:tc>
          <w:tcPr>
            <w:tcW w:w="682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OPERATING INCOME</w:t>
            </w:r>
          </w:p>
        </w:tc>
        <w:tc>
          <w:tcPr>
            <w:tcW w:w="1660" w:type="dxa"/>
            <w:vAlign w:val="bottom"/>
            <w:tcBorders>
              <w:bottom w:val="single" w:sz="8" w:color="8C8272"/>
            </w:tcBorders>
            <w:shd w:val="clear" w:color="auto" w:fill="E5E5E5"/>
          </w:tcPr>
          <w:p>
            <w:pPr>
              <w:jc w:val="right"/>
              <w:ind w:right="528"/>
              <w:spacing w:after="0"/>
              <w:rPr>
                <w:sz w:val="20"/>
                <w:szCs w:val="20"/>
                <w:color w:val="auto"/>
              </w:rPr>
            </w:pPr>
            <w:r>
              <w:rPr>
                <w:rFonts w:ascii="Arial" w:cs="Arial" w:eastAsia="Arial" w:hAnsi="Arial"/>
                <w:sz w:val="14"/>
                <w:szCs w:val="14"/>
                <w:color w:val="auto"/>
              </w:rPr>
              <w:t>321</w:t>
            </w:r>
          </w:p>
        </w:tc>
        <w:tc>
          <w:tcPr>
            <w:tcW w:w="5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389</w:t>
            </w:r>
          </w:p>
        </w:tc>
        <w:tc>
          <w:tcPr>
            <w:tcW w:w="11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1,108</w:t>
            </w:r>
          </w:p>
        </w:tc>
        <w:tc>
          <w:tcPr>
            <w:tcW w:w="360" w:type="dxa"/>
            <w:vAlign w:val="bottom"/>
            <w:tcBorders>
              <w:bottom w:val="single" w:sz="8" w:color="8C8272"/>
            </w:tcBorders>
            <w:shd w:val="clear" w:color="auto" w:fill="E5E5E5"/>
          </w:tcPr>
          <w:p>
            <w:pPr>
              <w:spacing w:after="0"/>
              <w:rPr>
                <w:sz w:val="15"/>
                <w:szCs w:val="15"/>
                <w:color w:val="auto"/>
              </w:rPr>
            </w:pPr>
          </w:p>
        </w:tc>
        <w:tc>
          <w:tcPr>
            <w:tcW w:w="7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1,132</w:t>
            </w:r>
          </w:p>
        </w:tc>
      </w:tr>
      <w:tr>
        <w:trPr>
          <w:trHeight w:val="183"/>
        </w:trPr>
        <w:tc>
          <w:tcPr>
            <w:tcW w:w="6820" w:type="dxa"/>
            <w:vAlign w:val="bottom"/>
          </w:tcPr>
          <w:p>
            <w:pPr>
              <w:ind w:left="20"/>
              <w:spacing w:after="0"/>
              <w:rPr>
                <w:sz w:val="20"/>
                <w:szCs w:val="20"/>
                <w:color w:val="auto"/>
              </w:rPr>
            </w:pPr>
            <w:r>
              <w:rPr>
                <w:rFonts w:ascii="Arial" w:cs="Arial" w:eastAsia="Arial" w:hAnsi="Arial"/>
                <w:sz w:val="14"/>
                <w:szCs w:val="14"/>
                <w:color w:val="auto"/>
              </w:rPr>
              <w:t>OTHER INCOME (DEDUCTIONS)</w:t>
            </w: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9"/>
        </w:trPr>
        <w:tc>
          <w:tcPr>
            <w:tcW w:w="68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Investment and other income</w:t>
            </w:r>
          </w:p>
        </w:tc>
        <w:tc>
          <w:tcPr>
            <w:tcW w:w="1660" w:type="dxa"/>
            <w:vAlign w:val="bottom"/>
            <w:shd w:val="clear" w:color="auto" w:fill="E5E5E5"/>
          </w:tcPr>
          <w:p>
            <w:pPr>
              <w:jc w:val="right"/>
              <w:ind w:right="528"/>
              <w:spacing w:after="0"/>
              <w:rPr>
                <w:sz w:val="20"/>
                <w:szCs w:val="20"/>
                <w:color w:val="auto"/>
              </w:rPr>
            </w:pPr>
            <w:r>
              <w:rPr>
                <w:rFonts w:ascii="Arial" w:cs="Arial" w:eastAsia="Arial" w:hAnsi="Arial"/>
                <w:sz w:val="14"/>
                <w:szCs w:val="14"/>
                <w:color w:val="auto"/>
              </w:rPr>
              <w:t>5</w:t>
            </w: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36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r>
      <w:tr>
        <w:trPr>
          <w:trHeight w:val="189"/>
        </w:trPr>
        <w:tc>
          <w:tcPr>
            <w:tcW w:w="6820" w:type="dxa"/>
            <w:vAlign w:val="bottom"/>
          </w:tcPr>
          <w:p>
            <w:pPr>
              <w:ind w:left="140"/>
              <w:spacing w:after="0"/>
              <w:rPr>
                <w:sz w:val="20"/>
                <w:szCs w:val="20"/>
                <w:color w:val="auto"/>
              </w:rPr>
            </w:pPr>
            <w:r>
              <w:rPr>
                <w:rFonts w:ascii="Arial" w:cs="Arial" w:eastAsia="Arial" w:hAnsi="Arial"/>
                <w:sz w:val="14"/>
                <w:szCs w:val="14"/>
                <w:color w:val="auto"/>
              </w:rPr>
              <w:t>Allowance for equity funds used during construction</w:t>
            </w:r>
          </w:p>
        </w:tc>
        <w:tc>
          <w:tcPr>
            <w:tcW w:w="1660" w:type="dxa"/>
            <w:vAlign w:val="bottom"/>
          </w:tcPr>
          <w:p>
            <w:pPr>
              <w:jc w:val="right"/>
              <w:ind w:right="528"/>
              <w:spacing w:after="0"/>
              <w:rPr>
                <w:sz w:val="20"/>
                <w:szCs w:val="20"/>
                <w:color w:val="auto"/>
              </w:rPr>
            </w:pPr>
            <w:r>
              <w:rPr>
                <w:rFonts w:ascii="Arial" w:cs="Arial" w:eastAsia="Arial" w:hAnsi="Arial"/>
                <w:sz w:val="14"/>
                <w:szCs w:val="14"/>
                <w:color w:val="auto"/>
              </w:rPr>
              <w:t>5</w:t>
            </w: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1100" w:type="dxa"/>
            <w:vAlign w:val="bottom"/>
          </w:tcPr>
          <w:p>
            <w:pPr>
              <w:jc w:val="right"/>
              <w:spacing w:after="0"/>
              <w:rPr>
                <w:sz w:val="20"/>
                <w:szCs w:val="20"/>
                <w:color w:val="auto"/>
              </w:rPr>
            </w:pPr>
            <w:r>
              <w:rPr>
                <w:rFonts w:ascii="Arial" w:cs="Arial" w:eastAsia="Arial" w:hAnsi="Arial"/>
                <w:sz w:val="14"/>
                <w:szCs w:val="14"/>
                <w:color w:val="auto"/>
              </w:rPr>
              <w:t>9</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9"/>
        </w:trPr>
        <w:tc>
          <w:tcPr>
            <w:tcW w:w="682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Other deductions</w:t>
            </w:r>
          </w:p>
        </w:tc>
        <w:tc>
          <w:tcPr>
            <w:tcW w:w="1660" w:type="dxa"/>
            <w:vAlign w:val="bottom"/>
            <w:tcBorders>
              <w:bottom w:val="single" w:sz="8" w:color="8C8272"/>
            </w:tcBorders>
            <w:shd w:val="clear" w:color="auto" w:fill="E5E5E5"/>
          </w:tcPr>
          <w:p>
            <w:pPr>
              <w:jc w:val="right"/>
              <w:ind w:right="528"/>
              <w:spacing w:after="0"/>
              <w:rPr>
                <w:sz w:val="20"/>
                <w:szCs w:val="20"/>
                <w:color w:val="auto"/>
              </w:rPr>
            </w:pPr>
            <w:r>
              <w:rPr>
                <w:rFonts w:ascii="Arial" w:cs="Arial" w:eastAsia="Arial" w:hAnsi="Arial"/>
                <w:sz w:val="14"/>
                <w:szCs w:val="14"/>
                <w:color w:val="auto"/>
              </w:rPr>
              <w:t>(33)</w:t>
            </w:r>
          </w:p>
        </w:tc>
        <w:tc>
          <w:tcPr>
            <w:tcW w:w="5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(47)</w:t>
            </w:r>
          </w:p>
        </w:tc>
        <w:tc>
          <w:tcPr>
            <w:tcW w:w="1100" w:type="dxa"/>
            <w:vAlign w:val="bottom"/>
            <w:tcBorders>
              <w:bottom w:val="single" w:sz="8" w:color="929292"/>
            </w:tcBorders>
            <w:shd w:val="clear" w:color="auto" w:fill="E5E5E5"/>
          </w:tcPr>
          <w:p>
            <w:pPr>
              <w:jc w:val="right"/>
              <w:spacing w:after="0"/>
              <w:rPr>
                <w:sz w:val="20"/>
                <w:szCs w:val="20"/>
                <w:color w:val="auto"/>
              </w:rPr>
            </w:pPr>
            <w:r>
              <w:rPr>
                <w:rFonts w:ascii="Arial" w:cs="Arial" w:eastAsia="Arial" w:hAnsi="Arial"/>
                <w:sz w:val="14"/>
                <w:szCs w:val="14"/>
                <w:color w:val="auto"/>
              </w:rPr>
              <w:t>(66)</w:t>
            </w:r>
          </w:p>
        </w:tc>
        <w:tc>
          <w:tcPr>
            <w:tcW w:w="360" w:type="dxa"/>
            <w:vAlign w:val="bottom"/>
            <w:tcBorders>
              <w:bottom w:val="single" w:sz="8" w:color="8C8272"/>
            </w:tcBorders>
            <w:shd w:val="clear" w:color="auto" w:fill="E5E5E5"/>
          </w:tcPr>
          <w:p>
            <w:pPr>
              <w:spacing w:after="0"/>
              <w:rPr>
                <w:sz w:val="16"/>
                <w:szCs w:val="16"/>
                <w:color w:val="auto"/>
              </w:rPr>
            </w:pPr>
          </w:p>
        </w:tc>
        <w:tc>
          <w:tcPr>
            <w:tcW w:w="7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(114)</w:t>
            </w:r>
          </w:p>
        </w:tc>
      </w:tr>
      <w:tr>
        <w:trPr>
          <w:trHeight w:val="182"/>
        </w:trPr>
        <w:tc>
          <w:tcPr>
            <w:tcW w:w="68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TOTAL OTHER INCOME (DEDUCTIONS)</w:t>
            </w:r>
          </w:p>
        </w:tc>
        <w:tc>
          <w:tcPr>
            <w:tcW w:w="1660" w:type="dxa"/>
            <w:vAlign w:val="bottom"/>
            <w:tcBorders>
              <w:bottom w:val="single" w:sz="8" w:color="8C8272"/>
            </w:tcBorders>
          </w:tcPr>
          <w:p>
            <w:pPr>
              <w:jc w:val="right"/>
              <w:ind w:right="528"/>
              <w:spacing w:after="0"/>
              <w:rPr>
                <w:sz w:val="20"/>
                <w:szCs w:val="20"/>
                <w:color w:val="auto"/>
              </w:rPr>
            </w:pPr>
            <w:r>
              <w:rPr>
                <w:rFonts w:ascii="Arial" w:cs="Arial" w:eastAsia="Arial" w:hAnsi="Arial"/>
                <w:sz w:val="14"/>
                <w:szCs w:val="14"/>
                <w:color w:val="auto"/>
              </w:rPr>
              <w:t>(23)</w:t>
            </w:r>
          </w:p>
        </w:tc>
        <w:tc>
          <w:tcPr>
            <w:tcW w:w="5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(40)</w:t>
            </w:r>
          </w:p>
        </w:tc>
        <w:tc>
          <w:tcPr>
            <w:tcW w:w="11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(46)</w:t>
            </w:r>
          </w:p>
        </w:tc>
        <w:tc>
          <w:tcPr>
            <w:tcW w:w="360" w:type="dxa"/>
            <w:vAlign w:val="bottom"/>
            <w:tcBorders>
              <w:bottom w:val="single" w:sz="8" w:color="8C8272"/>
            </w:tcBorders>
          </w:tcPr>
          <w:p>
            <w:pPr>
              <w:spacing w:after="0"/>
              <w:rPr>
                <w:sz w:val="15"/>
                <w:szCs w:val="15"/>
                <w:color w:val="auto"/>
              </w:rPr>
            </w:pPr>
          </w:p>
        </w:tc>
        <w:tc>
          <w:tcPr>
            <w:tcW w:w="7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(100)</w:t>
            </w:r>
          </w:p>
        </w:tc>
      </w:tr>
      <w:tr>
        <w:trPr>
          <w:trHeight w:val="183"/>
        </w:trPr>
        <w:tc>
          <w:tcPr>
            <w:tcW w:w="682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INCOME BEFORE INTEREST AND INCOME TAX EXPENSE</w:t>
            </w:r>
          </w:p>
        </w:tc>
        <w:tc>
          <w:tcPr>
            <w:tcW w:w="1660" w:type="dxa"/>
            <w:vAlign w:val="bottom"/>
            <w:tcBorders>
              <w:bottom w:val="single" w:sz="8" w:color="8C8272"/>
            </w:tcBorders>
            <w:shd w:val="clear" w:color="auto" w:fill="E5E5E5"/>
          </w:tcPr>
          <w:p>
            <w:pPr>
              <w:jc w:val="right"/>
              <w:ind w:right="528"/>
              <w:spacing w:after="0"/>
              <w:rPr>
                <w:sz w:val="20"/>
                <w:szCs w:val="20"/>
                <w:color w:val="auto"/>
              </w:rPr>
            </w:pPr>
            <w:r>
              <w:rPr>
                <w:rFonts w:ascii="Arial" w:cs="Arial" w:eastAsia="Arial" w:hAnsi="Arial"/>
                <w:sz w:val="14"/>
                <w:szCs w:val="14"/>
                <w:color w:val="auto"/>
              </w:rPr>
              <w:t>298</w:t>
            </w:r>
          </w:p>
        </w:tc>
        <w:tc>
          <w:tcPr>
            <w:tcW w:w="5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349</w:t>
            </w:r>
          </w:p>
        </w:tc>
        <w:tc>
          <w:tcPr>
            <w:tcW w:w="11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1,062</w:t>
            </w:r>
          </w:p>
        </w:tc>
        <w:tc>
          <w:tcPr>
            <w:tcW w:w="360" w:type="dxa"/>
            <w:vAlign w:val="bottom"/>
            <w:tcBorders>
              <w:bottom w:val="single" w:sz="8" w:color="8C8272"/>
            </w:tcBorders>
            <w:shd w:val="clear" w:color="auto" w:fill="E5E5E5"/>
          </w:tcPr>
          <w:p>
            <w:pPr>
              <w:spacing w:after="0"/>
              <w:rPr>
                <w:sz w:val="15"/>
                <w:szCs w:val="15"/>
                <w:color w:val="auto"/>
              </w:rPr>
            </w:pPr>
          </w:p>
        </w:tc>
        <w:tc>
          <w:tcPr>
            <w:tcW w:w="7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1,032</w:t>
            </w:r>
          </w:p>
        </w:tc>
      </w:tr>
      <w:tr>
        <w:trPr>
          <w:trHeight w:val="183"/>
        </w:trPr>
        <w:tc>
          <w:tcPr>
            <w:tcW w:w="68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9"/>
        </w:trPr>
        <w:tc>
          <w:tcPr>
            <w:tcW w:w="68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Interest on long-term debt</w:t>
            </w:r>
          </w:p>
        </w:tc>
        <w:tc>
          <w:tcPr>
            <w:tcW w:w="1660" w:type="dxa"/>
            <w:vAlign w:val="bottom"/>
            <w:shd w:val="clear" w:color="auto" w:fill="E5E5E5"/>
          </w:tcPr>
          <w:p>
            <w:pPr>
              <w:jc w:val="right"/>
              <w:ind w:right="528"/>
              <w:spacing w:after="0"/>
              <w:rPr>
                <w:sz w:val="20"/>
                <w:szCs w:val="20"/>
                <w:color w:val="auto"/>
              </w:rPr>
            </w:pPr>
            <w:r>
              <w:rPr>
                <w:rFonts w:ascii="Arial" w:cs="Arial" w:eastAsia="Arial" w:hAnsi="Arial"/>
                <w:sz w:val="14"/>
                <w:szCs w:val="14"/>
                <w:color w:val="auto"/>
              </w:rPr>
              <w:t>186</w:t>
            </w: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185</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370</w:t>
            </w:r>
          </w:p>
        </w:tc>
        <w:tc>
          <w:tcPr>
            <w:tcW w:w="36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358</w:t>
            </w:r>
          </w:p>
        </w:tc>
      </w:tr>
      <w:tr>
        <w:trPr>
          <w:trHeight w:val="189"/>
        </w:trPr>
        <w:tc>
          <w:tcPr>
            <w:tcW w:w="6820" w:type="dxa"/>
            <w:vAlign w:val="bottom"/>
          </w:tcPr>
          <w:p>
            <w:pPr>
              <w:ind w:left="140"/>
              <w:spacing w:after="0"/>
              <w:rPr>
                <w:sz w:val="20"/>
                <w:szCs w:val="20"/>
                <w:color w:val="auto"/>
              </w:rPr>
            </w:pPr>
            <w:r>
              <w:rPr>
                <w:rFonts w:ascii="Arial" w:cs="Arial" w:eastAsia="Arial" w:hAnsi="Arial"/>
                <w:sz w:val="14"/>
                <w:szCs w:val="14"/>
                <w:color w:val="auto"/>
              </w:rPr>
              <w:t>Other interest</w:t>
            </w:r>
          </w:p>
        </w:tc>
        <w:tc>
          <w:tcPr>
            <w:tcW w:w="1660" w:type="dxa"/>
            <w:vAlign w:val="bottom"/>
          </w:tcPr>
          <w:p>
            <w:pPr>
              <w:jc w:val="right"/>
              <w:ind w:right="528"/>
              <w:spacing w:after="0"/>
              <w:rPr>
                <w:sz w:val="20"/>
                <w:szCs w:val="20"/>
                <w:color w:val="auto"/>
              </w:rPr>
            </w:pPr>
            <w:r>
              <w:rPr>
                <w:rFonts w:ascii="Arial" w:cs="Arial" w:eastAsia="Arial" w:hAnsi="Arial"/>
                <w:sz w:val="14"/>
                <w:szCs w:val="14"/>
                <w:color w:val="auto"/>
              </w:rPr>
              <w:t>4</w:t>
            </w:r>
          </w:p>
        </w:tc>
        <w:tc>
          <w:tcPr>
            <w:tcW w:w="520" w:type="dxa"/>
            <w:vAlign w:val="bottom"/>
          </w:tcPr>
          <w:p>
            <w:pPr>
              <w:jc w:val="right"/>
              <w:spacing w:after="0"/>
              <w:rPr>
                <w:sz w:val="20"/>
                <w:szCs w:val="20"/>
                <w:color w:val="auto"/>
              </w:rPr>
            </w:pPr>
            <w:r>
              <w:rPr>
                <w:rFonts w:ascii="Arial" w:cs="Arial" w:eastAsia="Arial" w:hAnsi="Arial"/>
                <w:sz w:val="14"/>
                <w:szCs w:val="14"/>
                <w:color w:val="auto"/>
              </w:rPr>
              <w:t>7</w:t>
            </w: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9"/>
        </w:trPr>
        <w:tc>
          <w:tcPr>
            <w:tcW w:w="682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Allowance for borrowed funds used during construction</w:t>
            </w:r>
          </w:p>
        </w:tc>
        <w:tc>
          <w:tcPr>
            <w:tcW w:w="1660" w:type="dxa"/>
            <w:vAlign w:val="bottom"/>
            <w:tcBorders>
              <w:bottom w:val="single" w:sz="8" w:color="8C8272"/>
            </w:tcBorders>
            <w:shd w:val="clear" w:color="auto" w:fill="E5E5E5"/>
          </w:tcPr>
          <w:p>
            <w:pPr>
              <w:jc w:val="right"/>
              <w:ind w:right="528"/>
              <w:spacing w:after="0"/>
              <w:rPr>
                <w:sz w:val="20"/>
                <w:szCs w:val="20"/>
                <w:color w:val="auto"/>
              </w:rPr>
            </w:pPr>
            <w:r>
              <w:rPr>
                <w:rFonts w:ascii="Arial" w:cs="Arial" w:eastAsia="Arial" w:hAnsi="Arial"/>
                <w:sz w:val="14"/>
                <w:szCs w:val="14"/>
                <w:color w:val="auto"/>
              </w:rPr>
              <w:t>(4)</w:t>
            </w:r>
          </w:p>
        </w:tc>
        <w:tc>
          <w:tcPr>
            <w:tcW w:w="5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10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auto"/>
              </w:rPr>
              <w:t>(7)</w:t>
            </w:r>
          </w:p>
        </w:tc>
        <w:tc>
          <w:tcPr>
            <w:tcW w:w="360" w:type="dxa"/>
            <w:vAlign w:val="bottom"/>
            <w:tcBorders>
              <w:bottom w:val="single" w:sz="8" w:color="8C8272"/>
            </w:tcBorders>
            <w:shd w:val="clear" w:color="auto" w:fill="E5E5E5"/>
          </w:tcPr>
          <w:p>
            <w:pPr>
              <w:spacing w:after="0"/>
              <w:rPr>
                <w:sz w:val="16"/>
                <w:szCs w:val="16"/>
                <w:color w:val="auto"/>
              </w:rPr>
            </w:pPr>
          </w:p>
        </w:tc>
        <w:tc>
          <w:tcPr>
            <w:tcW w:w="7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w:t>
            </w:r>
          </w:p>
        </w:tc>
      </w:tr>
      <w:tr>
        <w:trPr>
          <w:trHeight w:val="183"/>
        </w:trPr>
        <w:tc>
          <w:tcPr>
            <w:tcW w:w="68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NET INTEREST EXPENSE</w:t>
            </w:r>
          </w:p>
        </w:tc>
        <w:tc>
          <w:tcPr>
            <w:tcW w:w="1660" w:type="dxa"/>
            <w:vAlign w:val="bottom"/>
            <w:tcBorders>
              <w:bottom w:val="single" w:sz="8" w:color="8C8272"/>
            </w:tcBorders>
          </w:tcPr>
          <w:p>
            <w:pPr>
              <w:jc w:val="right"/>
              <w:ind w:right="528"/>
              <w:spacing w:after="0"/>
              <w:rPr>
                <w:sz w:val="20"/>
                <w:szCs w:val="20"/>
                <w:color w:val="auto"/>
              </w:rPr>
            </w:pPr>
            <w:r>
              <w:rPr>
                <w:rFonts w:ascii="Arial" w:cs="Arial" w:eastAsia="Arial" w:hAnsi="Arial"/>
                <w:sz w:val="14"/>
                <w:szCs w:val="14"/>
                <w:color w:val="auto"/>
              </w:rPr>
              <w:t>186</w:t>
            </w:r>
          </w:p>
        </w:tc>
        <w:tc>
          <w:tcPr>
            <w:tcW w:w="5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190</w:t>
            </w:r>
          </w:p>
        </w:tc>
        <w:tc>
          <w:tcPr>
            <w:tcW w:w="110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371</w:t>
            </w:r>
          </w:p>
        </w:tc>
        <w:tc>
          <w:tcPr>
            <w:tcW w:w="360" w:type="dxa"/>
            <w:vAlign w:val="bottom"/>
            <w:tcBorders>
              <w:bottom w:val="single" w:sz="8" w:color="8C8272"/>
            </w:tcBorders>
          </w:tcPr>
          <w:p>
            <w:pPr>
              <w:spacing w:after="0"/>
              <w:rPr>
                <w:sz w:val="15"/>
                <w:szCs w:val="15"/>
                <w:color w:val="auto"/>
              </w:rPr>
            </w:pPr>
          </w:p>
        </w:tc>
        <w:tc>
          <w:tcPr>
            <w:tcW w:w="7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372</w:t>
            </w:r>
          </w:p>
        </w:tc>
      </w:tr>
      <w:tr>
        <w:trPr>
          <w:trHeight w:val="183"/>
        </w:trPr>
        <w:tc>
          <w:tcPr>
            <w:tcW w:w="6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INCOME BEFORE INCOME TAX EXPENSE (BENEFIT)</w:t>
            </w:r>
          </w:p>
        </w:tc>
        <w:tc>
          <w:tcPr>
            <w:tcW w:w="1660" w:type="dxa"/>
            <w:vAlign w:val="bottom"/>
            <w:shd w:val="clear" w:color="auto" w:fill="E5E5E5"/>
          </w:tcPr>
          <w:p>
            <w:pPr>
              <w:jc w:val="right"/>
              <w:ind w:right="528"/>
              <w:spacing w:after="0"/>
              <w:rPr>
                <w:sz w:val="20"/>
                <w:szCs w:val="20"/>
                <w:color w:val="auto"/>
              </w:rPr>
            </w:pPr>
            <w:r>
              <w:rPr>
                <w:rFonts w:ascii="Arial" w:cs="Arial" w:eastAsia="Arial" w:hAnsi="Arial"/>
                <w:sz w:val="14"/>
                <w:szCs w:val="14"/>
                <w:color w:val="auto"/>
              </w:rPr>
              <w:t>112</w:t>
            </w: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159</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691</w:t>
            </w:r>
          </w:p>
        </w:tc>
        <w:tc>
          <w:tcPr>
            <w:tcW w:w="360" w:type="dxa"/>
            <w:vAlign w:val="bottom"/>
            <w:shd w:val="clear" w:color="auto" w:fill="E5E5E5"/>
          </w:tcPr>
          <w:p>
            <w:pPr>
              <w:spacing w:after="0"/>
              <w:rPr>
                <w:sz w:val="15"/>
                <w:szCs w:val="15"/>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660</w:t>
            </w:r>
          </w:p>
        </w:tc>
      </w:tr>
      <w:tr>
        <w:trPr>
          <w:trHeight w:val="189"/>
        </w:trPr>
        <w:tc>
          <w:tcPr>
            <w:tcW w:w="68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INCOME TAX EXPENSE (BENEFIT)</w:t>
            </w:r>
          </w:p>
        </w:tc>
        <w:tc>
          <w:tcPr>
            <w:tcW w:w="1660" w:type="dxa"/>
            <w:vAlign w:val="bottom"/>
            <w:tcBorders>
              <w:bottom w:val="single" w:sz="8" w:color="8C8272"/>
            </w:tcBorders>
          </w:tcPr>
          <w:p>
            <w:pPr>
              <w:jc w:val="right"/>
              <w:ind w:right="528"/>
              <w:spacing w:after="0"/>
              <w:rPr>
                <w:sz w:val="20"/>
                <w:szCs w:val="20"/>
                <w:color w:val="auto"/>
              </w:rPr>
            </w:pPr>
            <w:r>
              <w:rPr>
                <w:rFonts w:ascii="Arial" w:cs="Arial" w:eastAsia="Arial" w:hAnsi="Arial"/>
                <w:sz w:val="14"/>
                <w:szCs w:val="14"/>
                <w:color w:val="auto"/>
              </w:rPr>
              <w:t>(16)</w:t>
            </w:r>
          </w:p>
        </w:tc>
        <w:tc>
          <w:tcPr>
            <w:tcW w:w="5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7</w:t>
            </w:r>
          </w:p>
        </w:tc>
        <w:tc>
          <w:tcPr>
            <w:tcW w:w="11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98</w:t>
            </w:r>
          </w:p>
        </w:tc>
        <w:tc>
          <w:tcPr>
            <w:tcW w:w="360" w:type="dxa"/>
            <w:vAlign w:val="bottom"/>
            <w:tcBorders>
              <w:bottom w:val="single" w:sz="8" w:color="8C8272"/>
            </w:tcBorders>
          </w:tcPr>
          <w:p>
            <w:pPr>
              <w:spacing w:after="0"/>
              <w:rPr>
                <w:sz w:val="16"/>
                <w:szCs w:val="16"/>
                <w:color w:val="auto"/>
              </w:rPr>
            </w:pPr>
          </w:p>
        </w:tc>
        <w:tc>
          <w:tcPr>
            <w:tcW w:w="7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102</w:t>
            </w:r>
          </w:p>
        </w:tc>
      </w:tr>
      <w:tr>
        <w:trPr>
          <w:trHeight w:val="183"/>
        </w:trPr>
        <w:tc>
          <w:tcPr>
            <w:tcW w:w="682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NET INCOME</w:t>
            </w:r>
          </w:p>
        </w:tc>
        <w:tc>
          <w:tcPr>
            <w:tcW w:w="1660" w:type="dxa"/>
            <w:vAlign w:val="bottom"/>
            <w:tcBorders>
              <w:bottom w:val="single" w:sz="8" w:color="8C8272"/>
            </w:tcBorders>
            <w:shd w:val="clear" w:color="auto" w:fill="E5E5E5"/>
          </w:tcPr>
          <w:p>
            <w:pPr>
              <w:jc w:val="right"/>
              <w:ind w:right="528"/>
              <w:spacing w:after="0"/>
              <w:rPr>
                <w:sz w:val="20"/>
                <w:szCs w:val="20"/>
                <w:color w:val="auto"/>
              </w:rPr>
            </w:pPr>
            <w:r>
              <w:rPr>
                <w:rFonts w:ascii="Arial" w:cs="Arial" w:eastAsia="Arial" w:hAnsi="Arial"/>
                <w:sz w:val="14"/>
                <w:szCs w:val="14"/>
                <w:color w:val="auto"/>
              </w:rPr>
              <w:t>$128</w:t>
            </w:r>
          </w:p>
        </w:tc>
        <w:tc>
          <w:tcPr>
            <w:tcW w:w="5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$152</w:t>
            </w:r>
          </w:p>
        </w:tc>
        <w:tc>
          <w:tcPr>
            <w:tcW w:w="11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$593</w:t>
            </w:r>
          </w:p>
        </w:tc>
        <w:tc>
          <w:tcPr>
            <w:tcW w:w="360" w:type="dxa"/>
            <w:vAlign w:val="bottom"/>
            <w:tcBorders>
              <w:bottom w:val="single" w:sz="8" w:color="8C8272"/>
            </w:tcBorders>
            <w:shd w:val="clear" w:color="auto" w:fill="E5E5E5"/>
          </w:tcPr>
          <w:p>
            <w:pPr>
              <w:spacing w:after="0"/>
              <w:rPr>
                <w:sz w:val="15"/>
                <w:szCs w:val="15"/>
                <w:color w:val="auto"/>
              </w:rPr>
            </w:pPr>
          </w:p>
        </w:tc>
        <w:tc>
          <w:tcPr>
            <w:tcW w:w="7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$558</w:t>
            </w:r>
          </w:p>
        </w:tc>
      </w:tr>
    </w:tbl>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828282"/>
        </w:rPr>
        <w:t>Consolidated Edison Company of New York,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 OF COMPREHENSIVE INCOME (UNAUDITED)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0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Three Months Ended June</w:t>
            </w:r>
          </w:p>
        </w:tc>
        <w:tc>
          <w:tcPr>
            <w:tcW w:w="18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Six Months Ended June</w:t>
            </w:r>
          </w:p>
        </w:tc>
      </w:tr>
      <w:tr>
        <w:trPr>
          <w:trHeight w:val="176"/>
        </w:trPr>
        <w:tc>
          <w:tcPr>
            <w:tcW w:w="6340" w:type="dxa"/>
            <w:vAlign w:val="bottom"/>
            <w:tcBorders>
              <w:bottom w:val="single" w:sz="8" w:color="8C8272"/>
            </w:tcBorders>
          </w:tcPr>
          <w:p>
            <w:pPr>
              <w:spacing w:after="0"/>
              <w:rPr>
                <w:sz w:val="15"/>
                <w:szCs w:val="15"/>
                <w:color w:val="auto"/>
              </w:rPr>
            </w:pPr>
          </w:p>
        </w:tc>
        <w:tc>
          <w:tcPr>
            <w:tcW w:w="2420" w:type="dxa"/>
            <w:vAlign w:val="bottom"/>
            <w:tcBorders>
              <w:bottom w:val="single" w:sz="8" w:color="8C8272"/>
            </w:tcBorders>
          </w:tcPr>
          <w:p>
            <w:pPr>
              <w:jc w:val="right"/>
              <w:ind w:right="188"/>
              <w:spacing w:after="0"/>
              <w:rPr>
                <w:sz w:val="20"/>
                <w:szCs w:val="20"/>
                <w:color w:val="auto"/>
              </w:rPr>
            </w:pPr>
            <w:r>
              <w:rPr>
                <w:rFonts w:ascii="Arial" w:cs="Arial" w:eastAsia="Arial" w:hAnsi="Arial"/>
                <w:sz w:val="14"/>
                <w:szCs w:val="14"/>
                <w:b w:val="1"/>
                <w:bCs w:val="1"/>
                <w:color w:val="auto"/>
              </w:rPr>
              <w:t>30,</w:t>
            </w:r>
          </w:p>
        </w:tc>
        <w:tc>
          <w:tcPr>
            <w:tcW w:w="640" w:type="dxa"/>
            <w:vAlign w:val="bottom"/>
            <w:tcBorders>
              <w:bottom w:val="single" w:sz="8" w:color="8C8272"/>
            </w:tcBorders>
          </w:tcPr>
          <w:p>
            <w:pPr>
              <w:spacing w:after="0"/>
              <w:rPr>
                <w:sz w:val="15"/>
                <w:szCs w:val="15"/>
                <w:color w:val="auto"/>
              </w:rPr>
            </w:pPr>
          </w:p>
        </w:tc>
        <w:tc>
          <w:tcPr>
            <w:tcW w:w="124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30,</w:t>
            </w:r>
          </w:p>
        </w:tc>
        <w:tc>
          <w:tcPr>
            <w:tcW w:w="600" w:type="dxa"/>
            <w:vAlign w:val="bottom"/>
            <w:tcBorders>
              <w:bottom w:val="single" w:sz="8" w:color="8C8272"/>
            </w:tcBorders>
          </w:tcPr>
          <w:p>
            <w:pPr>
              <w:spacing w:after="0"/>
              <w:rPr>
                <w:sz w:val="15"/>
                <w:szCs w:val="15"/>
                <w:color w:val="auto"/>
              </w:rPr>
            </w:pPr>
          </w:p>
        </w:tc>
      </w:tr>
      <w:tr>
        <w:trPr>
          <w:trHeight w:val="183"/>
        </w:trPr>
        <w:tc>
          <w:tcPr>
            <w:tcW w:w="634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2420" w:type="dxa"/>
            <w:vAlign w:val="bottom"/>
            <w:tcBorders>
              <w:bottom w:val="single" w:sz="8" w:color="8C8272"/>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8C8272"/>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6340" w:type="dxa"/>
            <w:vAlign w:val="bottom"/>
            <w:shd w:val="clear" w:color="auto" w:fill="E5E5E5"/>
          </w:tcPr>
          <w:p>
            <w:pPr>
              <w:ind w:left="20"/>
              <w:spacing w:after="0"/>
              <w:rPr>
                <w:sz w:val="20"/>
                <w:szCs w:val="20"/>
                <w:color w:val="auto"/>
              </w:rPr>
            </w:pPr>
            <w:r>
              <w:rPr>
                <w:rFonts w:ascii="Arial" w:cs="Arial" w:eastAsia="Arial" w:hAnsi="Arial"/>
                <w:sz w:val="14"/>
                <w:szCs w:val="14"/>
                <w:color w:val="auto"/>
              </w:rPr>
              <w:t>NET INCOME</w:t>
            </w:r>
          </w:p>
        </w:tc>
        <w:tc>
          <w:tcPr>
            <w:tcW w:w="242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$128</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$152</w:t>
            </w:r>
          </w:p>
        </w:tc>
        <w:tc>
          <w:tcPr>
            <w:tcW w:w="124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$593</w:t>
            </w:r>
          </w:p>
        </w:tc>
        <w:tc>
          <w:tcPr>
            <w:tcW w:w="6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$558</w:t>
            </w:r>
          </w:p>
        </w:tc>
      </w:tr>
      <w:tr>
        <w:trPr>
          <w:trHeight w:val="189"/>
        </w:trPr>
        <w:tc>
          <w:tcPr>
            <w:tcW w:w="6340" w:type="dxa"/>
            <w:vAlign w:val="bottom"/>
            <w:tcBorders>
              <w:bottom w:val="single" w:sz="8" w:color="8C8272"/>
            </w:tcBorders>
          </w:tcPr>
          <w:p>
            <w:pPr>
              <w:ind w:left="140"/>
              <w:spacing w:after="0"/>
              <w:rPr>
                <w:sz w:val="20"/>
                <w:szCs w:val="20"/>
                <w:color w:val="auto"/>
              </w:rPr>
            </w:pPr>
            <w:r>
              <w:rPr>
                <w:rFonts w:ascii="Arial" w:cs="Arial" w:eastAsia="Arial" w:hAnsi="Arial"/>
                <w:sz w:val="14"/>
                <w:szCs w:val="14"/>
                <w:color w:val="auto"/>
              </w:rPr>
              <w:t>Pension and other postretirement benefit plan liability adjustments, net of taxes</w:t>
            </w:r>
          </w:p>
        </w:tc>
        <w:tc>
          <w:tcPr>
            <w:tcW w:w="2420" w:type="dxa"/>
            <w:vAlign w:val="bottom"/>
            <w:tcBorders>
              <w:bottom w:val="single" w:sz="8" w:color="8C8272"/>
            </w:tcBorders>
          </w:tcPr>
          <w:p>
            <w:pPr>
              <w:jc w:val="right"/>
              <w:ind w:right="3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w:t>
            </w:r>
          </w:p>
        </w:tc>
        <w:tc>
          <w:tcPr>
            <w:tcW w:w="1240" w:type="dxa"/>
            <w:vAlign w:val="bottom"/>
            <w:tcBorders>
              <w:bottom w:val="single" w:sz="8" w:color="8C8272"/>
            </w:tcBorders>
          </w:tcPr>
          <w:p>
            <w:pPr>
              <w:jc w:val="right"/>
              <w:ind w:right="3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634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TOTAL OTHER COMPREHENSIVE INCOME, NET OF TAXES</w:t>
            </w:r>
          </w:p>
        </w:tc>
        <w:tc>
          <w:tcPr>
            <w:tcW w:w="2420" w:type="dxa"/>
            <w:vAlign w:val="bottom"/>
            <w:tcBorders>
              <w:bottom w:val="single" w:sz="8" w:color="8C8272"/>
            </w:tcBorders>
            <w:shd w:val="clear" w:color="auto" w:fill="E5E5E5"/>
          </w:tcPr>
          <w:p>
            <w:pPr>
              <w:jc w:val="right"/>
              <w:ind w:right="3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40" w:type="dxa"/>
            <w:vAlign w:val="bottom"/>
            <w:tcBorders>
              <w:bottom w:val="single" w:sz="8" w:color="8C8272"/>
            </w:tcBorders>
            <w:shd w:val="clear" w:color="auto" w:fill="E5E5E5"/>
          </w:tcPr>
          <w:p>
            <w:pPr>
              <w:jc w:val="right"/>
              <w:ind w:right="3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634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COMPREHENSIVE INCOME</w:t>
            </w:r>
          </w:p>
        </w:tc>
        <w:tc>
          <w:tcPr>
            <w:tcW w:w="2420" w:type="dxa"/>
            <w:vAlign w:val="bottom"/>
            <w:tcBorders>
              <w:bottom w:val="single" w:sz="8" w:color="8C8272"/>
            </w:tcBorders>
          </w:tcPr>
          <w:p>
            <w:pPr>
              <w:jc w:val="right"/>
              <w:ind w:right="308"/>
              <w:spacing w:after="0"/>
              <w:rPr>
                <w:sz w:val="20"/>
                <w:szCs w:val="20"/>
                <w:color w:val="auto"/>
              </w:rPr>
            </w:pPr>
            <w:r>
              <w:rPr>
                <w:rFonts w:ascii="Arial" w:cs="Arial" w:eastAsia="Arial" w:hAnsi="Arial"/>
                <w:sz w:val="14"/>
                <w:szCs w:val="14"/>
                <w:color w:val="auto"/>
              </w:rPr>
              <w:t>$128</w:t>
            </w:r>
          </w:p>
        </w:tc>
        <w:tc>
          <w:tcPr>
            <w:tcW w:w="6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$153</w:t>
            </w:r>
          </w:p>
        </w:tc>
        <w:tc>
          <w:tcPr>
            <w:tcW w:w="1240" w:type="dxa"/>
            <w:vAlign w:val="bottom"/>
            <w:tcBorders>
              <w:bottom w:val="single" w:sz="8" w:color="8C8272"/>
            </w:tcBorders>
          </w:tcPr>
          <w:p>
            <w:pPr>
              <w:jc w:val="right"/>
              <w:ind w:right="288"/>
              <w:spacing w:after="0"/>
              <w:rPr>
                <w:sz w:val="20"/>
                <w:szCs w:val="20"/>
                <w:color w:val="auto"/>
              </w:rPr>
            </w:pPr>
            <w:r>
              <w:rPr>
                <w:rFonts w:ascii="Arial" w:cs="Arial" w:eastAsia="Arial" w:hAnsi="Arial"/>
                <w:sz w:val="14"/>
                <w:szCs w:val="14"/>
                <w:color w:val="auto"/>
              </w:rPr>
              <w:t>$593</w:t>
            </w:r>
          </w:p>
        </w:tc>
        <w:tc>
          <w:tcPr>
            <w:tcW w:w="6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$560</w:t>
            </w: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828282"/>
        </w:rPr>
        <w:t>Consolidated Edison Company of New York,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 OF CASH FLOWS (UNAUDITED)</w:t>
      </w:r>
    </w:p>
    <w:p>
      <w:pPr>
        <w:spacing w:after="0" w:line="321"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For the 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20" w:type="dxa"/>
            <w:vAlign w:val="bottom"/>
            <w:tcBorders>
              <w:top w:val="single" w:sz="8" w:color="8C8272"/>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620" w:type="dxa"/>
            <w:vAlign w:val="bottom"/>
            <w:tcBorders>
              <w:top w:val="single" w:sz="8" w:color="8C8272"/>
              <w:bottom w:val="single" w:sz="8" w:color="8C8272"/>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180" w:type="dxa"/>
            <w:vAlign w:val="bottom"/>
            <w:tcBorders>
              <w:top w:val="single" w:sz="8" w:color="8C8272"/>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8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ACTIVITIES</w:t>
            </w:r>
          </w:p>
        </w:tc>
        <w:tc>
          <w:tcPr>
            <w:tcW w:w="16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r>
      <w:tr>
        <w:trPr>
          <w:trHeight w:val="189"/>
        </w:trPr>
        <w:tc>
          <w:tcPr>
            <w:tcW w:w="84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$593</w:t>
            </w:r>
          </w:p>
        </w:tc>
        <w:tc>
          <w:tcPr>
            <w:tcW w:w="1180" w:type="dxa"/>
            <w:vAlign w:val="bottom"/>
          </w:tcPr>
          <w:p>
            <w:pPr>
              <w:jc w:val="right"/>
              <w:spacing w:after="0"/>
              <w:rPr>
                <w:sz w:val="20"/>
                <w:szCs w:val="20"/>
                <w:color w:val="auto"/>
              </w:rPr>
            </w:pPr>
            <w:r>
              <w:rPr>
                <w:rFonts w:ascii="Arial" w:cs="Arial" w:eastAsia="Arial" w:hAnsi="Arial"/>
                <w:sz w:val="14"/>
                <w:szCs w:val="14"/>
                <w:color w:val="auto"/>
              </w:rPr>
              <w:t>$558</w:t>
            </w:r>
          </w:p>
        </w:tc>
      </w:tr>
      <w:tr>
        <w:trPr>
          <w:trHeight w:val="189"/>
        </w:trPr>
        <w:tc>
          <w:tcPr>
            <w:tcW w:w="84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PRINCIPAL NON-CASH CHARGES/(CREDITS) TO INCOME</w:t>
            </w:r>
          </w:p>
        </w:tc>
        <w:tc>
          <w:tcPr>
            <w:tcW w:w="16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r>
      <w:tr>
        <w:trPr>
          <w:trHeight w:val="189"/>
        </w:trPr>
        <w:tc>
          <w:tcPr>
            <w:tcW w:w="842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838</w:t>
            </w:r>
          </w:p>
        </w:tc>
        <w:tc>
          <w:tcPr>
            <w:tcW w:w="1180" w:type="dxa"/>
            <w:vAlign w:val="bottom"/>
          </w:tcPr>
          <w:p>
            <w:pPr>
              <w:jc w:val="right"/>
              <w:spacing w:after="0"/>
              <w:rPr>
                <w:sz w:val="20"/>
                <w:szCs w:val="20"/>
                <w:color w:val="auto"/>
              </w:rPr>
            </w:pPr>
            <w:r>
              <w:rPr>
                <w:rFonts w:ascii="Arial" w:cs="Arial" w:eastAsia="Arial" w:hAnsi="Arial"/>
                <w:sz w:val="14"/>
                <w:szCs w:val="14"/>
                <w:color w:val="auto"/>
              </w:rPr>
              <w:t>786</w:t>
            </w:r>
          </w:p>
        </w:tc>
      </w:tr>
      <w:tr>
        <w:trPr>
          <w:trHeight w:val="189"/>
        </w:trPr>
        <w:tc>
          <w:tcPr>
            <w:tcW w:w="8420" w:type="dxa"/>
            <w:vAlign w:val="bottom"/>
            <w:shd w:val="clear" w:color="auto" w:fill="DBDBDB"/>
          </w:tcPr>
          <w:p>
            <w:pPr>
              <w:ind w:left="360"/>
              <w:spacing w:after="0"/>
              <w:rPr>
                <w:sz w:val="20"/>
                <w:szCs w:val="20"/>
                <w:color w:val="auto"/>
              </w:rPr>
            </w:pPr>
            <w:r>
              <w:rPr>
                <w:rFonts w:ascii="Arial" w:cs="Arial" w:eastAsia="Arial" w:hAnsi="Arial"/>
                <w:sz w:val="14"/>
                <w:szCs w:val="14"/>
                <w:color w:val="auto"/>
              </w:rPr>
              <w:t>Deferred income taxes</w:t>
            </w:r>
          </w:p>
        </w:tc>
        <w:tc>
          <w:tcPr>
            <w:tcW w:w="1620" w:type="dxa"/>
            <w:vAlign w:val="bottom"/>
            <w:shd w:val="clear" w:color="auto" w:fill="DBDBDB"/>
          </w:tcPr>
          <w:p>
            <w:pPr>
              <w:jc w:val="right"/>
              <w:ind w:right="628"/>
              <w:spacing w:after="0"/>
              <w:rPr>
                <w:sz w:val="20"/>
                <w:szCs w:val="20"/>
                <w:color w:val="auto"/>
              </w:rPr>
            </w:pPr>
            <w:r>
              <w:rPr>
                <w:rFonts w:ascii="Arial" w:cs="Arial" w:eastAsia="Arial" w:hAnsi="Arial"/>
                <w:sz w:val="14"/>
                <w:szCs w:val="14"/>
                <w:color w:val="auto"/>
              </w:rPr>
              <w:t>7</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47</w:t>
            </w:r>
          </w:p>
        </w:tc>
      </w:tr>
      <w:tr>
        <w:trPr>
          <w:trHeight w:val="189"/>
        </w:trPr>
        <w:tc>
          <w:tcPr>
            <w:tcW w:w="8420" w:type="dxa"/>
            <w:vAlign w:val="bottom"/>
          </w:tcPr>
          <w:p>
            <w:pPr>
              <w:ind w:left="360"/>
              <w:spacing w:after="0"/>
              <w:rPr>
                <w:sz w:val="20"/>
                <w:szCs w:val="20"/>
                <w:color w:val="auto"/>
              </w:rPr>
            </w:pPr>
            <w:r>
              <w:rPr>
                <w:rFonts w:ascii="Arial" w:cs="Arial" w:eastAsia="Arial" w:hAnsi="Arial"/>
                <w:sz w:val="14"/>
                <w:szCs w:val="14"/>
                <w:color w:val="auto"/>
              </w:rPr>
              <w:t>Rate case amortization and accruals</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(11)</w:t>
            </w:r>
          </w:p>
        </w:tc>
        <w:tc>
          <w:tcPr>
            <w:tcW w:w="11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89"/>
        </w:trPr>
        <w:tc>
          <w:tcPr>
            <w:tcW w:w="8420" w:type="dxa"/>
            <w:vAlign w:val="bottom"/>
            <w:shd w:val="clear" w:color="auto" w:fill="DBDBDB"/>
          </w:tcPr>
          <w:p>
            <w:pPr>
              <w:ind w:left="360"/>
              <w:spacing w:after="0"/>
              <w:rPr>
                <w:sz w:val="20"/>
                <w:szCs w:val="20"/>
                <w:color w:val="auto"/>
              </w:rPr>
            </w:pPr>
            <w:r>
              <w:rPr>
                <w:rFonts w:ascii="Arial" w:cs="Arial" w:eastAsia="Arial" w:hAnsi="Arial"/>
                <w:sz w:val="14"/>
                <w:szCs w:val="14"/>
                <w:color w:val="auto"/>
              </w:rPr>
              <w:t>Common equity component of allowance for funds used during construction</w:t>
            </w:r>
          </w:p>
        </w:tc>
        <w:tc>
          <w:tcPr>
            <w:tcW w:w="1620" w:type="dxa"/>
            <w:vAlign w:val="bottom"/>
            <w:shd w:val="clear" w:color="auto" w:fill="DBDBDB"/>
          </w:tcPr>
          <w:p>
            <w:pPr>
              <w:jc w:val="right"/>
              <w:ind w:right="628"/>
              <w:spacing w:after="0"/>
              <w:rPr>
                <w:sz w:val="20"/>
                <w:szCs w:val="20"/>
                <w:color w:val="auto"/>
              </w:rPr>
            </w:pPr>
            <w:r>
              <w:rPr>
                <w:rFonts w:ascii="Arial" w:cs="Arial" w:eastAsia="Arial" w:hAnsi="Arial"/>
                <w:sz w:val="14"/>
                <w:szCs w:val="14"/>
                <w:color w:val="auto"/>
              </w:rPr>
              <w:t>(9)</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w:t>
            </w:r>
          </w:p>
        </w:tc>
      </w:tr>
      <w:tr>
        <w:trPr>
          <w:trHeight w:val="189"/>
        </w:trPr>
        <w:tc>
          <w:tcPr>
            <w:tcW w:w="8420" w:type="dxa"/>
            <w:vAlign w:val="bottom"/>
          </w:tcPr>
          <w:p>
            <w:pPr>
              <w:ind w:left="360"/>
              <w:spacing w:after="0"/>
              <w:rPr>
                <w:sz w:val="20"/>
                <w:szCs w:val="20"/>
                <w:color w:val="auto"/>
              </w:rPr>
            </w:pPr>
            <w:r>
              <w:rPr>
                <w:rFonts w:ascii="Arial" w:cs="Arial" w:eastAsia="Arial" w:hAnsi="Arial"/>
                <w:sz w:val="14"/>
                <w:szCs w:val="14"/>
                <w:color w:val="auto"/>
              </w:rPr>
              <w:t>Unbilled revenue and net unbilled revenue deferrals</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(3)</w:t>
            </w:r>
          </w:p>
        </w:tc>
        <w:tc>
          <w:tcPr>
            <w:tcW w:w="11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89"/>
        </w:trPr>
        <w:tc>
          <w:tcPr>
            <w:tcW w:w="8420" w:type="dxa"/>
            <w:vAlign w:val="bottom"/>
            <w:shd w:val="clear" w:color="auto" w:fill="DBDBDB"/>
          </w:tcPr>
          <w:p>
            <w:pPr>
              <w:ind w:left="360"/>
              <w:spacing w:after="0"/>
              <w:rPr>
                <w:sz w:val="20"/>
                <w:szCs w:val="20"/>
                <w:color w:val="auto"/>
              </w:rPr>
            </w:pPr>
            <w:r>
              <w:rPr>
                <w:rFonts w:ascii="Arial" w:cs="Arial" w:eastAsia="Arial" w:hAnsi="Arial"/>
                <w:sz w:val="14"/>
                <w:szCs w:val="14"/>
                <w:color w:val="auto"/>
              </w:rPr>
              <w:t>Other non-cash items, net</w:t>
            </w:r>
          </w:p>
        </w:tc>
        <w:tc>
          <w:tcPr>
            <w:tcW w:w="1620" w:type="dxa"/>
            <w:vAlign w:val="bottom"/>
            <w:shd w:val="clear" w:color="auto" w:fill="DBDBDB"/>
          </w:tcPr>
          <w:p>
            <w:pPr>
              <w:jc w:val="right"/>
              <w:ind w:right="628"/>
              <w:spacing w:after="0"/>
              <w:rPr>
                <w:sz w:val="20"/>
                <w:szCs w:val="20"/>
                <w:color w:val="auto"/>
              </w:rPr>
            </w:pPr>
            <w:r>
              <w:rPr>
                <w:rFonts w:ascii="Arial" w:cs="Arial" w:eastAsia="Arial" w:hAnsi="Arial"/>
                <w:sz w:val="14"/>
                <w:szCs w:val="14"/>
                <w:color w:val="auto"/>
              </w:rPr>
              <w:t>151</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46</w:t>
            </w:r>
          </w:p>
        </w:tc>
      </w:tr>
      <w:tr>
        <w:trPr>
          <w:trHeight w:val="189"/>
        </w:trPr>
        <w:tc>
          <w:tcPr>
            <w:tcW w:w="8420" w:type="dxa"/>
            <w:vAlign w:val="bottom"/>
          </w:tcPr>
          <w:p>
            <w:pPr>
              <w:ind w:left="140"/>
              <w:spacing w:after="0"/>
              <w:rPr>
                <w:sz w:val="20"/>
                <w:szCs w:val="20"/>
                <w:color w:val="auto"/>
              </w:rPr>
            </w:pPr>
            <w:r>
              <w:rPr>
                <w:rFonts w:ascii="Arial" w:cs="Arial" w:eastAsia="Arial" w:hAnsi="Arial"/>
                <w:sz w:val="14"/>
                <w:szCs w:val="14"/>
                <w:color w:val="auto"/>
              </w:rPr>
              <w:t>CHANGES IN ASSETS AND LIABILITIES</w:t>
            </w:r>
          </w:p>
        </w:tc>
        <w:tc>
          <w:tcPr>
            <w:tcW w:w="16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8420" w:type="dxa"/>
            <w:vAlign w:val="bottom"/>
            <w:shd w:val="clear" w:color="auto" w:fill="DBDBDB"/>
          </w:tcPr>
          <w:p>
            <w:pPr>
              <w:ind w:left="360"/>
              <w:spacing w:after="0"/>
              <w:rPr>
                <w:sz w:val="20"/>
                <w:szCs w:val="20"/>
                <w:color w:val="auto"/>
              </w:rPr>
            </w:pPr>
            <w:r>
              <w:rPr>
                <w:rFonts w:ascii="Arial" w:cs="Arial" w:eastAsia="Arial" w:hAnsi="Arial"/>
                <w:sz w:val="14"/>
                <w:szCs w:val="14"/>
                <w:color w:val="auto"/>
              </w:rPr>
              <w:t>Accounts receivable – customers</w:t>
            </w:r>
          </w:p>
        </w:tc>
        <w:tc>
          <w:tcPr>
            <w:tcW w:w="1620" w:type="dxa"/>
            <w:vAlign w:val="bottom"/>
            <w:shd w:val="clear" w:color="auto" w:fill="DBDBDB"/>
          </w:tcPr>
          <w:p>
            <w:pPr>
              <w:jc w:val="right"/>
              <w:ind w:right="628"/>
              <w:spacing w:after="0"/>
              <w:rPr>
                <w:sz w:val="20"/>
                <w:szCs w:val="20"/>
                <w:color w:val="auto"/>
              </w:rPr>
            </w:pPr>
            <w:r>
              <w:rPr>
                <w:rFonts w:ascii="Arial" w:cs="Arial" w:eastAsia="Arial" w:hAnsi="Arial"/>
                <w:sz w:val="14"/>
                <w:szCs w:val="14"/>
                <w:color w:val="auto"/>
              </w:rPr>
              <w:t>(139)</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(106)</w:t>
            </w:r>
          </w:p>
        </w:tc>
      </w:tr>
      <w:tr>
        <w:trPr>
          <w:trHeight w:val="189"/>
        </w:trPr>
        <w:tc>
          <w:tcPr>
            <w:tcW w:w="8420" w:type="dxa"/>
            <w:vAlign w:val="bottom"/>
          </w:tcPr>
          <w:p>
            <w:pPr>
              <w:ind w:left="360"/>
              <w:spacing w:after="0"/>
              <w:rPr>
                <w:sz w:val="20"/>
                <w:szCs w:val="20"/>
                <w:color w:val="auto"/>
              </w:rPr>
            </w:pPr>
            <w:r>
              <w:rPr>
                <w:rFonts w:ascii="Arial" w:cs="Arial" w:eastAsia="Arial" w:hAnsi="Arial"/>
                <w:sz w:val="14"/>
                <w:szCs w:val="14"/>
                <w:color w:val="auto"/>
              </w:rPr>
              <w:t>Materials and supplies, including fuel oil and gas in storage</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(8)</w:t>
            </w:r>
          </w:p>
        </w:tc>
        <w:tc>
          <w:tcPr>
            <w:tcW w:w="11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9"/>
        </w:trPr>
        <w:tc>
          <w:tcPr>
            <w:tcW w:w="8420" w:type="dxa"/>
            <w:vAlign w:val="bottom"/>
            <w:shd w:val="clear" w:color="auto" w:fill="DBDBDB"/>
          </w:tcPr>
          <w:p>
            <w:pPr>
              <w:ind w:left="360"/>
              <w:spacing w:after="0"/>
              <w:rPr>
                <w:sz w:val="20"/>
                <w:szCs w:val="20"/>
                <w:color w:val="auto"/>
              </w:rPr>
            </w:pPr>
            <w:r>
              <w:rPr>
                <w:rFonts w:ascii="Arial" w:cs="Arial" w:eastAsia="Arial" w:hAnsi="Arial"/>
                <w:sz w:val="14"/>
                <w:szCs w:val="14"/>
                <w:color w:val="auto"/>
              </w:rPr>
              <w:t>Revenue decoupling mechanism</w:t>
            </w:r>
          </w:p>
        </w:tc>
        <w:tc>
          <w:tcPr>
            <w:tcW w:w="1620" w:type="dxa"/>
            <w:vAlign w:val="bottom"/>
            <w:shd w:val="clear" w:color="auto" w:fill="DBDBDB"/>
          </w:tcPr>
          <w:p>
            <w:pPr>
              <w:jc w:val="right"/>
              <w:ind w:right="628"/>
              <w:spacing w:after="0"/>
              <w:rPr>
                <w:sz w:val="20"/>
                <w:szCs w:val="20"/>
                <w:color w:val="auto"/>
              </w:rPr>
            </w:pPr>
            <w:r>
              <w:rPr>
                <w:rFonts w:ascii="Arial" w:cs="Arial" w:eastAsia="Arial" w:hAnsi="Arial"/>
                <w:sz w:val="14"/>
                <w:szCs w:val="14"/>
                <w:color w:val="auto"/>
              </w:rPr>
              <w:t>(69)</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(71)</w:t>
            </w:r>
          </w:p>
        </w:tc>
      </w:tr>
      <w:tr>
        <w:trPr>
          <w:trHeight w:val="189"/>
        </w:trPr>
        <w:tc>
          <w:tcPr>
            <w:tcW w:w="8420" w:type="dxa"/>
            <w:vAlign w:val="bottom"/>
          </w:tcPr>
          <w:p>
            <w:pPr>
              <w:ind w:left="360"/>
              <w:spacing w:after="0"/>
              <w:rPr>
                <w:sz w:val="20"/>
                <w:szCs w:val="20"/>
                <w:color w:val="auto"/>
              </w:rPr>
            </w:pPr>
            <w:r>
              <w:rPr>
                <w:rFonts w:ascii="Arial" w:cs="Arial" w:eastAsia="Arial" w:hAnsi="Arial"/>
                <w:sz w:val="14"/>
                <w:szCs w:val="14"/>
                <w:color w:val="auto"/>
              </w:rPr>
              <w:t>Other receivables and other current assets</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63</w:t>
            </w:r>
          </w:p>
        </w:tc>
        <w:tc>
          <w:tcPr>
            <w:tcW w:w="11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9"/>
        </w:trPr>
        <w:tc>
          <w:tcPr>
            <w:tcW w:w="8420" w:type="dxa"/>
            <w:vAlign w:val="bottom"/>
            <w:shd w:val="clear" w:color="auto" w:fill="DBDBDB"/>
          </w:tcPr>
          <w:p>
            <w:pPr>
              <w:ind w:left="360"/>
              <w:spacing w:after="0"/>
              <w:rPr>
                <w:sz w:val="20"/>
                <w:szCs w:val="20"/>
                <w:color w:val="auto"/>
              </w:rPr>
            </w:pPr>
            <w:r>
              <w:rPr>
                <w:rFonts w:ascii="Arial" w:cs="Arial" w:eastAsia="Arial" w:hAnsi="Arial"/>
                <w:sz w:val="14"/>
                <w:szCs w:val="14"/>
                <w:color w:val="auto"/>
              </w:rPr>
              <w:t>Accounts receivable from affiliated companies</w:t>
            </w:r>
          </w:p>
        </w:tc>
        <w:tc>
          <w:tcPr>
            <w:tcW w:w="1620" w:type="dxa"/>
            <w:vAlign w:val="bottom"/>
            <w:shd w:val="clear" w:color="auto" w:fill="DBDBDB"/>
          </w:tcPr>
          <w:p>
            <w:pPr>
              <w:jc w:val="right"/>
              <w:ind w:right="628"/>
              <w:spacing w:after="0"/>
              <w:rPr>
                <w:sz w:val="20"/>
                <w:szCs w:val="20"/>
                <w:color w:val="auto"/>
              </w:rPr>
            </w:pPr>
            <w:r>
              <w:rPr>
                <w:rFonts w:ascii="Arial" w:cs="Arial" w:eastAsia="Arial" w:hAnsi="Arial"/>
                <w:sz w:val="14"/>
                <w:szCs w:val="14"/>
                <w:color w:val="auto"/>
              </w:rPr>
              <w:t>93</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w:t>
            </w:r>
          </w:p>
        </w:tc>
      </w:tr>
      <w:tr>
        <w:trPr>
          <w:trHeight w:val="189"/>
        </w:trPr>
        <w:tc>
          <w:tcPr>
            <w:tcW w:w="8420" w:type="dxa"/>
            <w:vAlign w:val="bottom"/>
          </w:tcPr>
          <w:p>
            <w:pPr>
              <w:ind w:left="360"/>
              <w:spacing w:after="0"/>
              <w:rPr>
                <w:sz w:val="20"/>
                <w:szCs w:val="20"/>
                <w:color w:val="auto"/>
              </w:rPr>
            </w:pPr>
            <w:r>
              <w:rPr>
                <w:rFonts w:ascii="Arial" w:cs="Arial" w:eastAsia="Arial" w:hAnsi="Arial"/>
                <w:sz w:val="14"/>
                <w:szCs w:val="14"/>
                <w:color w:val="auto"/>
              </w:rPr>
              <w:t>Prepayments</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(18)</w:t>
            </w:r>
          </w:p>
        </w:tc>
        <w:tc>
          <w:tcPr>
            <w:tcW w:w="11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89"/>
        </w:trPr>
        <w:tc>
          <w:tcPr>
            <w:tcW w:w="8420" w:type="dxa"/>
            <w:vAlign w:val="bottom"/>
            <w:shd w:val="clear" w:color="auto" w:fill="DBDBDB"/>
          </w:tcPr>
          <w:p>
            <w:pPr>
              <w:ind w:left="360"/>
              <w:spacing w:after="0"/>
              <w:rPr>
                <w:sz w:val="20"/>
                <w:szCs w:val="20"/>
                <w:color w:val="auto"/>
              </w:rPr>
            </w:pPr>
            <w:r>
              <w:rPr>
                <w:rFonts w:ascii="Arial" w:cs="Arial" w:eastAsia="Arial" w:hAnsi="Arial"/>
                <w:sz w:val="14"/>
                <w:szCs w:val="14"/>
                <w:color w:val="auto"/>
              </w:rPr>
              <w:t>Accounts payable</w:t>
            </w:r>
          </w:p>
        </w:tc>
        <w:tc>
          <w:tcPr>
            <w:tcW w:w="1620" w:type="dxa"/>
            <w:vAlign w:val="bottom"/>
            <w:shd w:val="clear" w:color="auto" w:fill="DBDBDB"/>
          </w:tcPr>
          <w:p>
            <w:pPr>
              <w:jc w:val="right"/>
              <w:ind w:right="628"/>
              <w:spacing w:after="0"/>
              <w:rPr>
                <w:sz w:val="20"/>
                <w:szCs w:val="20"/>
                <w:color w:val="auto"/>
              </w:rPr>
            </w:pPr>
            <w:r>
              <w:rPr>
                <w:rFonts w:ascii="Arial" w:cs="Arial" w:eastAsia="Arial" w:hAnsi="Arial"/>
                <w:sz w:val="14"/>
                <w:szCs w:val="14"/>
                <w:color w:val="auto"/>
              </w:rPr>
              <w:t>(147)</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(136)</w:t>
            </w:r>
          </w:p>
        </w:tc>
      </w:tr>
      <w:tr>
        <w:trPr>
          <w:trHeight w:val="189"/>
        </w:trPr>
        <w:tc>
          <w:tcPr>
            <w:tcW w:w="8420" w:type="dxa"/>
            <w:vAlign w:val="bottom"/>
          </w:tcPr>
          <w:p>
            <w:pPr>
              <w:ind w:left="360"/>
              <w:spacing w:after="0"/>
              <w:rPr>
                <w:sz w:val="20"/>
                <w:szCs w:val="20"/>
                <w:color w:val="auto"/>
              </w:rPr>
            </w:pPr>
            <w:r>
              <w:rPr>
                <w:rFonts w:ascii="Arial" w:cs="Arial" w:eastAsia="Arial" w:hAnsi="Arial"/>
                <w:sz w:val="14"/>
                <w:szCs w:val="14"/>
                <w:color w:val="auto"/>
              </w:rPr>
              <w:t>Accounts payable to affiliated companies</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(3)</w:t>
            </w: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8420" w:type="dxa"/>
            <w:vAlign w:val="bottom"/>
            <w:shd w:val="clear" w:color="auto" w:fill="DBDBDB"/>
          </w:tcPr>
          <w:p>
            <w:pPr>
              <w:ind w:left="360"/>
              <w:spacing w:after="0"/>
              <w:rPr>
                <w:sz w:val="20"/>
                <w:szCs w:val="20"/>
                <w:color w:val="auto"/>
              </w:rPr>
            </w:pPr>
            <w:r>
              <w:rPr>
                <w:rFonts w:ascii="Arial" w:cs="Arial" w:eastAsia="Arial" w:hAnsi="Arial"/>
                <w:sz w:val="14"/>
                <w:szCs w:val="14"/>
                <w:color w:val="auto"/>
              </w:rPr>
              <w:t>Pensions and retiree benefits obligations</w:t>
            </w:r>
          </w:p>
        </w:tc>
        <w:tc>
          <w:tcPr>
            <w:tcW w:w="1620" w:type="dxa"/>
            <w:vAlign w:val="bottom"/>
            <w:shd w:val="clear" w:color="auto" w:fill="DBDBDB"/>
          </w:tcPr>
          <w:p>
            <w:pPr>
              <w:jc w:val="right"/>
              <w:ind w:right="628"/>
              <w:spacing w:after="0"/>
              <w:rPr>
                <w:sz w:val="20"/>
                <w:szCs w:val="20"/>
                <w:color w:val="auto"/>
              </w:rPr>
            </w:pPr>
            <w:r>
              <w:rPr>
                <w:rFonts w:ascii="Arial" w:cs="Arial" w:eastAsia="Arial" w:hAnsi="Arial"/>
                <w:sz w:val="14"/>
                <w:szCs w:val="14"/>
                <w:color w:val="auto"/>
              </w:rPr>
              <w:t>162</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94</w:t>
            </w:r>
          </w:p>
        </w:tc>
      </w:tr>
      <w:tr>
        <w:trPr>
          <w:trHeight w:val="189"/>
        </w:trPr>
        <w:tc>
          <w:tcPr>
            <w:tcW w:w="8420" w:type="dxa"/>
            <w:vAlign w:val="bottom"/>
          </w:tcPr>
          <w:p>
            <w:pPr>
              <w:ind w:left="360"/>
              <w:spacing w:after="0"/>
              <w:rPr>
                <w:sz w:val="20"/>
                <w:szCs w:val="20"/>
                <w:color w:val="auto"/>
              </w:rPr>
            </w:pPr>
            <w:r>
              <w:rPr>
                <w:rFonts w:ascii="Arial" w:cs="Arial" w:eastAsia="Arial" w:hAnsi="Arial"/>
                <w:sz w:val="14"/>
                <w:szCs w:val="14"/>
                <w:color w:val="auto"/>
              </w:rPr>
              <w:t>Pensions and retiree benefits contributions</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(80)</w:t>
            </w:r>
          </w:p>
        </w:tc>
        <w:tc>
          <w:tcPr>
            <w:tcW w:w="118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89"/>
        </w:trPr>
        <w:tc>
          <w:tcPr>
            <w:tcW w:w="8420" w:type="dxa"/>
            <w:vAlign w:val="bottom"/>
            <w:shd w:val="clear" w:color="auto" w:fill="DBDBDB"/>
          </w:tcPr>
          <w:p>
            <w:pPr>
              <w:ind w:left="360"/>
              <w:spacing w:after="0"/>
              <w:rPr>
                <w:sz w:val="20"/>
                <w:szCs w:val="20"/>
                <w:color w:val="auto"/>
              </w:rPr>
            </w:pPr>
            <w:r>
              <w:rPr>
                <w:rFonts w:ascii="Arial" w:cs="Arial" w:eastAsia="Arial" w:hAnsi="Arial"/>
                <w:sz w:val="14"/>
                <w:szCs w:val="14"/>
                <w:color w:val="auto"/>
              </w:rPr>
              <w:t>Superfund and environmental remediation costs</w:t>
            </w:r>
          </w:p>
        </w:tc>
        <w:tc>
          <w:tcPr>
            <w:tcW w:w="1620" w:type="dxa"/>
            <w:vAlign w:val="bottom"/>
            <w:shd w:val="clear" w:color="auto" w:fill="DBDBDB"/>
          </w:tcPr>
          <w:p>
            <w:pPr>
              <w:jc w:val="right"/>
              <w:ind w:right="628"/>
              <w:spacing w:after="0"/>
              <w:rPr>
                <w:sz w:val="20"/>
                <w:szCs w:val="20"/>
                <w:color w:val="auto"/>
              </w:rPr>
            </w:pPr>
            <w:r>
              <w:rPr>
                <w:rFonts w:ascii="Arial" w:cs="Arial" w:eastAsia="Arial" w:hAnsi="Arial"/>
                <w:sz w:val="14"/>
                <w:szCs w:val="14"/>
                <w:color w:val="auto"/>
              </w:rPr>
              <w:t>(12)</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w:t>
            </w:r>
          </w:p>
        </w:tc>
      </w:tr>
      <w:tr>
        <w:trPr>
          <w:trHeight w:val="189"/>
        </w:trPr>
        <w:tc>
          <w:tcPr>
            <w:tcW w:w="8420" w:type="dxa"/>
            <w:vAlign w:val="bottom"/>
          </w:tcPr>
          <w:p>
            <w:pPr>
              <w:ind w:left="360"/>
              <w:spacing w:after="0"/>
              <w:rPr>
                <w:sz w:val="20"/>
                <w:szCs w:val="20"/>
                <w:color w:val="auto"/>
              </w:rPr>
            </w:pPr>
            <w:r>
              <w:rPr>
                <w:rFonts w:ascii="Arial" w:cs="Arial" w:eastAsia="Arial" w:hAnsi="Arial"/>
                <w:sz w:val="14"/>
                <w:szCs w:val="14"/>
                <w:color w:val="auto"/>
              </w:rPr>
              <w:t>Accrued taxes</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(31)</w:t>
            </w:r>
          </w:p>
        </w:tc>
        <w:tc>
          <w:tcPr>
            <w:tcW w:w="11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89"/>
        </w:trPr>
        <w:tc>
          <w:tcPr>
            <w:tcW w:w="8420" w:type="dxa"/>
            <w:vAlign w:val="bottom"/>
            <w:shd w:val="clear" w:color="auto" w:fill="DBDBDB"/>
          </w:tcPr>
          <w:p>
            <w:pPr>
              <w:ind w:left="360"/>
              <w:spacing w:after="0"/>
              <w:rPr>
                <w:sz w:val="20"/>
                <w:szCs w:val="20"/>
                <w:color w:val="auto"/>
              </w:rPr>
            </w:pPr>
            <w:r>
              <w:rPr>
                <w:rFonts w:ascii="Arial" w:cs="Arial" w:eastAsia="Arial" w:hAnsi="Arial"/>
                <w:sz w:val="14"/>
                <w:szCs w:val="14"/>
                <w:color w:val="auto"/>
              </w:rPr>
              <w:t>Accrued interest</w:t>
            </w:r>
          </w:p>
        </w:tc>
        <w:tc>
          <w:tcPr>
            <w:tcW w:w="1620" w:type="dxa"/>
            <w:vAlign w:val="bottom"/>
            <w:shd w:val="clear" w:color="auto" w:fill="DBDBDB"/>
          </w:tcPr>
          <w:p>
            <w:pPr>
              <w:jc w:val="right"/>
              <w:ind w:right="628"/>
              <w:spacing w:after="0"/>
              <w:rPr>
                <w:sz w:val="20"/>
                <w:szCs w:val="20"/>
                <w:color w:val="auto"/>
              </w:rPr>
            </w:pPr>
            <w:r>
              <w:rPr>
                <w:rFonts w:ascii="Arial" w:cs="Arial" w:eastAsia="Arial" w:hAnsi="Arial"/>
                <w:sz w:val="14"/>
                <w:szCs w:val="14"/>
                <w:color w:val="auto"/>
              </w:rPr>
              <w:t>1</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w:t>
            </w:r>
          </w:p>
        </w:tc>
      </w:tr>
      <w:tr>
        <w:trPr>
          <w:trHeight w:val="189"/>
        </w:trPr>
        <w:tc>
          <w:tcPr>
            <w:tcW w:w="8420" w:type="dxa"/>
            <w:vAlign w:val="bottom"/>
          </w:tcPr>
          <w:p>
            <w:pPr>
              <w:ind w:left="360"/>
              <w:spacing w:after="0"/>
              <w:rPr>
                <w:sz w:val="20"/>
                <w:szCs w:val="20"/>
                <w:color w:val="auto"/>
              </w:rPr>
            </w:pPr>
            <w:r>
              <w:rPr>
                <w:rFonts w:ascii="Arial" w:cs="Arial" w:eastAsia="Arial" w:hAnsi="Arial"/>
                <w:sz w:val="14"/>
                <w:szCs w:val="14"/>
                <w:color w:val="auto"/>
              </w:rPr>
              <w:t>System benefit charge</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(20)</w:t>
            </w:r>
          </w:p>
        </w:tc>
        <w:tc>
          <w:tcPr>
            <w:tcW w:w="118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89"/>
        </w:trPr>
        <w:tc>
          <w:tcPr>
            <w:tcW w:w="8420" w:type="dxa"/>
            <w:vAlign w:val="bottom"/>
            <w:shd w:val="clear" w:color="auto" w:fill="DBDBDB"/>
          </w:tcPr>
          <w:p>
            <w:pPr>
              <w:ind w:left="360"/>
              <w:spacing w:after="0"/>
              <w:rPr>
                <w:sz w:val="20"/>
                <w:szCs w:val="20"/>
                <w:color w:val="auto"/>
              </w:rPr>
            </w:pPr>
            <w:r>
              <w:rPr>
                <w:rFonts w:ascii="Arial" w:cs="Arial" w:eastAsia="Arial" w:hAnsi="Arial"/>
                <w:sz w:val="14"/>
                <w:szCs w:val="14"/>
                <w:color w:val="auto"/>
              </w:rPr>
              <w:t>Deferred charges, noncurrent assets and other regulatory assets</w:t>
            </w:r>
          </w:p>
        </w:tc>
        <w:tc>
          <w:tcPr>
            <w:tcW w:w="1620" w:type="dxa"/>
            <w:vAlign w:val="bottom"/>
            <w:shd w:val="clear" w:color="auto" w:fill="DBDBDB"/>
          </w:tcPr>
          <w:p>
            <w:pPr>
              <w:jc w:val="right"/>
              <w:ind w:right="628"/>
              <w:spacing w:after="0"/>
              <w:rPr>
                <w:sz w:val="20"/>
                <w:szCs w:val="20"/>
                <w:color w:val="auto"/>
              </w:rPr>
            </w:pPr>
            <w:r>
              <w:rPr>
                <w:rFonts w:ascii="Arial" w:cs="Arial" w:eastAsia="Arial" w:hAnsi="Arial"/>
                <w:sz w:val="14"/>
                <w:szCs w:val="14"/>
                <w:color w:val="auto"/>
              </w:rPr>
              <w:t>(299)</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(118)</w:t>
            </w:r>
          </w:p>
        </w:tc>
      </w:tr>
      <w:tr>
        <w:trPr>
          <w:trHeight w:val="189"/>
        </w:trPr>
        <w:tc>
          <w:tcPr>
            <w:tcW w:w="8420" w:type="dxa"/>
            <w:vAlign w:val="bottom"/>
          </w:tcPr>
          <w:p>
            <w:pPr>
              <w:ind w:left="360"/>
              <w:spacing w:after="0"/>
              <w:rPr>
                <w:sz w:val="20"/>
                <w:szCs w:val="20"/>
                <w:color w:val="auto"/>
              </w:rPr>
            </w:pPr>
            <w:r>
              <w:rPr>
                <w:rFonts w:ascii="Arial" w:cs="Arial" w:eastAsia="Arial" w:hAnsi="Arial"/>
                <w:sz w:val="14"/>
                <w:szCs w:val="14"/>
                <w:color w:val="auto"/>
              </w:rPr>
              <w:t>Deferred credits and other regulatory liabilities</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91</w:t>
            </w:r>
          </w:p>
        </w:tc>
        <w:tc>
          <w:tcPr>
            <w:tcW w:w="11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89"/>
        </w:trPr>
        <w:tc>
          <w:tcPr>
            <w:tcW w:w="8420" w:type="dxa"/>
            <w:vAlign w:val="bottom"/>
            <w:tcBorders>
              <w:bottom w:val="single" w:sz="8" w:color="8C8272"/>
            </w:tcBorders>
            <w:shd w:val="clear" w:color="auto" w:fill="DBDBDB"/>
          </w:tcPr>
          <w:p>
            <w:pPr>
              <w:ind w:left="360"/>
              <w:spacing w:after="0"/>
              <w:rPr>
                <w:sz w:val="20"/>
                <w:szCs w:val="20"/>
                <w:color w:val="auto"/>
              </w:rPr>
            </w:pPr>
            <w:r>
              <w:rPr>
                <w:rFonts w:ascii="Arial" w:cs="Arial" w:eastAsia="Arial" w:hAnsi="Arial"/>
                <w:sz w:val="14"/>
                <w:szCs w:val="14"/>
                <w:color w:val="auto"/>
              </w:rPr>
              <w:t>Other current and noncurrent liabilities</w:t>
            </w:r>
          </w:p>
        </w:tc>
        <w:tc>
          <w:tcPr>
            <w:tcW w:w="1620" w:type="dxa"/>
            <w:vAlign w:val="bottom"/>
            <w:tcBorders>
              <w:bottom w:val="single" w:sz="8" w:color="8C8272"/>
            </w:tcBorders>
            <w:shd w:val="clear" w:color="auto" w:fill="DBDBDB"/>
          </w:tcPr>
          <w:p>
            <w:pPr>
              <w:jc w:val="right"/>
              <w:ind w:right="628"/>
              <w:spacing w:after="0"/>
              <w:rPr>
                <w:sz w:val="20"/>
                <w:szCs w:val="20"/>
                <w:color w:val="auto"/>
              </w:rPr>
            </w:pPr>
            <w:r>
              <w:rPr>
                <w:rFonts w:ascii="Arial" w:cs="Arial" w:eastAsia="Arial" w:hAnsi="Arial"/>
                <w:sz w:val="14"/>
                <w:szCs w:val="14"/>
                <w:color w:val="auto"/>
              </w:rPr>
              <w:t>(54)</w:t>
            </w:r>
          </w:p>
        </w:tc>
        <w:tc>
          <w:tcPr>
            <w:tcW w:w="118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(45)</w:t>
            </w:r>
          </w:p>
        </w:tc>
      </w:tr>
      <w:tr>
        <w:trPr>
          <w:trHeight w:val="183"/>
        </w:trPr>
        <w:tc>
          <w:tcPr>
            <w:tcW w:w="84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NET CASH FLOWS FROM OPERATING ACTIVITIES</w:t>
            </w:r>
          </w:p>
        </w:tc>
        <w:tc>
          <w:tcPr>
            <w:tcW w:w="1620" w:type="dxa"/>
            <w:vAlign w:val="bottom"/>
            <w:tcBorders>
              <w:bottom w:val="single" w:sz="8" w:color="8C8272"/>
            </w:tcBorders>
          </w:tcPr>
          <w:p>
            <w:pPr>
              <w:jc w:val="right"/>
              <w:ind w:right="628"/>
              <w:spacing w:after="0"/>
              <w:rPr>
                <w:sz w:val="20"/>
                <w:szCs w:val="20"/>
                <w:color w:val="auto"/>
              </w:rPr>
            </w:pPr>
            <w:r>
              <w:rPr>
                <w:rFonts w:ascii="Arial" w:cs="Arial" w:eastAsia="Arial" w:hAnsi="Arial"/>
                <w:sz w:val="14"/>
                <w:szCs w:val="14"/>
                <w:color w:val="auto"/>
              </w:rPr>
              <w:t>1,096</w:t>
            </w:r>
          </w:p>
        </w:tc>
        <w:tc>
          <w:tcPr>
            <w:tcW w:w="11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975</w:t>
            </w:r>
          </w:p>
        </w:tc>
      </w:tr>
      <w:tr>
        <w:trPr>
          <w:trHeight w:val="183"/>
        </w:trPr>
        <w:tc>
          <w:tcPr>
            <w:tcW w:w="8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INVESTING ACTIVITIES</w:t>
            </w:r>
          </w:p>
        </w:tc>
        <w:tc>
          <w:tcPr>
            <w:tcW w:w="16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r>
      <w:tr>
        <w:trPr>
          <w:trHeight w:val="189"/>
        </w:trPr>
        <w:tc>
          <w:tcPr>
            <w:tcW w:w="8420" w:type="dxa"/>
            <w:vAlign w:val="bottom"/>
          </w:tcPr>
          <w:p>
            <w:pPr>
              <w:ind w:left="360"/>
              <w:spacing w:after="0"/>
              <w:rPr>
                <w:sz w:val="20"/>
                <w:szCs w:val="20"/>
                <w:color w:val="auto"/>
              </w:rPr>
            </w:pPr>
            <w:r>
              <w:rPr>
                <w:rFonts w:ascii="Arial" w:cs="Arial" w:eastAsia="Arial" w:hAnsi="Arial"/>
                <w:sz w:val="14"/>
                <w:szCs w:val="14"/>
                <w:color w:val="auto"/>
              </w:rPr>
              <w:t>Utility construction expenditures</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(1,679)</w:t>
            </w:r>
          </w:p>
        </w:tc>
        <w:tc>
          <w:tcPr>
            <w:tcW w:w="1180" w:type="dxa"/>
            <w:vAlign w:val="bottom"/>
          </w:tcPr>
          <w:p>
            <w:pPr>
              <w:jc w:val="right"/>
              <w:spacing w:after="0"/>
              <w:rPr>
                <w:sz w:val="20"/>
                <w:szCs w:val="20"/>
                <w:color w:val="auto"/>
              </w:rPr>
            </w:pPr>
            <w:r>
              <w:rPr>
                <w:rFonts w:ascii="Arial" w:cs="Arial" w:eastAsia="Arial" w:hAnsi="Arial"/>
                <w:sz w:val="14"/>
                <w:szCs w:val="14"/>
                <w:color w:val="auto"/>
              </w:rPr>
              <w:t>(1,435)</w:t>
            </w:r>
          </w:p>
        </w:tc>
      </w:tr>
      <w:tr>
        <w:trPr>
          <w:trHeight w:val="189"/>
        </w:trPr>
        <w:tc>
          <w:tcPr>
            <w:tcW w:w="8420" w:type="dxa"/>
            <w:vAlign w:val="bottom"/>
            <w:tcBorders>
              <w:bottom w:val="single" w:sz="8" w:color="8C8272"/>
            </w:tcBorders>
            <w:shd w:val="clear" w:color="auto" w:fill="DBDBDB"/>
          </w:tcPr>
          <w:p>
            <w:pPr>
              <w:ind w:left="360"/>
              <w:spacing w:after="0"/>
              <w:rPr>
                <w:sz w:val="20"/>
                <w:szCs w:val="20"/>
                <w:color w:val="auto"/>
              </w:rPr>
            </w:pPr>
            <w:r>
              <w:rPr>
                <w:rFonts w:ascii="Arial" w:cs="Arial" w:eastAsia="Arial" w:hAnsi="Arial"/>
                <w:sz w:val="14"/>
                <w:szCs w:val="14"/>
                <w:color w:val="auto"/>
              </w:rPr>
              <w:t>Cost of removal less salvage</w:t>
            </w:r>
          </w:p>
        </w:tc>
        <w:tc>
          <w:tcPr>
            <w:tcW w:w="1620" w:type="dxa"/>
            <w:vAlign w:val="bottom"/>
            <w:tcBorders>
              <w:bottom w:val="single" w:sz="8" w:color="8C8272"/>
            </w:tcBorders>
            <w:shd w:val="clear" w:color="auto" w:fill="DBDBDB"/>
          </w:tcPr>
          <w:p>
            <w:pPr>
              <w:jc w:val="right"/>
              <w:ind w:right="628"/>
              <w:spacing w:after="0"/>
              <w:rPr>
                <w:sz w:val="20"/>
                <w:szCs w:val="20"/>
                <w:color w:val="auto"/>
              </w:rPr>
            </w:pPr>
            <w:r>
              <w:rPr>
                <w:rFonts w:ascii="Arial" w:cs="Arial" w:eastAsia="Arial" w:hAnsi="Arial"/>
                <w:sz w:val="14"/>
                <w:szCs w:val="14"/>
                <w:color w:val="auto"/>
              </w:rPr>
              <w:t>(162)</w:t>
            </w:r>
          </w:p>
        </w:tc>
        <w:tc>
          <w:tcPr>
            <w:tcW w:w="118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(139)</w:t>
            </w:r>
          </w:p>
        </w:tc>
      </w:tr>
      <w:tr>
        <w:trPr>
          <w:trHeight w:val="183"/>
        </w:trPr>
        <w:tc>
          <w:tcPr>
            <w:tcW w:w="84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NET CASH FLOWS USED IN INVESTING ACTIVITIES</w:t>
            </w:r>
          </w:p>
        </w:tc>
        <w:tc>
          <w:tcPr>
            <w:tcW w:w="1620" w:type="dxa"/>
            <w:vAlign w:val="bottom"/>
            <w:tcBorders>
              <w:bottom w:val="single" w:sz="8" w:color="8C8272"/>
            </w:tcBorders>
          </w:tcPr>
          <w:p>
            <w:pPr>
              <w:jc w:val="right"/>
              <w:ind w:right="628"/>
              <w:spacing w:after="0"/>
              <w:rPr>
                <w:sz w:val="20"/>
                <w:szCs w:val="20"/>
                <w:color w:val="auto"/>
              </w:rPr>
            </w:pPr>
            <w:r>
              <w:rPr>
                <w:rFonts w:ascii="Arial" w:cs="Arial" w:eastAsia="Arial" w:hAnsi="Arial"/>
                <w:sz w:val="14"/>
                <w:szCs w:val="14"/>
                <w:color w:val="auto"/>
              </w:rPr>
              <w:t>(1,841)</w:t>
            </w:r>
          </w:p>
        </w:tc>
        <w:tc>
          <w:tcPr>
            <w:tcW w:w="11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(1,574)</w:t>
            </w:r>
          </w:p>
        </w:tc>
      </w:tr>
      <w:tr>
        <w:trPr>
          <w:trHeight w:val="183"/>
        </w:trPr>
        <w:tc>
          <w:tcPr>
            <w:tcW w:w="8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FINANCING ACTIVITIES</w:t>
            </w:r>
          </w:p>
        </w:tc>
        <w:tc>
          <w:tcPr>
            <w:tcW w:w="16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r>
      <w:tr>
        <w:trPr>
          <w:trHeight w:val="189"/>
        </w:trPr>
        <w:tc>
          <w:tcPr>
            <w:tcW w:w="8420" w:type="dxa"/>
            <w:vAlign w:val="bottom"/>
          </w:tcPr>
          <w:p>
            <w:pPr>
              <w:ind w:left="360"/>
              <w:spacing w:after="0"/>
              <w:rPr>
                <w:sz w:val="20"/>
                <w:szCs w:val="20"/>
                <w:color w:val="auto"/>
              </w:rPr>
            </w:pPr>
            <w:r>
              <w:rPr>
                <w:rFonts w:ascii="Arial" w:cs="Arial" w:eastAsia="Arial" w:hAnsi="Arial"/>
                <w:sz w:val="14"/>
                <w:szCs w:val="14"/>
                <w:color w:val="auto"/>
              </w:rPr>
              <w:t>Net payment of short-term debt</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(660)</w:t>
            </w:r>
          </w:p>
        </w:tc>
        <w:tc>
          <w:tcPr>
            <w:tcW w:w="11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89"/>
        </w:trPr>
        <w:tc>
          <w:tcPr>
            <w:tcW w:w="8420" w:type="dxa"/>
            <w:vAlign w:val="bottom"/>
            <w:shd w:val="clear" w:color="auto" w:fill="DBDBDB"/>
          </w:tcPr>
          <w:p>
            <w:pPr>
              <w:ind w:left="360"/>
              <w:spacing w:after="0"/>
              <w:rPr>
                <w:sz w:val="20"/>
                <w:szCs w:val="20"/>
                <w:color w:val="auto"/>
              </w:rPr>
            </w:pPr>
            <w:r>
              <w:rPr>
                <w:rFonts w:ascii="Arial" w:cs="Arial" w:eastAsia="Arial" w:hAnsi="Arial"/>
                <w:sz w:val="14"/>
                <w:szCs w:val="14"/>
                <w:color w:val="auto"/>
              </w:rPr>
              <w:t>Issuance of long-term debt</w:t>
            </w:r>
          </w:p>
        </w:tc>
        <w:tc>
          <w:tcPr>
            <w:tcW w:w="1620" w:type="dxa"/>
            <w:vAlign w:val="bottom"/>
            <w:shd w:val="clear" w:color="auto" w:fill="DBDBDB"/>
          </w:tcPr>
          <w:p>
            <w:pPr>
              <w:jc w:val="right"/>
              <w:ind w:right="628"/>
              <w:spacing w:after="0"/>
              <w:rPr>
                <w:sz w:val="20"/>
                <w:szCs w:val="20"/>
                <w:color w:val="auto"/>
              </w:rPr>
            </w:pPr>
            <w:r>
              <w:rPr>
                <w:rFonts w:ascii="Arial" w:cs="Arial" w:eastAsia="Arial" w:hAnsi="Arial"/>
                <w:sz w:val="14"/>
                <w:szCs w:val="14"/>
                <w:color w:val="auto"/>
              </w:rPr>
              <w:t>1,500</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1,600</w:t>
            </w:r>
          </w:p>
        </w:tc>
      </w:tr>
      <w:tr>
        <w:trPr>
          <w:trHeight w:val="189"/>
        </w:trPr>
        <w:tc>
          <w:tcPr>
            <w:tcW w:w="8420" w:type="dxa"/>
            <w:vAlign w:val="bottom"/>
          </w:tcPr>
          <w:p>
            <w:pPr>
              <w:ind w:left="360"/>
              <w:spacing w:after="0"/>
              <w:rPr>
                <w:sz w:val="20"/>
                <w:szCs w:val="20"/>
                <w:color w:val="auto"/>
              </w:rPr>
            </w:pPr>
            <w:r>
              <w:rPr>
                <w:rFonts w:ascii="Arial" w:cs="Arial" w:eastAsia="Arial" w:hAnsi="Arial"/>
                <w:sz w:val="14"/>
                <w:szCs w:val="14"/>
                <w:color w:val="auto"/>
              </w:rPr>
              <w:t>Retirement of long-term debt</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(640)</w:t>
            </w:r>
          </w:p>
        </w:tc>
        <w:tc>
          <w:tcPr>
            <w:tcW w:w="1180" w:type="dxa"/>
            <w:vAlign w:val="bottom"/>
          </w:tcPr>
          <w:p>
            <w:pPr>
              <w:jc w:val="right"/>
              <w:spacing w:after="0"/>
              <w:rPr>
                <w:sz w:val="20"/>
                <w:szCs w:val="20"/>
                <w:color w:val="auto"/>
              </w:rPr>
            </w:pPr>
            <w:r>
              <w:rPr>
                <w:rFonts w:ascii="Arial" w:cs="Arial" w:eastAsia="Arial" w:hAnsi="Arial"/>
                <w:sz w:val="14"/>
                <w:szCs w:val="14"/>
                <w:color w:val="auto"/>
              </w:rPr>
              <w:t>(350)</w:t>
            </w:r>
          </w:p>
        </w:tc>
      </w:tr>
      <w:tr>
        <w:trPr>
          <w:trHeight w:val="189"/>
        </w:trPr>
        <w:tc>
          <w:tcPr>
            <w:tcW w:w="8420" w:type="dxa"/>
            <w:vAlign w:val="bottom"/>
            <w:shd w:val="clear" w:color="auto" w:fill="DBDBDB"/>
          </w:tcPr>
          <w:p>
            <w:pPr>
              <w:ind w:left="360"/>
              <w:spacing w:after="0"/>
              <w:rPr>
                <w:sz w:val="20"/>
                <w:szCs w:val="20"/>
                <w:color w:val="auto"/>
              </w:rPr>
            </w:pPr>
            <w:r>
              <w:rPr>
                <w:rFonts w:ascii="Arial" w:cs="Arial" w:eastAsia="Arial" w:hAnsi="Arial"/>
                <w:sz w:val="14"/>
                <w:szCs w:val="14"/>
                <w:color w:val="auto"/>
              </w:rPr>
              <w:t>Debt issuance costs</w:t>
            </w:r>
          </w:p>
        </w:tc>
        <w:tc>
          <w:tcPr>
            <w:tcW w:w="1620" w:type="dxa"/>
            <w:vAlign w:val="bottom"/>
            <w:shd w:val="clear" w:color="auto" w:fill="DBDBDB"/>
          </w:tcPr>
          <w:p>
            <w:pPr>
              <w:jc w:val="right"/>
              <w:ind w:right="628"/>
              <w:spacing w:after="0"/>
              <w:rPr>
                <w:sz w:val="20"/>
                <w:szCs w:val="20"/>
                <w:color w:val="auto"/>
              </w:rPr>
            </w:pPr>
            <w:r>
              <w:rPr>
                <w:rFonts w:ascii="Arial" w:cs="Arial" w:eastAsia="Arial" w:hAnsi="Arial"/>
                <w:sz w:val="14"/>
                <w:szCs w:val="14"/>
                <w:color w:val="auto"/>
              </w:rPr>
              <w:t>(19)</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w:t>
            </w:r>
          </w:p>
        </w:tc>
      </w:tr>
      <w:tr>
        <w:trPr>
          <w:trHeight w:val="189"/>
        </w:trPr>
        <w:tc>
          <w:tcPr>
            <w:tcW w:w="8420" w:type="dxa"/>
            <w:vAlign w:val="bottom"/>
          </w:tcPr>
          <w:p>
            <w:pPr>
              <w:ind w:left="360"/>
              <w:spacing w:after="0"/>
              <w:rPr>
                <w:sz w:val="20"/>
                <w:szCs w:val="20"/>
                <w:color w:val="auto"/>
              </w:rPr>
            </w:pPr>
            <w:r>
              <w:rPr>
                <w:rFonts w:ascii="Arial" w:cs="Arial" w:eastAsia="Arial" w:hAnsi="Arial"/>
                <w:sz w:val="14"/>
                <w:szCs w:val="14"/>
                <w:color w:val="auto"/>
              </w:rPr>
              <w:t>Capital contribution by parent</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976</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89"/>
        </w:trPr>
        <w:tc>
          <w:tcPr>
            <w:tcW w:w="8420" w:type="dxa"/>
            <w:vAlign w:val="bottom"/>
            <w:tcBorders>
              <w:bottom w:val="single" w:sz="8" w:color="8C8272"/>
            </w:tcBorders>
            <w:shd w:val="clear" w:color="auto" w:fill="DBDBDB"/>
          </w:tcPr>
          <w:p>
            <w:pPr>
              <w:ind w:left="360"/>
              <w:spacing w:after="0"/>
              <w:rPr>
                <w:sz w:val="20"/>
                <w:szCs w:val="20"/>
                <w:color w:val="auto"/>
              </w:rPr>
            </w:pPr>
            <w:r>
              <w:rPr>
                <w:rFonts w:ascii="Arial" w:cs="Arial" w:eastAsia="Arial" w:hAnsi="Arial"/>
                <w:sz w:val="14"/>
                <w:szCs w:val="14"/>
                <w:color w:val="auto"/>
              </w:rPr>
              <w:t>Dividend to parent</w:t>
            </w:r>
          </w:p>
        </w:tc>
        <w:tc>
          <w:tcPr>
            <w:tcW w:w="1620" w:type="dxa"/>
            <w:vAlign w:val="bottom"/>
            <w:tcBorders>
              <w:bottom w:val="single" w:sz="8" w:color="8C8272"/>
            </w:tcBorders>
            <w:shd w:val="clear" w:color="auto" w:fill="DBDBDB"/>
          </w:tcPr>
          <w:p>
            <w:pPr>
              <w:jc w:val="right"/>
              <w:ind w:right="628"/>
              <w:spacing w:after="0"/>
              <w:rPr>
                <w:sz w:val="20"/>
                <w:szCs w:val="20"/>
                <w:color w:val="auto"/>
              </w:rPr>
            </w:pPr>
            <w:r>
              <w:rPr>
                <w:rFonts w:ascii="Arial" w:cs="Arial" w:eastAsia="Arial" w:hAnsi="Arial"/>
                <w:sz w:val="14"/>
                <w:szCs w:val="14"/>
                <w:color w:val="auto"/>
              </w:rPr>
              <w:t>(494)</w:t>
            </w:r>
          </w:p>
        </w:tc>
        <w:tc>
          <w:tcPr>
            <w:tcW w:w="118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(491)</w:t>
            </w:r>
          </w:p>
        </w:tc>
      </w:tr>
      <w:tr>
        <w:trPr>
          <w:trHeight w:val="183"/>
        </w:trPr>
        <w:tc>
          <w:tcPr>
            <w:tcW w:w="84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NET CASH FLOWS FROM FINANCING ACTIVITIES</w:t>
            </w:r>
          </w:p>
        </w:tc>
        <w:tc>
          <w:tcPr>
            <w:tcW w:w="1620" w:type="dxa"/>
            <w:vAlign w:val="bottom"/>
            <w:tcBorders>
              <w:bottom w:val="single" w:sz="8" w:color="8C8272"/>
            </w:tcBorders>
          </w:tcPr>
          <w:p>
            <w:pPr>
              <w:jc w:val="right"/>
              <w:ind w:right="628"/>
              <w:spacing w:after="0"/>
              <w:rPr>
                <w:sz w:val="20"/>
                <w:szCs w:val="20"/>
                <w:color w:val="auto"/>
              </w:rPr>
            </w:pPr>
            <w:r>
              <w:rPr>
                <w:rFonts w:ascii="Arial" w:cs="Arial" w:eastAsia="Arial" w:hAnsi="Arial"/>
                <w:sz w:val="14"/>
                <w:szCs w:val="14"/>
                <w:color w:val="auto"/>
              </w:rPr>
              <w:t>663</w:t>
            </w:r>
          </w:p>
        </w:tc>
        <w:tc>
          <w:tcPr>
            <w:tcW w:w="11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762</w:t>
            </w:r>
          </w:p>
        </w:tc>
      </w:tr>
      <w:tr>
        <w:trPr>
          <w:trHeight w:val="183"/>
        </w:trPr>
        <w:tc>
          <w:tcPr>
            <w:tcW w:w="8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CASH AND TEMPORARY CASH INVESTMENTS</w:t>
            </w:r>
          </w:p>
        </w:tc>
        <w:tc>
          <w:tcPr>
            <w:tcW w:w="16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r>
      <w:tr>
        <w:trPr>
          <w:trHeight w:val="189"/>
        </w:trPr>
        <w:tc>
          <w:tcPr>
            <w:tcW w:w="8420" w:type="dxa"/>
            <w:vAlign w:val="bottom"/>
          </w:tcPr>
          <w:p>
            <w:pPr>
              <w:ind w:left="20"/>
              <w:spacing w:after="0"/>
              <w:rPr>
                <w:sz w:val="20"/>
                <w:szCs w:val="20"/>
                <w:color w:val="auto"/>
              </w:rPr>
            </w:pPr>
            <w:r>
              <w:rPr>
                <w:rFonts w:ascii="Arial" w:cs="Arial" w:eastAsia="Arial" w:hAnsi="Arial"/>
                <w:sz w:val="14"/>
                <w:szCs w:val="14"/>
                <w:color w:val="auto"/>
              </w:rPr>
              <w:t>NET CHANGE FOR THE PERIOD</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(82)</w:t>
            </w:r>
          </w:p>
        </w:tc>
        <w:tc>
          <w:tcPr>
            <w:tcW w:w="1180" w:type="dxa"/>
            <w:vAlign w:val="bottom"/>
          </w:tcPr>
          <w:p>
            <w:pPr>
              <w:jc w:val="right"/>
              <w:spacing w:after="0"/>
              <w:rPr>
                <w:sz w:val="20"/>
                <w:szCs w:val="20"/>
                <w:color w:val="auto"/>
              </w:rPr>
            </w:pPr>
            <w:r>
              <w:rPr>
                <w:rFonts w:ascii="Arial" w:cs="Arial" w:eastAsia="Arial" w:hAnsi="Arial"/>
                <w:sz w:val="14"/>
                <w:szCs w:val="14"/>
                <w:color w:val="auto"/>
              </w:rPr>
              <w:t>163</w:t>
            </w:r>
          </w:p>
        </w:tc>
      </w:tr>
      <w:tr>
        <w:trPr>
          <w:trHeight w:val="189"/>
        </w:trPr>
        <w:tc>
          <w:tcPr>
            <w:tcW w:w="8420" w:type="dxa"/>
            <w:vAlign w:val="bottom"/>
            <w:tcBorders>
              <w:bottom w:val="single" w:sz="8" w:color="8C8272"/>
            </w:tcBorders>
            <w:shd w:val="clear" w:color="auto" w:fill="DBDBDB"/>
          </w:tcPr>
          <w:p>
            <w:pPr>
              <w:ind w:left="20"/>
              <w:spacing w:after="0"/>
              <w:rPr>
                <w:sz w:val="20"/>
                <w:szCs w:val="20"/>
                <w:color w:val="auto"/>
              </w:rPr>
            </w:pPr>
            <w:r>
              <w:rPr>
                <w:rFonts w:ascii="Arial" w:cs="Arial" w:eastAsia="Arial" w:hAnsi="Arial"/>
                <w:sz w:val="14"/>
                <w:szCs w:val="14"/>
                <w:color w:val="auto"/>
              </w:rPr>
              <w:t>BALANCE AT BEGINNING OF PERIOD</w:t>
            </w:r>
          </w:p>
        </w:tc>
        <w:tc>
          <w:tcPr>
            <w:tcW w:w="1620" w:type="dxa"/>
            <w:vAlign w:val="bottom"/>
            <w:tcBorders>
              <w:bottom w:val="single" w:sz="8" w:color="8C8272"/>
            </w:tcBorders>
            <w:shd w:val="clear" w:color="auto" w:fill="DBDBDB"/>
          </w:tcPr>
          <w:p>
            <w:pPr>
              <w:jc w:val="right"/>
              <w:ind w:right="628"/>
              <w:spacing w:after="0"/>
              <w:rPr>
                <w:sz w:val="20"/>
                <w:szCs w:val="20"/>
                <w:color w:val="auto"/>
              </w:rPr>
            </w:pPr>
            <w:r>
              <w:rPr>
                <w:rFonts w:ascii="Arial" w:cs="Arial" w:eastAsia="Arial" w:hAnsi="Arial"/>
                <w:sz w:val="14"/>
                <w:szCs w:val="14"/>
                <w:color w:val="auto"/>
              </w:rPr>
              <w:t>1,067</w:t>
            </w:r>
          </w:p>
        </w:tc>
        <w:tc>
          <w:tcPr>
            <w:tcW w:w="1180" w:type="dxa"/>
            <w:vAlign w:val="bottom"/>
            <w:tcBorders>
              <w:bottom w:val="single" w:sz="8" w:color="8C8272"/>
            </w:tcBorders>
            <w:shd w:val="clear" w:color="auto" w:fill="DBDBDB"/>
          </w:tcPr>
          <w:p>
            <w:pPr>
              <w:jc w:val="right"/>
              <w:spacing w:after="0"/>
              <w:rPr>
                <w:sz w:val="20"/>
                <w:szCs w:val="20"/>
                <w:color w:val="auto"/>
              </w:rPr>
            </w:pPr>
            <w:r>
              <w:rPr>
                <w:rFonts w:ascii="Arial" w:cs="Arial" w:eastAsia="Arial" w:hAnsi="Arial"/>
                <w:sz w:val="14"/>
                <w:szCs w:val="14"/>
                <w:color w:val="auto"/>
              </w:rPr>
              <w:t>933</w:t>
            </w:r>
          </w:p>
        </w:tc>
      </w:tr>
      <w:tr>
        <w:trPr>
          <w:trHeight w:val="183"/>
        </w:trPr>
        <w:tc>
          <w:tcPr>
            <w:tcW w:w="84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BALANCE AT END OF PERIOD</w:t>
            </w:r>
          </w:p>
        </w:tc>
        <w:tc>
          <w:tcPr>
            <w:tcW w:w="1620" w:type="dxa"/>
            <w:vAlign w:val="bottom"/>
            <w:tcBorders>
              <w:bottom w:val="single" w:sz="8" w:color="8C8272"/>
            </w:tcBorders>
          </w:tcPr>
          <w:p>
            <w:pPr>
              <w:jc w:val="right"/>
              <w:ind w:right="628"/>
              <w:spacing w:after="0"/>
              <w:rPr>
                <w:sz w:val="20"/>
                <w:szCs w:val="20"/>
                <w:color w:val="auto"/>
              </w:rPr>
            </w:pPr>
            <w:r>
              <w:rPr>
                <w:rFonts w:ascii="Arial" w:cs="Arial" w:eastAsia="Arial" w:hAnsi="Arial"/>
                <w:sz w:val="14"/>
                <w:szCs w:val="14"/>
                <w:color w:val="auto"/>
              </w:rPr>
              <w:t>$985</w:t>
            </w:r>
          </w:p>
        </w:tc>
        <w:tc>
          <w:tcPr>
            <w:tcW w:w="11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$1,096</w:t>
            </w:r>
          </w:p>
        </w:tc>
      </w:tr>
      <w:tr>
        <w:trPr>
          <w:trHeight w:val="183"/>
        </w:trPr>
        <w:tc>
          <w:tcPr>
            <w:tcW w:w="8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SUPPLEMENTAL DISCLOSURE OF CASH INFORMATION</w:t>
            </w:r>
          </w:p>
        </w:tc>
        <w:tc>
          <w:tcPr>
            <w:tcW w:w="16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r>
      <w:tr>
        <w:trPr>
          <w:trHeight w:val="189"/>
        </w:trPr>
        <w:tc>
          <w:tcPr>
            <w:tcW w:w="8420" w:type="dxa"/>
            <w:vAlign w:val="bottom"/>
          </w:tcPr>
          <w:p>
            <w:pPr>
              <w:ind w:left="360"/>
              <w:spacing w:after="0"/>
              <w:rPr>
                <w:sz w:val="20"/>
                <w:szCs w:val="20"/>
                <w:color w:val="auto"/>
              </w:rPr>
            </w:pPr>
            <w:r>
              <w:rPr>
                <w:rFonts w:ascii="Arial" w:cs="Arial" w:eastAsia="Arial" w:hAnsi="Arial"/>
                <w:sz w:val="14"/>
                <w:szCs w:val="14"/>
                <w:color w:val="auto"/>
              </w:rPr>
              <w:t>Cash paid/(received) during the period for:</w:t>
            </w:r>
          </w:p>
        </w:tc>
        <w:tc>
          <w:tcPr>
            <w:tcW w:w="16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8420" w:type="dxa"/>
            <w:vAlign w:val="bottom"/>
            <w:shd w:val="clear" w:color="auto" w:fill="DBDBDB"/>
          </w:tcPr>
          <w:p>
            <w:pPr>
              <w:ind w:left="560"/>
              <w:spacing w:after="0"/>
              <w:rPr>
                <w:sz w:val="20"/>
                <w:szCs w:val="20"/>
                <w:color w:val="auto"/>
              </w:rPr>
            </w:pPr>
            <w:r>
              <w:rPr>
                <w:rFonts w:ascii="Arial" w:cs="Arial" w:eastAsia="Arial" w:hAnsi="Arial"/>
                <w:sz w:val="14"/>
                <w:szCs w:val="14"/>
                <w:color w:val="auto"/>
              </w:rPr>
              <w:t>Interest</w:t>
            </w:r>
          </w:p>
        </w:tc>
        <w:tc>
          <w:tcPr>
            <w:tcW w:w="1620" w:type="dxa"/>
            <w:vAlign w:val="bottom"/>
            <w:shd w:val="clear" w:color="auto" w:fill="DBDBDB"/>
          </w:tcPr>
          <w:p>
            <w:pPr>
              <w:jc w:val="right"/>
              <w:ind w:right="628"/>
              <w:spacing w:after="0"/>
              <w:rPr>
                <w:sz w:val="20"/>
                <w:szCs w:val="20"/>
                <w:color w:val="auto"/>
              </w:rPr>
            </w:pPr>
            <w:r>
              <w:rPr>
                <w:rFonts w:ascii="Arial" w:cs="Arial" w:eastAsia="Arial" w:hAnsi="Arial"/>
                <w:sz w:val="14"/>
                <w:szCs w:val="14"/>
                <w:color w:val="auto"/>
              </w:rPr>
              <w:t>$359</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$341</w:t>
            </w:r>
          </w:p>
        </w:tc>
      </w:tr>
      <w:tr>
        <w:trPr>
          <w:trHeight w:val="189"/>
        </w:trPr>
        <w:tc>
          <w:tcPr>
            <w:tcW w:w="8420" w:type="dxa"/>
            <w:vAlign w:val="bottom"/>
          </w:tcPr>
          <w:p>
            <w:pPr>
              <w:ind w:left="560"/>
              <w:spacing w:after="0"/>
              <w:rPr>
                <w:sz w:val="20"/>
                <w:szCs w:val="20"/>
                <w:color w:val="auto"/>
              </w:rPr>
            </w:pPr>
            <w:r>
              <w:rPr>
                <w:rFonts w:ascii="Arial" w:cs="Arial" w:eastAsia="Arial" w:hAnsi="Arial"/>
                <w:sz w:val="14"/>
                <w:szCs w:val="14"/>
                <w:color w:val="auto"/>
              </w:rPr>
              <w:t>Income taxes</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$(3)</w:t>
            </w:r>
          </w:p>
        </w:tc>
        <w:tc>
          <w:tcPr>
            <w:tcW w:w="118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89"/>
        </w:trPr>
        <w:tc>
          <w:tcPr>
            <w:tcW w:w="8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SUPPLEMENTAL DISCLOSURE OF NON-CASH INFORMATION</w:t>
            </w:r>
          </w:p>
        </w:tc>
        <w:tc>
          <w:tcPr>
            <w:tcW w:w="16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r>
      <w:tr>
        <w:trPr>
          <w:trHeight w:val="189"/>
        </w:trPr>
        <w:tc>
          <w:tcPr>
            <w:tcW w:w="8420" w:type="dxa"/>
            <w:vAlign w:val="bottom"/>
          </w:tcPr>
          <w:p>
            <w:pPr>
              <w:ind w:left="560"/>
              <w:spacing w:after="0"/>
              <w:rPr>
                <w:sz w:val="20"/>
                <w:szCs w:val="20"/>
                <w:color w:val="auto"/>
              </w:rPr>
            </w:pPr>
            <w:r>
              <w:rPr>
                <w:rFonts w:ascii="Arial" w:cs="Arial" w:eastAsia="Arial" w:hAnsi="Arial"/>
                <w:sz w:val="14"/>
                <w:szCs w:val="14"/>
                <w:color w:val="auto"/>
              </w:rPr>
              <w:t>Construction expenditures in accounts payable</w:t>
            </w: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$314</w:t>
            </w:r>
          </w:p>
        </w:tc>
        <w:tc>
          <w:tcPr>
            <w:tcW w:w="1180" w:type="dxa"/>
            <w:vAlign w:val="bottom"/>
          </w:tcPr>
          <w:p>
            <w:pPr>
              <w:jc w:val="right"/>
              <w:spacing w:after="0"/>
              <w:rPr>
                <w:sz w:val="20"/>
                <w:szCs w:val="20"/>
                <w:color w:val="auto"/>
              </w:rPr>
            </w:pPr>
            <w:r>
              <w:rPr>
                <w:rFonts w:ascii="Arial" w:cs="Arial" w:eastAsia="Arial" w:hAnsi="Arial"/>
                <w:sz w:val="14"/>
                <w:szCs w:val="14"/>
                <w:color w:val="auto"/>
              </w:rPr>
              <w:t>$271</w:t>
            </w:r>
          </w:p>
        </w:tc>
      </w:tr>
      <w:tr>
        <w:trPr>
          <w:trHeight w:val="189"/>
        </w:trPr>
        <w:tc>
          <w:tcPr>
            <w:tcW w:w="8420" w:type="dxa"/>
            <w:vAlign w:val="bottom"/>
            <w:shd w:val="clear" w:color="auto" w:fill="DBDBDB"/>
          </w:tcPr>
          <w:p>
            <w:pPr>
              <w:ind w:left="560"/>
              <w:spacing w:after="0"/>
              <w:rPr>
                <w:sz w:val="20"/>
                <w:szCs w:val="20"/>
                <w:color w:val="auto"/>
              </w:rPr>
            </w:pPr>
            <w:r>
              <w:rPr>
                <w:rFonts w:ascii="Arial" w:cs="Arial" w:eastAsia="Arial" w:hAnsi="Arial"/>
                <w:sz w:val="14"/>
                <w:szCs w:val="14"/>
                <w:color w:val="auto"/>
              </w:rPr>
              <w:t>Software licenses acquired but unpaid as of end of period</w:t>
            </w:r>
          </w:p>
        </w:tc>
        <w:tc>
          <w:tcPr>
            <w:tcW w:w="1620" w:type="dxa"/>
            <w:vAlign w:val="bottom"/>
            <w:shd w:val="clear" w:color="auto" w:fill="DBDBDB"/>
          </w:tcPr>
          <w:p>
            <w:pPr>
              <w:jc w:val="right"/>
              <w:ind w:right="628"/>
              <w:spacing w:after="0"/>
              <w:rPr>
                <w:sz w:val="20"/>
                <w:szCs w:val="20"/>
                <w:color w:val="auto"/>
              </w:rPr>
            </w:pPr>
            <w:r>
              <w:rPr>
                <w:rFonts w:ascii="Arial" w:cs="Arial" w:eastAsia="Arial" w:hAnsi="Arial"/>
                <w:sz w:val="14"/>
                <w:szCs w:val="14"/>
                <w:color w:val="auto"/>
              </w:rPr>
              <w:t>$22</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$48</w:t>
            </w:r>
          </w:p>
        </w:tc>
      </w:tr>
      <w:tr>
        <w:trPr>
          <w:trHeight w:val="189"/>
        </w:trPr>
        <w:tc>
          <w:tcPr>
            <w:tcW w:w="8420" w:type="dxa"/>
            <w:vAlign w:val="bottom"/>
            <w:tcBorders>
              <w:bottom w:val="single" w:sz="8" w:color="8C8272"/>
            </w:tcBorders>
          </w:tcPr>
          <w:p>
            <w:pPr>
              <w:ind w:left="560"/>
              <w:spacing w:after="0"/>
              <w:rPr>
                <w:sz w:val="20"/>
                <w:szCs w:val="20"/>
                <w:color w:val="auto"/>
              </w:rPr>
            </w:pPr>
            <w:r>
              <w:rPr>
                <w:rFonts w:ascii="Arial" w:cs="Arial" w:eastAsia="Arial" w:hAnsi="Arial"/>
                <w:sz w:val="14"/>
                <w:szCs w:val="14"/>
                <w:color w:val="auto"/>
              </w:rPr>
              <w:t>Equipment acquired but unpaid as of end of period</w:t>
            </w:r>
          </w:p>
        </w:tc>
        <w:tc>
          <w:tcPr>
            <w:tcW w:w="1620" w:type="dxa"/>
            <w:vAlign w:val="bottom"/>
            <w:tcBorders>
              <w:bottom w:val="single" w:sz="8" w:color="8C8272"/>
            </w:tcBorders>
          </w:tcPr>
          <w:p>
            <w:pPr>
              <w:jc w:val="right"/>
              <w:ind w:right="628"/>
              <w:spacing w:after="0"/>
              <w:rPr>
                <w:sz w:val="20"/>
                <w:szCs w:val="20"/>
                <w:color w:val="auto"/>
              </w:rPr>
            </w:pPr>
            <w:r>
              <w:rPr>
                <w:rFonts w:ascii="Arial" w:cs="Arial" w:eastAsia="Arial" w:hAnsi="Arial"/>
                <w:sz w:val="14"/>
                <w:szCs w:val="14"/>
                <w:color w:val="auto"/>
              </w:rPr>
              <w:t>$22</w:t>
            </w:r>
          </w:p>
        </w:tc>
        <w:tc>
          <w:tcPr>
            <w:tcW w:w="11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$28</w:t>
            </w:r>
          </w:p>
        </w:tc>
      </w:tr>
      <w:tr>
        <w:trPr>
          <w:trHeight w:val="387"/>
        </w:trPr>
        <w:tc>
          <w:tcPr>
            <w:tcW w:w="8420" w:type="dxa"/>
            <w:vAlign w:val="bottom"/>
          </w:tcPr>
          <w:p>
            <w:pPr>
              <w:ind w:left="3220"/>
              <w:spacing w:after="0"/>
              <w:rPr>
                <w:sz w:val="20"/>
                <w:szCs w:val="20"/>
                <w:color w:val="auto"/>
              </w:rPr>
            </w:pPr>
            <w:r>
              <w:rPr>
                <w:rFonts w:ascii="Arial" w:cs="Arial" w:eastAsia="Arial" w:hAnsi="Arial"/>
                <w:sz w:val="14"/>
                <w:szCs w:val="14"/>
                <w:color w:val="auto"/>
              </w:rPr>
              <w:t>The accompanying notes are an integral part of these financial statements.</w:t>
            </w: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828282"/>
        </w:rPr>
        <w:t>Consolidated Edison Company of New York,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 (UNAUDITED)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300" w:type="dxa"/>
            <w:vAlign w:val="bottom"/>
          </w:tcPr>
          <w:p>
            <w:pPr>
              <w:jc w:val="right"/>
              <w:ind w:right="188"/>
              <w:spacing w:after="0"/>
              <w:rPr>
                <w:sz w:val="20"/>
                <w:szCs w:val="20"/>
                <w:color w:val="auto"/>
              </w:rPr>
            </w:pPr>
            <w:r>
              <w:rPr>
                <w:rFonts w:ascii="Arial" w:cs="Arial" w:eastAsia="Arial" w:hAnsi="Arial"/>
                <w:sz w:val="14"/>
                <w:szCs w:val="14"/>
                <w:b w:val="1"/>
                <w:bCs w:val="1"/>
                <w:color w:val="auto"/>
              </w:rPr>
              <w:t>June 30,</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720" w:type="dxa"/>
            <w:vAlign w:val="bottom"/>
            <w:tcBorders>
              <w:bottom w:val="single" w:sz="8" w:color="8C8272"/>
            </w:tcBorders>
            <w:vMerge w:val="continue"/>
          </w:tcPr>
          <w:p>
            <w:pPr>
              <w:spacing w:after="0"/>
              <w:rPr>
                <w:sz w:val="15"/>
                <w:szCs w:val="15"/>
                <w:color w:val="auto"/>
              </w:rPr>
            </w:pPr>
          </w:p>
        </w:tc>
        <w:tc>
          <w:tcPr>
            <w:tcW w:w="1300" w:type="dxa"/>
            <w:vAlign w:val="bottom"/>
            <w:tcBorders>
              <w:bottom w:val="single" w:sz="8" w:color="8C8272"/>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720" w:type="dxa"/>
            <w:vAlign w:val="bottom"/>
          </w:tcPr>
          <w:p>
            <w:pPr>
              <w:ind w:left="20"/>
              <w:spacing w:after="0"/>
              <w:rPr>
                <w:sz w:val="20"/>
                <w:szCs w:val="20"/>
                <w:color w:val="auto"/>
              </w:rPr>
            </w:pPr>
            <w:r>
              <w:rPr>
                <w:rFonts w:ascii="Arial" w:cs="Arial" w:eastAsia="Arial" w:hAnsi="Arial"/>
                <w:sz w:val="14"/>
                <w:szCs w:val="14"/>
                <w:color w:val="auto"/>
              </w:rPr>
              <w:t>ASSETS</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20" w:type="dxa"/>
            <w:vAlign w:val="bottom"/>
            <w:shd w:val="clear" w:color="auto" w:fill="E5E5E5"/>
          </w:tcPr>
          <w:p>
            <w:pPr>
              <w:ind w:left="20"/>
              <w:spacing w:after="0"/>
              <w:rPr>
                <w:sz w:val="20"/>
                <w:szCs w:val="20"/>
                <w:color w:val="auto"/>
              </w:rPr>
            </w:pPr>
            <w:r>
              <w:rPr>
                <w:rFonts w:ascii="Arial" w:cs="Arial" w:eastAsia="Arial" w:hAnsi="Arial"/>
                <w:sz w:val="14"/>
                <w:szCs w:val="14"/>
                <w:color w:val="auto"/>
              </w:rPr>
              <w:t>CURRENT ASSETS</w:t>
            </w:r>
          </w:p>
        </w:tc>
        <w:tc>
          <w:tcPr>
            <w:tcW w:w="1300" w:type="dxa"/>
            <w:vAlign w:val="bottom"/>
            <w:shd w:val="clear" w:color="auto" w:fill="E5E5E5"/>
          </w:tcPr>
          <w:p>
            <w:pPr>
              <w:spacing w:after="0"/>
              <w:rPr>
                <w:sz w:val="16"/>
                <w:szCs w:val="16"/>
                <w:color w:val="auto"/>
              </w:rPr>
            </w:pPr>
          </w:p>
        </w:tc>
        <w:tc>
          <w:tcPr>
            <w:tcW w:w="12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720" w:type="dxa"/>
            <w:vAlign w:val="bottom"/>
          </w:tcPr>
          <w:p>
            <w:pPr>
              <w:ind w:left="140"/>
              <w:spacing w:after="0"/>
              <w:rPr>
                <w:sz w:val="20"/>
                <w:szCs w:val="20"/>
                <w:color w:val="auto"/>
              </w:rPr>
            </w:pPr>
            <w:r>
              <w:rPr>
                <w:rFonts w:ascii="Arial" w:cs="Arial" w:eastAsia="Arial" w:hAnsi="Arial"/>
                <w:sz w:val="14"/>
                <w:szCs w:val="14"/>
                <w:color w:val="auto"/>
              </w:rPr>
              <w:t>Cash and temporary cash investments</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$985</w:t>
            </w:r>
          </w:p>
        </w:tc>
        <w:tc>
          <w:tcPr>
            <w:tcW w:w="1200" w:type="dxa"/>
            <w:vAlign w:val="bottom"/>
          </w:tcPr>
          <w:p>
            <w:pPr>
              <w:jc w:val="right"/>
              <w:spacing w:after="0"/>
              <w:rPr>
                <w:sz w:val="20"/>
                <w:szCs w:val="20"/>
                <w:color w:val="auto"/>
              </w:rPr>
            </w:pPr>
            <w:r>
              <w:rPr>
                <w:rFonts w:ascii="Arial" w:cs="Arial" w:eastAsia="Arial" w:hAnsi="Arial"/>
                <w:sz w:val="14"/>
                <w:szCs w:val="14"/>
                <w:color w:val="auto"/>
              </w:rPr>
              <w:t>$1,067</w:t>
            </w:r>
          </w:p>
        </w:tc>
        <w:tc>
          <w:tcPr>
            <w:tcW w:w="0" w:type="dxa"/>
            <w:vAlign w:val="bottom"/>
          </w:tcPr>
          <w:p>
            <w:pPr>
              <w:spacing w:after="0"/>
              <w:rPr>
                <w:sz w:val="1"/>
                <w:szCs w:val="1"/>
                <w:color w:val="auto"/>
              </w:rPr>
            </w:pPr>
          </w:p>
        </w:tc>
      </w:tr>
      <w:tr>
        <w:trPr>
          <w:trHeight w:val="189"/>
        </w:trPr>
        <w:tc>
          <w:tcPr>
            <w:tcW w:w="8720" w:type="dxa"/>
            <w:vAlign w:val="bottom"/>
            <w:shd w:val="clear" w:color="auto" w:fill="E5E5E5"/>
          </w:tcPr>
          <w:p>
            <w:pPr>
              <w:ind w:left="300"/>
              <w:spacing w:after="0"/>
              <w:rPr>
                <w:sz w:val="20"/>
                <w:szCs w:val="20"/>
                <w:color w:val="auto"/>
              </w:rPr>
            </w:pPr>
            <w:r>
              <w:rPr>
                <w:rFonts w:ascii="Arial" w:cs="Arial" w:eastAsia="Arial" w:hAnsi="Arial"/>
                <w:sz w:val="14"/>
                <w:szCs w:val="14"/>
                <w:color w:val="auto"/>
              </w:rPr>
              <w:t>Accounts receivable – customers, less allowance for uncollectible accounts of $262 and $138 in 2021 and 2020, respectively</w:t>
            </w:r>
          </w:p>
        </w:tc>
        <w:tc>
          <w:tcPr>
            <w:tcW w:w="130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1,610</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89"/>
        </w:trPr>
        <w:tc>
          <w:tcPr>
            <w:tcW w:w="8720" w:type="dxa"/>
            <w:vAlign w:val="bottom"/>
          </w:tcPr>
          <w:p>
            <w:pPr>
              <w:ind w:left="300"/>
              <w:spacing w:after="0"/>
              <w:rPr>
                <w:sz w:val="20"/>
                <w:szCs w:val="20"/>
                <w:color w:val="auto"/>
              </w:rPr>
            </w:pPr>
            <w:r>
              <w:rPr>
                <w:rFonts w:ascii="Arial" w:cs="Arial" w:eastAsia="Arial" w:hAnsi="Arial"/>
                <w:sz w:val="14"/>
                <w:szCs w:val="14"/>
                <w:color w:val="auto"/>
              </w:rPr>
              <w:t>Other receivables, less allowance for uncollectible accounts of $4 in 2021 and 2020</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98</w:t>
            </w:r>
          </w:p>
        </w:tc>
        <w:tc>
          <w:tcPr>
            <w:tcW w:w="120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9"/>
        </w:trPr>
        <w:tc>
          <w:tcPr>
            <w:tcW w:w="87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Taxes receivable</w:t>
            </w:r>
          </w:p>
        </w:tc>
        <w:tc>
          <w:tcPr>
            <w:tcW w:w="130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8</w:t>
            </w:r>
          </w:p>
        </w:tc>
        <w:tc>
          <w:tcPr>
            <w:tcW w:w="12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8720" w:type="dxa"/>
            <w:vAlign w:val="bottom"/>
          </w:tcPr>
          <w:p>
            <w:pPr>
              <w:ind w:left="140"/>
              <w:spacing w:after="0"/>
              <w:rPr>
                <w:sz w:val="20"/>
                <w:szCs w:val="20"/>
                <w:color w:val="auto"/>
              </w:rPr>
            </w:pPr>
            <w:r>
              <w:rPr>
                <w:rFonts w:ascii="Arial" w:cs="Arial" w:eastAsia="Arial" w:hAnsi="Arial"/>
                <w:sz w:val="14"/>
                <w:szCs w:val="14"/>
                <w:color w:val="auto"/>
              </w:rPr>
              <w:t>Accrued unbilled revenue</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503</w:t>
            </w:r>
          </w:p>
        </w:tc>
        <w:tc>
          <w:tcPr>
            <w:tcW w:w="1200" w:type="dxa"/>
            <w:vAlign w:val="bottom"/>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89"/>
        </w:trPr>
        <w:tc>
          <w:tcPr>
            <w:tcW w:w="87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Accounts receivable from affiliated companies</w:t>
            </w:r>
          </w:p>
        </w:tc>
        <w:tc>
          <w:tcPr>
            <w:tcW w:w="130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41</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9"/>
        </w:trPr>
        <w:tc>
          <w:tcPr>
            <w:tcW w:w="8720" w:type="dxa"/>
            <w:vAlign w:val="bottom"/>
          </w:tcPr>
          <w:p>
            <w:pPr>
              <w:ind w:left="140"/>
              <w:spacing w:after="0"/>
              <w:rPr>
                <w:sz w:val="20"/>
                <w:szCs w:val="20"/>
                <w:color w:val="auto"/>
              </w:rPr>
            </w:pPr>
            <w:r>
              <w:rPr>
                <w:rFonts w:ascii="Arial" w:cs="Arial" w:eastAsia="Arial" w:hAnsi="Arial"/>
                <w:sz w:val="14"/>
                <w:szCs w:val="14"/>
                <w:color w:val="auto"/>
              </w:rPr>
              <w:t>Fuel oil, gas in storage, materials and supplies, at average cost</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299</w:t>
            </w:r>
          </w:p>
        </w:tc>
        <w:tc>
          <w:tcPr>
            <w:tcW w:w="1200" w:type="dxa"/>
            <w:vAlign w:val="bottom"/>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89"/>
        </w:trPr>
        <w:tc>
          <w:tcPr>
            <w:tcW w:w="87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Prepayments</w:t>
            </w:r>
          </w:p>
        </w:tc>
        <w:tc>
          <w:tcPr>
            <w:tcW w:w="130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177</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9"/>
        </w:trPr>
        <w:tc>
          <w:tcPr>
            <w:tcW w:w="8720" w:type="dxa"/>
            <w:vAlign w:val="bottom"/>
          </w:tcPr>
          <w:p>
            <w:pPr>
              <w:ind w:left="140"/>
              <w:spacing w:after="0"/>
              <w:rPr>
                <w:sz w:val="20"/>
                <w:szCs w:val="20"/>
                <w:color w:val="auto"/>
              </w:rPr>
            </w:pPr>
            <w:r>
              <w:rPr>
                <w:rFonts w:ascii="Arial" w:cs="Arial" w:eastAsia="Arial" w:hAnsi="Arial"/>
                <w:sz w:val="14"/>
                <w:szCs w:val="14"/>
                <w:color w:val="auto"/>
              </w:rPr>
              <w:t>Regulatory assets</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167</w:t>
            </w:r>
          </w:p>
        </w:tc>
        <w:tc>
          <w:tcPr>
            <w:tcW w:w="1200" w:type="dxa"/>
            <w:vAlign w:val="bottom"/>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89"/>
        </w:trPr>
        <w:tc>
          <w:tcPr>
            <w:tcW w:w="87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Revenue decoupling mechanism receivable</w:t>
            </w:r>
          </w:p>
        </w:tc>
        <w:tc>
          <w:tcPr>
            <w:tcW w:w="130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198</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9"/>
        </w:trPr>
        <w:tc>
          <w:tcPr>
            <w:tcW w:w="8720" w:type="dxa"/>
            <w:vAlign w:val="bottom"/>
            <w:tcBorders>
              <w:bottom w:val="single" w:sz="8" w:color="8C8272"/>
            </w:tcBorders>
          </w:tcPr>
          <w:p>
            <w:pPr>
              <w:ind w:left="140"/>
              <w:spacing w:after="0"/>
              <w:rPr>
                <w:sz w:val="20"/>
                <w:szCs w:val="20"/>
                <w:color w:val="auto"/>
              </w:rPr>
            </w:pPr>
            <w:r>
              <w:rPr>
                <w:rFonts w:ascii="Arial" w:cs="Arial" w:eastAsia="Arial" w:hAnsi="Arial"/>
                <w:sz w:val="14"/>
                <w:szCs w:val="14"/>
                <w:color w:val="auto"/>
              </w:rPr>
              <w:t>Other current assets</w:t>
            </w:r>
          </w:p>
        </w:tc>
        <w:tc>
          <w:tcPr>
            <w:tcW w:w="1300" w:type="dxa"/>
            <w:vAlign w:val="bottom"/>
            <w:tcBorders>
              <w:bottom w:val="single" w:sz="8" w:color="8C8272"/>
            </w:tcBorders>
          </w:tcPr>
          <w:p>
            <w:pPr>
              <w:jc w:val="right"/>
              <w:ind w:right="188"/>
              <w:spacing w:after="0"/>
              <w:rPr>
                <w:sz w:val="20"/>
                <w:szCs w:val="20"/>
                <w:color w:val="auto"/>
              </w:rPr>
            </w:pPr>
            <w:r>
              <w:rPr>
                <w:rFonts w:ascii="Arial" w:cs="Arial" w:eastAsia="Arial" w:hAnsi="Arial"/>
                <w:sz w:val="14"/>
                <w:szCs w:val="14"/>
                <w:color w:val="auto"/>
              </w:rPr>
              <w:t>207</w:t>
            </w:r>
          </w:p>
        </w:tc>
        <w:tc>
          <w:tcPr>
            <w:tcW w:w="12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3"/>
        </w:trPr>
        <w:tc>
          <w:tcPr>
            <w:tcW w:w="872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TOTAL CURRENT ASSETS</w:t>
            </w:r>
          </w:p>
        </w:tc>
        <w:tc>
          <w:tcPr>
            <w:tcW w:w="1300" w:type="dxa"/>
            <w:vAlign w:val="bottom"/>
            <w:tcBorders>
              <w:bottom w:val="single" w:sz="8" w:color="8C8272"/>
            </w:tcBorders>
            <w:shd w:val="clear" w:color="auto" w:fill="E5E5E5"/>
          </w:tcPr>
          <w:p>
            <w:pPr>
              <w:jc w:val="right"/>
              <w:ind w:right="188"/>
              <w:spacing w:after="0"/>
              <w:rPr>
                <w:sz w:val="20"/>
                <w:szCs w:val="20"/>
                <w:color w:val="auto"/>
              </w:rPr>
            </w:pPr>
            <w:r>
              <w:rPr>
                <w:rFonts w:ascii="Arial" w:cs="Arial" w:eastAsia="Arial" w:hAnsi="Arial"/>
                <w:sz w:val="14"/>
                <w:szCs w:val="14"/>
                <w:color w:val="auto"/>
              </w:rPr>
              <w:t>4,293</w:t>
            </w:r>
          </w:p>
        </w:tc>
        <w:tc>
          <w:tcPr>
            <w:tcW w:w="12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4,407</w:t>
            </w:r>
          </w:p>
        </w:tc>
        <w:tc>
          <w:tcPr>
            <w:tcW w:w="0" w:type="dxa"/>
            <w:vAlign w:val="bottom"/>
          </w:tcPr>
          <w:p>
            <w:pPr>
              <w:spacing w:after="0"/>
              <w:rPr>
                <w:sz w:val="1"/>
                <w:szCs w:val="1"/>
                <w:color w:val="auto"/>
              </w:rPr>
            </w:pPr>
          </w:p>
        </w:tc>
      </w:tr>
      <w:tr>
        <w:trPr>
          <w:trHeight w:val="183"/>
        </w:trPr>
        <w:tc>
          <w:tcPr>
            <w:tcW w:w="87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INVESTMENTS</w:t>
            </w:r>
          </w:p>
        </w:tc>
        <w:tc>
          <w:tcPr>
            <w:tcW w:w="1300" w:type="dxa"/>
            <w:vAlign w:val="bottom"/>
            <w:tcBorders>
              <w:bottom w:val="single" w:sz="8" w:color="8C8272"/>
            </w:tcBorders>
          </w:tcPr>
          <w:p>
            <w:pPr>
              <w:jc w:val="right"/>
              <w:ind w:right="188"/>
              <w:spacing w:after="0"/>
              <w:rPr>
                <w:sz w:val="20"/>
                <w:szCs w:val="20"/>
                <w:color w:val="auto"/>
              </w:rPr>
            </w:pPr>
            <w:r>
              <w:rPr>
                <w:rFonts w:ascii="Arial" w:cs="Arial" w:eastAsia="Arial" w:hAnsi="Arial"/>
                <w:sz w:val="14"/>
                <w:szCs w:val="14"/>
                <w:color w:val="auto"/>
              </w:rPr>
              <w:t>594</w:t>
            </w:r>
          </w:p>
        </w:tc>
        <w:tc>
          <w:tcPr>
            <w:tcW w:w="12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83"/>
        </w:trPr>
        <w:tc>
          <w:tcPr>
            <w:tcW w:w="8720" w:type="dxa"/>
            <w:vAlign w:val="bottom"/>
            <w:shd w:val="clear" w:color="auto" w:fill="E5E5E5"/>
          </w:tcPr>
          <w:p>
            <w:pPr>
              <w:ind w:left="20"/>
              <w:spacing w:after="0"/>
              <w:rPr>
                <w:sz w:val="20"/>
                <w:szCs w:val="20"/>
                <w:color w:val="auto"/>
              </w:rPr>
            </w:pPr>
            <w:r>
              <w:rPr>
                <w:rFonts w:ascii="Arial" w:cs="Arial" w:eastAsia="Arial" w:hAnsi="Arial"/>
                <w:sz w:val="14"/>
                <w:szCs w:val="14"/>
                <w:color w:val="auto"/>
              </w:rPr>
              <w:t>UTILITY PLANT, AT ORIGINAL COST</w:t>
            </w:r>
          </w:p>
        </w:tc>
        <w:tc>
          <w:tcPr>
            <w:tcW w:w="1300" w:type="dxa"/>
            <w:vAlign w:val="bottom"/>
            <w:shd w:val="clear" w:color="auto" w:fill="E5E5E5"/>
          </w:tcPr>
          <w:p>
            <w:pPr>
              <w:spacing w:after="0"/>
              <w:rPr>
                <w:sz w:val="15"/>
                <w:szCs w:val="15"/>
                <w:color w:val="auto"/>
              </w:rPr>
            </w:pPr>
          </w:p>
        </w:tc>
        <w:tc>
          <w:tcPr>
            <w:tcW w:w="12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20" w:type="dxa"/>
            <w:vAlign w:val="bottom"/>
          </w:tcPr>
          <w:p>
            <w:pPr>
              <w:ind w:left="140"/>
              <w:spacing w:after="0"/>
              <w:rPr>
                <w:sz w:val="20"/>
                <w:szCs w:val="20"/>
                <w:color w:val="auto"/>
              </w:rPr>
            </w:pPr>
            <w:r>
              <w:rPr>
                <w:rFonts w:ascii="Arial" w:cs="Arial" w:eastAsia="Arial" w:hAnsi="Arial"/>
                <w:sz w:val="14"/>
                <w:szCs w:val="14"/>
                <w:color w:val="auto"/>
              </w:rPr>
              <w:t>Electric</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32,071</w:t>
            </w:r>
          </w:p>
        </w:tc>
        <w:tc>
          <w:tcPr>
            <w:tcW w:w="1200" w:type="dxa"/>
            <w:vAlign w:val="bottom"/>
          </w:tcPr>
          <w:p>
            <w:pPr>
              <w:jc w:val="right"/>
              <w:spacing w:after="0"/>
              <w:rPr>
                <w:sz w:val="20"/>
                <w:szCs w:val="20"/>
                <w:color w:val="auto"/>
              </w:rPr>
            </w:pPr>
            <w:r>
              <w:rPr>
                <w:rFonts w:ascii="Arial" w:cs="Arial" w:eastAsia="Arial" w:hAnsi="Arial"/>
                <w:sz w:val="14"/>
                <w:szCs w:val="14"/>
                <w:color w:val="auto"/>
              </w:rPr>
              <w:t>31,327</w:t>
            </w:r>
          </w:p>
        </w:tc>
        <w:tc>
          <w:tcPr>
            <w:tcW w:w="0" w:type="dxa"/>
            <w:vAlign w:val="bottom"/>
          </w:tcPr>
          <w:p>
            <w:pPr>
              <w:spacing w:after="0"/>
              <w:rPr>
                <w:sz w:val="1"/>
                <w:szCs w:val="1"/>
                <w:color w:val="auto"/>
              </w:rPr>
            </w:pPr>
          </w:p>
        </w:tc>
      </w:tr>
      <w:tr>
        <w:trPr>
          <w:trHeight w:val="189"/>
        </w:trPr>
        <w:tc>
          <w:tcPr>
            <w:tcW w:w="87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Gas</w:t>
            </w:r>
          </w:p>
        </w:tc>
        <w:tc>
          <w:tcPr>
            <w:tcW w:w="130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10,459</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9,921</w:t>
            </w:r>
          </w:p>
        </w:tc>
        <w:tc>
          <w:tcPr>
            <w:tcW w:w="0" w:type="dxa"/>
            <w:vAlign w:val="bottom"/>
          </w:tcPr>
          <w:p>
            <w:pPr>
              <w:spacing w:after="0"/>
              <w:rPr>
                <w:sz w:val="1"/>
                <w:szCs w:val="1"/>
                <w:color w:val="auto"/>
              </w:rPr>
            </w:pPr>
          </w:p>
        </w:tc>
      </w:tr>
      <w:tr>
        <w:trPr>
          <w:trHeight w:val="189"/>
        </w:trPr>
        <w:tc>
          <w:tcPr>
            <w:tcW w:w="8720" w:type="dxa"/>
            <w:vAlign w:val="bottom"/>
          </w:tcPr>
          <w:p>
            <w:pPr>
              <w:ind w:left="140"/>
              <w:spacing w:after="0"/>
              <w:rPr>
                <w:sz w:val="20"/>
                <w:szCs w:val="20"/>
                <w:color w:val="auto"/>
              </w:rPr>
            </w:pPr>
            <w:r>
              <w:rPr>
                <w:rFonts w:ascii="Arial" w:cs="Arial" w:eastAsia="Arial" w:hAnsi="Arial"/>
                <w:sz w:val="14"/>
                <w:szCs w:val="14"/>
                <w:color w:val="auto"/>
              </w:rPr>
              <w:t>Steam</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2,741</w:t>
            </w:r>
          </w:p>
        </w:tc>
        <w:tc>
          <w:tcPr>
            <w:tcW w:w="1200" w:type="dxa"/>
            <w:vAlign w:val="bottom"/>
          </w:tcPr>
          <w:p>
            <w:pPr>
              <w:jc w:val="right"/>
              <w:spacing w:after="0"/>
              <w:rPr>
                <w:sz w:val="20"/>
                <w:szCs w:val="20"/>
                <w:color w:val="auto"/>
              </w:rPr>
            </w:pPr>
            <w:r>
              <w:rPr>
                <w:rFonts w:ascii="Arial" w:cs="Arial" w:eastAsia="Arial" w:hAnsi="Arial"/>
                <w:sz w:val="14"/>
                <w:szCs w:val="14"/>
                <w:color w:val="auto"/>
              </w:rPr>
              <w:t>2,696</w:t>
            </w:r>
          </w:p>
        </w:tc>
        <w:tc>
          <w:tcPr>
            <w:tcW w:w="0" w:type="dxa"/>
            <w:vAlign w:val="bottom"/>
          </w:tcPr>
          <w:p>
            <w:pPr>
              <w:spacing w:after="0"/>
              <w:rPr>
                <w:sz w:val="1"/>
                <w:szCs w:val="1"/>
                <w:color w:val="auto"/>
              </w:rPr>
            </w:pPr>
          </w:p>
        </w:tc>
      </w:tr>
      <w:tr>
        <w:trPr>
          <w:trHeight w:val="189"/>
        </w:trPr>
        <w:tc>
          <w:tcPr>
            <w:tcW w:w="872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General</w:t>
            </w:r>
          </w:p>
        </w:tc>
        <w:tc>
          <w:tcPr>
            <w:tcW w:w="1300" w:type="dxa"/>
            <w:vAlign w:val="bottom"/>
            <w:tcBorders>
              <w:bottom w:val="single" w:sz="8" w:color="8C8272"/>
            </w:tcBorders>
            <w:shd w:val="clear" w:color="auto" w:fill="E5E5E5"/>
          </w:tcPr>
          <w:p>
            <w:pPr>
              <w:jc w:val="right"/>
              <w:ind w:right="188"/>
              <w:spacing w:after="0"/>
              <w:rPr>
                <w:sz w:val="20"/>
                <w:szCs w:val="20"/>
                <w:color w:val="auto"/>
              </w:rPr>
            </w:pPr>
            <w:r>
              <w:rPr>
                <w:rFonts w:ascii="Arial" w:cs="Arial" w:eastAsia="Arial" w:hAnsi="Arial"/>
                <w:sz w:val="14"/>
                <w:szCs w:val="14"/>
                <w:color w:val="auto"/>
              </w:rPr>
              <w:t>3,706</w:t>
            </w:r>
          </w:p>
        </w:tc>
        <w:tc>
          <w:tcPr>
            <w:tcW w:w="12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3,585</w:t>
            </w:r>
          </w:p>
        </w:tc>
        <w:tc>
          <w:tcPr>
            <w:tcW w:w="0" w:type="dxa"/>
            <w:vAlign w:val="bottom"/>
          </w:tcPr>
          <w:p>
            <w:pPr>
              <w:spacing w:after="0"/>
              <w:rPr>
                <w:sz w:val="1"/>
                <w:szCs w:val="1"/>
                <w:color w:val="auto"/>
              </w:rPr>
            </w:pPr>
          </w:p>
        </w:tc>
      </w:tr>
      <w:tr>
        <w:trPr>
          <w:trHeight w:val="183"/>
        </w:trPr>
        <w:tc>
          <w:tcPr>
            <w:tcW w:w="8720" w:type="dxa"/>
            <w:vAlign w:val="bottom"/>
          </w:tcPr>
          <w:p>
            <w:pPr>
              <w:ind w:left="140"/>
              <w:spacing w:after="0"/>
              <w:rPr>
                <w:sz w:val="20"/>
                <w:szCs w:val="20"/>
                <w:color w:val="auto"/>
              </w:rPr>
            </w:pPr>
            <w:r>
              <w:rPr>
                <w:rFonts w:ascii="Arial" w:cs="Arial" w:eastAsia="Arial" w:hAnsi="Arial"/>
                <w:sz w:val="14"/>
                <w:szCs w:val="14"/>
                <w:color w:val="auto"/>
              </w:rPr>
              <w:t>TOTAL</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48,977</w:t>
            </w:r>
          </w:p>
        </w:tc>
        <w:tc>
          <w:tcPr>
            <w:tcW w:w="1200" w:type="dxa"/>
            <w:vAlign w:val="bottom"/>
          </w:tcPr>
          <w:p>
            <w:pPr>
              <w:jc w:val="right"/>
              <w:spacing w:after="0"/>
              <w:rPr>
                <w:sz w:val="20"/>
                <w:szCs w:val="20"/>
                <w:color w:val="auto"/>
              </w:rPr>
            </w:pPr>
            <w:r>
              <w:rPr>
                <w:rFonts w:ascii="Arial" w:cs="Arial" w:eastAsia="Arial" w:hAnsi="Arial"/>
                <w:sz w:val="14"/>
                <w:szCs w:val="14"/>
                <w:color w:val="auto"/>
              </w:rPr>
              <w:t>47,529</w:t>
            </w:r>
          </w:p>
        </w:tc>
        <w:tc>
          <w:tcPr>
            <w:tcW w:w="0" w:type="dxa"/>
            <w:vAlign w:val="bottom"/>
          </w:tcPr>
          <w:p>
            <w:pPr>
              <w:spacing w:after="0"/>
              <w:rPr>
                <w:sz w:val="1"/>
                <w:szCs w:val="1"/>
                <w:color w:val="auto"/>
              </w:rPr>
            </w:pPr>
          </w:p>
        </w:tc>
      </w:tr>
      <w:tr>
        <w:trPr>
          <w:trHeight w:val="189"/>
        </w:trPr>
        <w:tc>
          <w:tcPr>
            <w:tcW w:w="872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Less: Accumulated depreciation</w:t>
            </w:r>
          </w:p>
        </w:tc>
        <w:tc>
          <w:tcPr>
            <w:tcW w:w="1300" w:type="dxa"/>
            <w:vAlign w:val="bottom"/>
            <w:tcBorders>
              <w:bottom w:val="single" w:sz="8" w:color="8C8272"/>
            </w:tcBorders>
            <w:shd w:val="clear" w:color="auto" w:fill="E5E5E5"/>
          </w:tcPr>
          <w:p>
            <w:pPr>
              <w:jc w:val="right"/>
              <w:ind w:right="188"/>
              <w:spacing w:after="0"/>
              <w:rPr>
                <w:sz w:val="20"/>
                <w:szCs w:val="20"/>
                <w:color w:val="auto"/>
              </w:rPr>
            </w:pPr>
            <w:r>
              <w:rPr>
                <w:rFonts w:ascii="Arial" w:cs="Arial" w:eastAsia="Arial" w:hAnsi="Arial"/>
                <w:sz w:val="14"/>
                <w:szCs w:val="14"/>
                <w:color w:val="auto"/>
              </w:rPr>
              <w:t>10,763</w:t>
            </w:r>
          </w:p>
        </w:tc>
        <w:tc>
          <w:tcPr>
            <w:tcW w:w="12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10,297</w:t>
            </w:r>
          </w:p>
        </w:tc>
        <w:tc>
          <w:tcPr>
            <w:tcW w:w="0" w:type="dxa"/>
            <w:vAlign w:val="bottom"/>
          </w:tcPr>
          <w:p>
            <w:pPr>
              <w:spacing w:after="0"/>
              <w:rPr>
                <w:sz w:val="1"/>
                <w:szCs w:val="1"/>
                <w:color w:val="auto"/>
              </w:rPr>
            </w:pPr>
          </w:p>
        </w:tc>
      </w:tr>
      <w:tr>
        <w:trPr>
          <w:trHeight w:val="183"/>
        </w:trPr>
        <w:tc>
          <w:tcPr>
            <w:tcW w:w="8720" w:type="dxa"/>
            <w:vAlign w:val="bottom"/>
          </w:tcPr>
          <w:p>
            <w:pPr>
              <w:ind w:left="140"/>
              <w:spacing w:after="0"/>
              <w:rPr>
                <w:sz w:val="20"/>
                <w:szCs w:val="20"/>
                <w:color w:val="auto"/>
              </w:rPr>
            </w:pPr>
            <w:r>
              <w:rPr>
                <w:rFonts w:ascii="Arial" w:cs="Arial" w:eastAsia="Arial" w:hAnsi="Arial"/>
                <w:sz w:val="14"/>
                <w:szCs w:val="14"/>
                <w:color w:val="auto"/>
              </w:rPr>
              <w:t>Net</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38,214</w:t>
            </w:r>
          </w:p>
        </w:tc>
        <w:tc>
          <w:tcPr>
            <w:tcW w:w="1200" w:type="dxa"/>
            <w:vAlign w:val="bottom"/>
          </w:tcPr>
          <w:p>
            <w:pPr>
              <w:jc w:val="right"/>
              <w:spacing w:after="0"/>
              <w:rPr>
                <w:sz w:val="20"/>
                <w:szCs w:val="20"/>
                <w:color w:val="auto"/>
              </w:rPr>
            </w:pPr>
            <w:r>
              <w:rPr>
                <w:rFonts w:ascii="Arial" w:cs="Arial" w:eastAsia="Arial" w:hAnsi="Arial"/>
                <w:sz w:val="14"/>
                <w:szCs w:val="14"/>
                <w:color w:val="auto"/>
              </w:rPr>
              <w:t>37,232</w:t>
            </w:r>
          </w:p>
        </w:tc>
        <w:tc>
          <w:tcPr>
            <w:tcW w:w="0" w:type="dxa"/>
            <w:vAlign w:val="bottom"/>
          </w:tcPr>
          <w:p>
            <w:pPr>
              <w:spacing w:after="0"/>
              <w:rPr>
                <w:sz w:val="1"/>
                <w:szCs w:val="1"/>
                <w:color w:val="auto"/>
              </w:rPr>
            </w:pPr>
          </w:p>
        </w:tc>
      </w:tr>
      <w:tr>
        <w:trPr>
          <w:trHeight w:val="189"/>
        </w:trPr>
        <w:tc>
          <w:tcPr>
            <w:tcW w:w="872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Construction work in progress</w:t>
            </w:r>
          </w:p>
        </w:tc>
        <w:tc>
          <w:tcPr>
            <w:tcW w:w="1300" w:type="dxa"/>
            <w:vAlign w:val="bottom"/>
            <w:tcBorders>
              <w:bottom w:val="single" w:sz="8" w:color="8C8272"/>
            </w:tcBorders>
            <w:shd w:val="clear" w:color="auto" w:fill="E5E5E5"/>
          </w:tcPr>
          <w:p>
            <w:pPr>
              <w:jc w:val="right"/>
              <w:ind w:right="188"/>
              <w:spacing w:after="0"/>
              <w:rPr>
                <w:sz w:val="20"/>
                <w:szCs w:val="20"/>
                <w:color w:val="auto"/>
              </w:rPr>
            </w:pPr>
            <w:r>
              <w:rPr>
                <w:rFonts w:ascii="Arial" w:cs="Arial" w:eastAsia="Arial" w:hAnsi="Arial"/>
                <w:sz w:val="14"/>
                <w:szCs w:val="14"/>
                <w:color w:val="auto"/>
              </w:rPr>
              <w:t>2,218</w:t>
            </w:r>
          </w:p>
        </w:tc>
        <w:tc>
          <w:tcPr>
            <w:tcW w:w="12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2,320</w:t>
            </w:r>
          </w:p>
        </w:tc>
        <w:tc>
          <w:tcPr>
            <w:tcW w:w="0" w:type="dxa"/>
            <w:vAlign w:val="bottom"/>
          </w:tcPr>
          <w:p>
            <w:pPr>
              <w:spacing w:after="0"/>
              <w:rPr>
                <w:sz w:val="1"/>
                <w:szCs w:val="1"/>
                <w:color w:val="auto"/>
              </w:rPr>
            </w:pPr>
          </w:p>
        </w:tc>
      </w:tr>
      <w:tr>
        <w:trPr>
          <w:trHeight w:val="183"/>
        </w:trPr>
        <w:tc>
          <w:tcPr>
            <w:tcW w:w="87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NET UTILITY PLANT</w:t>
            </w:r>
          </w:p>
        </w:tc>
        <w:tc>
          <w:tcPr>
            <w:tcW w:w="1300" w:type="dxa"/>
            <w:vAlign w:val="bottom"/>
            <w:tcBorders>
              <w:bottom w:val="single" w:sz="8" w:color="8C8272"/>
            </w:tcBorders>
          </w:tcPr>
          <w:p>
            <w:pPr>
              <w:jc w:val="right"/>
              <w:ind w:right="188"/>
              <w:spacing w:after="0"/>
              <w:rPr>
                <w:sz w:val="20"/>
                <w:szCs w:val="20"/>
                <w:color w:val="auto"/>
              </w:rPr>
            </w:pPr>
            <w:r>
              <w:rPr>
                <w:rFonts w:ascii="Arial" w:cs="Arial" w:eastAsia="Arial" w:hAnsi="Arial"/>
                <w:sz w:val="14"/>
                <w:szCs w:val="14"/>
                <w:color w:val="auto"/>
              </w:rPr>
              <w:t>40,432</w:t>
            </w:r>
          </w:p>
        </w:tc>
        <w:tc>
          <w:tcPr>
            <w:tcW w:w="12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39,552</w:t>
            </w:r>
          </w:p>
        </w:tc>
        <w:tc>
          <w:tcPr>
            <w:tcW w:w="0" w:type="dxa"/>
            <w:vAlign w:val="bottom"/>
          </w:tcPr>
          <w:p>
            <w:pPr>
              <w:spacing w:after="0"/>
              <w:rPr>
                <w:sz w:val="1"/>
                <w:szCs w:val="1"/>
                <w:color w:val="auto"/>
              </w:rPr>
            </w:pPr>
          </w:p>
        </w:tc>
      </w:tr>
      <w:tr>
        <w:trPr>
          <w:trHeight w:val="183"/>
        </w:trPr>
        <w:tc>
          <w:tcPr>
            <w:tcW w:w="8720" w:type="dxa"/>
            <w:vAlign w:val="bottom"/>
            <w:shd w:val="clear" w:color="auto" w:fill="E5E5E5"/>
          </w:tcPr>
          <w:p>
            <w:pPr>
              <w:ind w:left="20"/>
              <w:spacing w:after="0"/>
              <w:rPr>
                <w:sz w:val="20"/>
                <w:szCs w:val="20"/>
                <w:color w:val="auto"/>
              </w:rPr>
            </w:pPr>
            <w:r>
              <w:rPr>
                <w:rFonts w:ascii="Arial" w:cs="Arial" w:eastAsia="Arial" w:hAnsi="Arial"/>
                <w:sz w:val="14"/>
                <w:szCs w:val="14"/>
                <w:color w:val="auto"/>
              </w:rPr>
              <w:t>NON-UTILITY PROPERTY</w:t>
            </w:r>
          </w:p>
        </w:tc>
        <w:tc>
          <w:tcPr>
            <w:tcW w:w="1300" w:type="dxa"/>
            <w:vAlign w:val="bottom"/>
            <w:shd w:val="clear" w:color="auto" w:fill="E5E5E5"/>
          </w:tcPr>
          <w:p>
            <w:pPr>
              <w:spacing w:after="0"/>
              <w:rPr>
                <w:sz w:val="15"/>
                <w:szCs w:val="15"/>
                <w:color w:val="auto"/>
              </w:rPr>
            </w:pPr>
          </w:p>
        </w:tc>
        <w:tc>
          <w:tcPr>
            <w:tcW w:w="12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20" w:type="dxa"/>
            <w:vAlign w:val="bottom"/>
            <w:tcBorders>
              <w:bottom w:val="single" w:sz="8" w:color="8C8272"/>
            </w:tcBorders>
          </w:tcPr>
          <w:p>
            <w:pPr>
              <w:ind w:left="140"/>
              <w:spacing w:after="0"/>
              <w:rPr>
                <w:sz w:val="20"/>
                <w:szCs w:val="20"/>
                <w:color w:val="auto"/>
              </w:rPr>
            </w:pPr>
            <w:r>
              <w:rPr>
                <w:rFonts w:ascii="Arial" w:cs="Arial" w:eastAsia="Arial" w:hAnsi="Arial"/>
                <w:sz w:val="14"/>
                <w:szCs w:val="14"/>
                <w:color w:val="auto"/>
              </w:rPr>
              <w:t>Non-utility property, less accumulated depreciation of $25 in 2021 and 2020</w:t>
            </w:r>
          </w:p>
        </w:tc>
        <w:tc>
          <w:tcPr>
            <w:tcW w:w="1300" w:type="dxa"/>
            <w:vAlign w:val="bottom"/>
            <w:tcBorders>
              <w:bottom w:val="single" w:sz="8" w:color="8C8272"/>
            </w:tcBorders>
          </w:tcPr>
          <w:p>
            <w:pPr>
              <w:jc w:val="right"/>
              <w:ind w:right="188"/>
              <w:spacing w:after="0"/>
              <w:rPr>
                <w:sz w:val="20"/>
                <w:szCs w:val="20"/>
                <w:color w:val="auto"/>
              </w:rPr>
            </w:pPr>
            <w:r>
              <w:rPr>
                <w:rFonts w:ascii="Arial" w:cs="Arial" w:eastAsia="Arial" w:hAnsi="Arial"/>
                <w:sz w:val="14"/>
                <w:szCs w:val="14"/>
                <w:color w:val="auto"/>
              </w:rPr>
              <w:t>2</w:t>
            </w:r>
          </w:p>
        </w:tc>
        <w:tc>
          <w:tcPr>
            <w:tcW w:w="12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872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NET PLANT</w:t>
            </w:r>
          </w:p>
        </w:tc>
        <w:tc>
          <w:tcPr>
            <w:tcW w:w="1300" w:type="dxa"/>
            <w:vAlign w:val="bottom"/>
            <w:tcBorders>
              <w:bottom w:val="single" w:sz="8" w:color="8C8272"/>
            </w:tcBorders>
            <w:shd w:val="clear" w:color="auto" w:fill="E5E5E5"/>
          </w:tcPr>
          <w:p>
            <w:pPr>
              <w:jc w:val="right"/>
              <w:ind w:right="188"/>
              <w:spacing w:after="0"/>
              <w:rPr>
                <w:sz w:val="20"/>
                <w:szCs w:val="20"/>
                <w:color w:val="auto"/>
              </w:rPr>
            </w:pPr>
            <w:r>
              <w:rPr>
                <w:rFonts w:ascii="Arial" w:cs="Arial" w:eastAsia="Arial" w:hAnsi="Arial"/>
                <w:sz w:val="14"/>
                <w:szCs w:val="14"/>
                <w:color w:val="auto"/>
              </w:rPr>
              <w:t>40,434</w:t>
            </w:r>
          </w:p>
        </w:tc>
        <w:tc>
          <w:tcPr>
            <w:tcW w:w="12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39,554</w:t>
            </w:r>
          </w:p>
        </w:tc>
        <w:tc>
          <w:tcPr>
            <w:tcW w:w="0" w:type="dxa"/>
            <w:vAlign w:val="bottom"/>
          </w:tcPr>
          <w:p>
            <w:pPr>
              <w:spacing w:after="0"/>
              <w:rPr>
                <w:sz w:val="1"/>
                <w:szCs w:val="1"/>
                <w:color w:val="auto"/>
              </w:rPr>
            </w:pPr>
          </w:p>
        </w:tc>
      </w:tr>
      <w:tr>
        <w:trPr>
          <w:trHeight w:val="183"/>
        </w:trPr>
        <w:tc>
          <w:tcPr>
            <w:tcW w:w="8720" w:type="dxa"/>
            <w:vAlign w:val="bottom"/>
          </w:tcPr>
          <w:p>
            <w:pPr>
              <w:ind w:left="20"/>
              <w:spacing w:after="0"/>
              <w:rPr>
                <w:sz w:val="20"/>
                <w:szCs w:val="20"/>
                <w:color w:val="auto"/>
              </w:rPr>
            </w:pPr>
            <w:r>
              <w:rPr>
                <w:rFonts w:ascii="Arial" w:cs="Arial" w:eastAsia="Arial" w:hAnsi="Arial"/>
                <w:sz w:val="14"/>
                <w:szCs w:val="14"/>
                <w:color w:val="auto"/>
              </w:rPr>
              <w:t>OTHER NONCURRENT ASSETS</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Regulatory assets</w:t>
            </w:r>
          </w:p>
        </w:tc>
        <w:tc>
          <w:tcPr>
            <w:tcW w:w="130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5,472</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5,745</w:t>
            </w:r>
          </w:p>
        </w:tc>
        <w:tc>
          <w:tcPr>
            <w:tcW w:w="0" w:type="dxa"/>
            <w:vAlign w:val="bottom"/>
          </w:tcPr>
          <w:p>
            <w:pPr>
              <w:spacing w:after="0"/>
              <w:rPr>
                <w:sz w:val="1"/>
                <w:szCs w:val="1"/>
                <w:color w:val="auto"/>
              </w:rPr>
            </w:pPr>
          </w:p>
        </w:tc>
      </w:tr>
      <w:tr>
        <w:trPr>
          <w:trHeight w:val="189"/>
        </w:trPr>
        <w:tc>
          <w:tcPr>
            <w:tcW w:w="8720" w:type="dxa"/>
            <w:vAlign w:val="bottom"/>
          </w:tcPr>
          <w:p>
            <w:pPr>
              <w:ind w:left="140"/>
              <w:spacing w:after="0"/>
              <w:rPr>
                <w:sz w:val="20"/>
                <w:szCs w:val="20"/>
                <w:color w:val="auto"/>
              </w:rPr>
            </w:pPr>
            <w:r>
              <w:rPr>
                <w:rFonts w:ascii="Arial" w:cs="Arial" w:eastAsia="Arial" w:hAnsi="Arial"/>
                <w:sz w:val="14"/>
                <w:szCs w:val="14"/>
                <w:color w:val="auto"/>
              </w:rPr>
              <w:t>Operating lease right-of-use asset</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559</w:t>
            </w:r>
          </w:p>
        </w:tc>
        <w:tc>
          <w:tcPr>
            <w:tcW w:w="1200" w:type="dxa"/>
            <w:vAlign w:val="bottom"/>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89"/>
        </w:trPr>
        <w:tc>
          <w:tcPr>
            <w:tcW w:w="872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Other deferred charges and noncurrent assets</w:t>
            </w:r>
          </w:p>
        </w:tc>
        <w:tc>
          <w:tcPr>
            <w:tcW w:w="1300" w:type="dxa"/>
            <w:vAlign w:val="bottom"/>
            <w:tcBorders>
              <w:bottom w:val="single" w:sz="8" w:color="8C8272"/>
            </w:tcBorders>
            <w:shd w:val="clear" w:color="auto" w:fill="E5E5E5"/>
          </w:tcPr>
          <w:p>
            <w:pPr>
              <w:jc w:val="right"/>
              <w:ind w:right="188"/>
              <w:spacing w:after="0"/>
              <w:rPr>
                <w:sz w:val="20"/>
                <w:szCs w:val="20"/>
                <w:color w:val="auto"/>
              </w:rPr>
            </w:pPr>
            <w:r>
              <w:rPr>
                <w:rFonts w:ascii="Arial" w:cs="Arial" w:eastAsia="Arial" w:hAnsi="Arial"/>
                <w:sz w:val="14"/>
                <w:szCs w:val="14"/>
                <w:color w:val="auto"/>
              </w:rPr>
              <w:t>163</w:t>
            </w:r>
          </w:p>
        </w:tc>
        <w:tc>
          <w:tcPr>
            <w:tcW w:w="12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83"/>
        </w:trPr>
        <w:tc>
          <w:tcPr>
            <w:tcW w:w="87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TOTAL OTHER NONCURRENT ASSETS</w:t>
            </w:r>
          </w:p>
        </w:tc>
        <w:tc>
          <w:tcPr>
            <w:tcW w:w="1300" w:type="dxa"/>
            <w:vAlign w:val="bottom"/>
            <w:tcBorders>
              <w:bottom w:val="single" w:sz="8" w:color="8C8272"/>
            </w:tcBorders>
          </w:tcPr>
          <w:p>
            <w:pPr>
              <w:jc w:val="right"/>
              <w:ind w:right="188"/>
              <w:spacing w:after="0"/>
              <w:rPr>
                <w:sz w:val="20"/>
                <w:szCs w:val="20"/>
                <w:color w:val="auto"/>
              </w:rPr>
            </w:pPr>
            <w:r>
              <w:rPr>
                <w:rFonts w:ascii="Arial" w:cs="Arial" w:eastAsia="Arial" w:hAnsi="Arial"/>
                <w:sz w:val="14"/>
                <w:szCs w:val="14"/>
                <w:color w:val="auto"/>
              </w:rPr>
              <w:t>6,194</w:t>
            </w:r>
          </w:p>
        </w:tc>
        <w:tc>
          <w:tcPr>
            <w:tcW w:w="12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6,465</w:t>
            </w:r>
          </w:p>
        </w:tc>
        <w:tc>
          <w:tcPr>
            <w:tcW w:w="0" w:type="dxa"/>
            <w:vAlign w:val="bottom"/>
          </w:tcPr>
          <w:p>
            <w:pPr>
              <w:spacing w:after="0"/>
              <w:rPr>
                <w:sz w:val="1"/>
                <w:szCs w:val="1"/>
                <w:color w:val="auto"/>
              </w:rPr>
            </w:pPr>
          </w:p>
        </w:tc>
      </w:tr>
      <w:tr>
        <w:trPr>
          <w:trHeight w:val="182"/>
        </w:trPr>
        <w:tc>
          <w:tcPr>
            <w:tcW w:w="872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TOTAL ASSETS</w:t>
            </w:r>
          </w:p>
        </w:tc>
        <w:tc>
          <w:tcPr>
            <w:tcW w:w="1300" w:type="dxa"/>
            <w:vAlign w:val="bottom"/>
            <w:tcBorders>
              <w:bottom w:val="single" w:sz="8" w:color="8C8272"/>
            </w:tcBorders>
            <w:shd w:val="clear" w:color="auto" w:fill="E5E5E5"/>
          </w:tcPr>
          <w:p>
            <w:pPr>
              <w:jc w:val="right"/>
              <w:ind w:right="188"/>
              <w:spacing w:after="0"/>
              <w:rPr>
                <w:sz w:val="20"/>
                <w:szCs w:val="20"/>
                <w:color w:val="auto"/>
              </w:rPr>
            </w:pPr>
            <w:r>
              <w:rPr>
                <w:rFonts w:ascii="Arial" w:cs="Arial" w:eastAsia="Arial" w:hAnsi="Arial"/>
                <w:sz w:val="14"/>
                <w:szCs w:val="14"/>
                <w:color w:val="auto"/>
              </w:rPr>
              <w:t>$51,515</w:t>
            </w:r>
          </w:p>
        </w:tc>
        <w:tc>
          <w:tcPr>
            <w:tcW w:w="12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$50,967</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828282"/>
        </w:rPr>
        <w:t>Consolidated Edison Company of New York,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420" w:type="dxa"/>
            <w:vAlign w:val="bottom"/>
          </w:tcPr>
          <w:p>
            <w:pPr>
              <w:jc w:val="right"/>
              <w:ind w:right="188"/>
              <w:spacing w:after="0"/>
              <w:rPr>
                <w:sz w:val="20"/>
                <w:szCs w:val="20"/>
                <w:color w:val="auto"/>
              </w:rPr>
            </w:pPr>
            <w:r>
              <w:rPr>
                <w:rFonts w:ascii="Arial" w:cs="Arial" w:eastAsia="Arial" w:hAnsi="Arial"/>
                <w:sz w:val="14"/>
                <w:szCs w:val="14"/>
                <w:b w:val="1"/>
                <w:bCs w:val="1"/>
                <w:color w:val="auto"/>
              </w:rPr>
              <w:t>June 30,</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600" w:type="dxa"/>
            <w:vAlign w:val="bottom"/>
            <w:tcBorders>
              <w:bottom w:val="single" w:sz="8" w:color="8C8272"/>
            </w:tcBorders>
            <w:vMerge w:val="continue"/>
          </w:tcPr>
          <w:p>
            <w:pPr>
              <w:spacing w:after="0"/>
              <w:rPr>
                <w:sz w:val="15"/>
                <w:szCs w:val="15"/>
                <w:color w:val="auto"/>
              </w:rPr>
            </w:pPr>
          </w:p>
        </w:tc>
        <w:tc>
          <w:tcPr>
            <w:tcW w:w="1420" w:type="dxa"/>
            <w:vAlign w:val="bottom"/>
            <w:tcBorders>
              <w:bottom w:val="single" w:sz="8" w:color="8C8272"/>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600" w:type="dxa"/>
            <w:vAlign w:val="bottom"/>
          </w:tcPr>
          <w:p>
            <w:pPr>
              <w:ind w:left="20"/>
              <w:spacing w:after="0"/>
              <w:rPr>
                <w:sz w:val="20"/>
                <w:szCs w:val="20"/>
                <w:color w:val="auto"/>
              </w:rPr>
            </w:pPr>
            <w:r>
              <w:rPr>
                <w:rFonts w:ascii="Arial" w:cs="Arial" w:eastAsia="Arial" w:hAnsi="Arial"/>
                <w:sz w:val="14"/>
                <w:szCs w:val="14"/>
                <w:color w:val="auto"/>
              </w:rPr>
              <w:t>LIABILITIES AND SHAREHOLDER’S EQUITY</w:t>
            </w:r>
          </w:p>
        </w:tc>
        <w:tc>
          <w:tcPr>
            <w:tcW w:w="1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CURRENT LIABILITIES</w:t>
            </w:r>
          </w:p>
        </w:tc>
        <w:tc>
          <w:tcPr>
            <w:tcW w:w="1420" w:type="dxa"/>
            <w:vAlign w:val="bottom"/>
            <w:shd w:val="clear" w:color="auto" w:fill="E5E5E5"/>
          </w:tcPr>
          <w:p>
            <w:pPr>
              <w:spacing w:after="0"/>
              <w:rPr>
                <w:sz w:val="16"/>
                <w:szCs w:val="16"/>
                <w:color w:val="auto"/>
              </w:rPr>
            </w:pPr>
          </w:p>
        </w:tc>
        <w:tc>
          <w:tcPr>
            <w:tcW w:w="12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Arial" w:cs="Arial" w:eastAsia="Arial" w:hAnsi="Arial"/>
                <w:sz w:val="14"/>
                <w:szCs w:val="14"/>
                <w:color w:val="auto"/>
              </w:rPr>
              <w:t>Long-term debt due within one year</w:t>
            </w:r>
          </w:p>
        </w:tc>
        <w:tc>
          <w:tcPr>
            <w:tcW w:w="1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189"/>
        </w:trPr>
        <w:tc>
          <w:tcPr>
            <w:tcW w:w="86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Notes payable</w:t>
            </w:r>
          </w:p>
        </w:tc>
        <w:tc>
          <w:tcPr>
            <w:tcW w:w="142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1,000</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982</w:t>
            </w:r>
          </w:p>
        </w:tc>
        <w:tc>
          <w:tcPr>
            <w:tcW w:w="1200" w:type="dxa"/>
            <w:vAlign w:val="bottom"/>
          </w:tcPr>
          <w:p>
            <w:pPr>
              <w:jc w:val="right"/>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89"/>
        </w:trPr>
        <w:tc>
          <w:tcPr>
            <w:tcW w:w="86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Accounts payable to affiliated companies</w:t>
            </w:r>
          </w:p>
        </w:tc>
        <w:tc>
          <w:tcPr>
            <w:tcW w:w="142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19</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Arial" w:cs="Arial" w:eastAsia="Arial" w:hAnsi="Arial"/>
                <w:sz w:val="14"/>
                <w:szCs w:val="14"/>
                <w:color w:val="auto"/>
              </w:rPr>
              <w:t>Customer deposits</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274</w:t>
            </w:r>
          </w:p>
        </w:tc>
        <w:tc>
          <w:tcPr>
            <w:tcW w:w="1200" w:type="dxa"/>
            <w:vAlign w:val="bottom"/>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89"/>
        </w:trPr>
        <w:tc>
          <w:tcPr>
            <w:tcW w:w="86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Accrued taxes</w:t>
            </w:r>
          </w:p>
        </w:tc>
        <w:tc>
          <w:tcPr>
            <w:tcW w:w="142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101</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Arial" w:cs="Arial" w:eastAsia="Arial" w:hAnsi="Arial"/>
                <w:sz w:val="14"/>
                <w:szCs w:val="14"/>
                <w:color w:val="auto"/>
              </w:rPr>
              <w:t>Accrued taxes to affiliated companies</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1</w:t>
            </w: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86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Accrued interest</w:t>
            </w:r>
          </w:p>
        </w:tc>
        <w:tc>
          <w:tcPr>
            <w:tcW w:w="142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127</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Arial" w:cs="Arial" w:eastAsia="Arial" w:hAnsi="Arial"/>
                <w:sz w:val="14"/>
                <w:szCs w:val="14"/>
                <w:color w:val="auto"/>
              </w:rPr>
              <w:t>Accrued wages</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100</w:t>
            </w:r>
          </w:p>
        </w:tc>
        <w:tc>
          <w:tcPr>
            <w:tcW w:w="120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9"/>
        </w:trPr>
        <w:tc>
          <w:tcPr>
            <w:tcW w:w="86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Fair value of derivative liabilities</w:t>
            </w:r>
          </w:p>
        </w:tc>
        <w:tc>
          <w:tcPr>
            <w:tcW w:w="142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129</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Arial" w:cs="Arial" w:eastAsia="Arial" w:hAnsi="Arial"/>
                <w:sz w:val="14"/>
                <w:szCs w:val="14"/>
                <w:color w:val="auto"/>
              </w:rPr>
              <w:t>Regulatory liabilities</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148</w:t>
            </w:r>
          </w:p>
        </w:tc>
        <w:tc>
          <w:tcPr>
            <w:tcW w:w="120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86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System benefit charge</w:t>
            </w:r>
          </w:p>
        </w:tc>
        <w:tc>
          <w:tcPr>
            <w:tcW w:w="142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384</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Arial" w:cs="Arial" w:eastAsia="Arial" w:hAnsi="Arial"/>
                <w:sz w:val="14"/>
                <w:szCs w:val="14"/>
                <w:color w:val="auto"/>
              </w:rPr>
              <w:t>Operating lease liabilities</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82</w:t>
            </w:r>
          </w:p>
        </w:tc>
        <w:tc>
          <w:tcPr>
            <w:tcW w:w="120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860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Other current liabilities</w:t>
            </w:r>
          </w:p>
        </w:tc>
        <w:tc>
          <w:tcPr>
            <w:tcW w:w="1420" w:type="dxa"/>
            <w:vAlign w:val="bottom"/>
            <w:tcBorders>
              <w:bottom w:val="single" w:sz="8" w:color="8C8272"/>
            </w:tcBorders>
            <w:shd w:val="clear" w:color="auto" w:fill="E5E5E5"/>
          </w:tcPr>
          <w:p>
            <w:pPr>
              <w:jc w:val="right"/>
              <w:ind w:right="188"/>
              <w:spacing w:after="0"/>
              <w:rPr>
                <w:sz w:val="20"/>
                <w:szCs w:val="20"/>
                <w:color w:val="auto"/>
              </w:rPr>
            </w:pPr>
            <w:r>
              <w:rPr>
                <w:rFonts w:ascii="Arial" w:cs="Arial" w:eastAsia="Arial" w:hAnsi="Arial"/>
                <w:sz w:val="14"/>
                <w:szCs w:val="14"/>
                <w:color w:val="auto"/>
              </w:rPr>
              <w:t>297</w:t>
            </w:r>
          </w:p>
        </w:tc>
        <w:tc>
          <w:tcPr>
            <w:tcW w:w="12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83"/>
        </w:trPr>
        <w:tc>
          <w:tcPr>
            <w:tcW w:w="860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TOTAL CURRENT LIABILITIES</w:t>
            </w:r>
          </w:p>
        </w:tc>
        <w:tc>
          <w:tcPr>
            <w:tcW w:w="1420" w:type="dxa"/>
            <w:vAlign w:val="bottom"/>
            <w:tcBorders>
              <w:bottom w:val="single" w:sz="8" w:color="8C8272"/>
            </w:tcBorders>
          </w:tcPr>
          <w:p>
            <w:pPr>
              <w:jc w:val="right"/>
              <w:ind w:right="188"/>
              <w:spacing w:after="0"/>
              <w:rPr>
                <w:sz w:val="20"/>
                <w:szCs w:val="20"/>
                <w:color w:val="auto"/>
              </w:rPr>
            </w:pPr>
            <w:r>
              <w:rPr>
                <w:rFonts w:ascii="Arial" w:cs="Arial" w:eastAsia="Arial" w:hAnsi="Arial"/>
                <w:sz w:val="14"/>
                <w:szCs w:val="14"/>
                <w:color w:val="auto"/>
              </w:rPr>
              <w:t>3,644</w:t>
            </w:r>
          </w:p>
        </w:tc>
        <w:tc>
          <w:tcPr>
            <w:tcW w:w="12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5,247</w:t>
            </w:r>
          </w:p>
        </w:tc>
        <w:tc>
          <w:tcPr>
            <w:tcW w:w="0" w:type="dxa"/>
            <w:vAlign w:val="bottom"/>
          </w:tcPr>
          <w:p>
            <w:pPr>
              <w:spacing w:after="0"/>
              <w:rPr>
                <w:sz w:val="1"/>
                <w:szCs w:val="1"/>
                <w:color w:val="auto"/>
              </w:rPr>
            </w:pPr>
          </w:p>
        </w:tc>
      </w:tr>
      <w:tr>
        <w:trPr>
          <w:trHeight w:val="183"/>
        </w:trPr>
        <w:tc>
          <w:tcPr>
            <w:tcW w:w="8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NONCURRENT LIABILITIES</w:t>
            </w:r>
          </w:p>
        </w:tc>
        <w:tc>
          <w:tcPr>
            <w:tcW w:w="1420" w:type="dxa"/>
            <w:vAlign w:val="bottom"/>
            <w:shd w:val="clear" w:color="auto" w:fill="E5E5E5"/>
          </w:tcPr>
          <w:p>
            <w:pPr>
              <w:spacing w:after="0"/>
              <w:rPr>
                <w:sz w:val="15"/>
                <w:szCs w:val="15"/>
                <w:color w:val="auto"/>
              </w:rPr>
            </w:pPr>
          </w:p>
        </w:tc>
        <w:tc>
          <w:tcPr>
            <w:tcW w:w="12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Arial" w:cs="Arial" w:eastAsia="Arial" w:hAnsi="Arial"/>
                <w:sz w:val="14"/>
                <w:szCs w:val="14"/>
                <w:color w:val="auto"/>
              </w:rPr>
              <w:t>Provision for injuries and damages</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164</w:t>
            </w:r>
          </w:p>
        </w:tc>
        <w:tc>
          <w:tcPr>
            <w:tcW w:w="120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9"/>
        </w:trPr>
        <w:tc>
          <w:tcPr>
            <w:tcW w:w="86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Pensions and retiree benefits</w:t>
            </w:r>
          </w:p>
        </w:tc>
        <w:tc>
          <w:tcPr>
            <w:tcW w:w="142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1,634</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1,943</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Arial" w:cs="Arial" w:eastAsia="Arial" w:hAnsi="Arial"/>
                <w:sz w:val="14"/>
                <w:szCs w:val="14"/>
                <w:color w:val="auto"/>
              </w:rPr>
              <w:t>Superfund and other environmental costs</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770</w:t>
            </w:r>
          </w:p>
        </w:tc>
        <w:tc>
          <w:tcPr>
            <w:tcW w:w="1200" w:type="dxa"/>
            <w:vAlign w:val="bottom"/>
          </w:tcPr>
          <w:p>
            <w:pPr>
              <w:jc w:val="right"/>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189"/>
        </w:trPr>
        <w:tc>
          <w:tcPr>
            <w:tcW w:w="86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Asset retirement obligations</w:t>
            </w:r>
          </w:p>
        </w:tc>
        <w:tc>
          <w:tcPr>
            <w:tcW w:w="142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525</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Arial" w:cs="Arial" w:eastAsia="Arial" w:hAnsi="Arial"/>
                <w:sz w:val="14"/>
                <w:szCs w:val="14"/>
                <w:color w:val="auto"/>
              </w:rPr>
              <w:t>Fair value of derivative liabilities</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54</w:t>
            </w:r>
          </w:p>
        </w:tc>
        <w:tc>
          <w:tcPr>
            <w:tcW w:w="120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9"/>
        </w:trPr>
        <w:tc>
          <w:tcPr>
            <w:tcW w:w="86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Deferred income taxes and unamortized investment tax credits</w:t>
            </w:r>
          </w:p>
        </w:tc>
        <w:tc>
          <w:tcPr>
            <w:tcW w:w="142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6,548</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6,411</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Arial" w:cs="Arial" w:eastAsia="Arial" w:hAnsi="Arial"/>
                <w:sz w:val="14"/>
                <w:szCs w:val="14"/>
                <w:color w:val="auto"/>
              </w:rPr>
              <w:t>Operating lease liabilities</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507</w:t>
            </w:r>
          </w:p>
        </w:tc>
        <w:tc>
          <w:tcPr>
            <w:tcW w:w="1200" w:type="dxa"/>
            <w:vAlign w:val="bottom"/>
          </w:tcPr>
          <w:p>
            <w:pPr>
              <w:jc w:val="right"/>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89"/>
        </w:trPr>
        <w:tc>
          <w:tcPr>
            <w:tcW w:w="86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Regulatory liabilities</w:t>
            </w:r>
          </w:p>
        </w:tc>
        <w:tc>
          <w:tcPr>
            <w:tcW w:w="142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3,949</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4,094</w:t>
            </w:r>
          </w:p>
        </w:tc>
        <w:tc>
          <w:tcPr>
            <w:tcW w:w="0" w:type="dxa"/>
            <w:vAlign w:val="bottom"/>
          </w:tcPr>
          <w:p>
            <w:pPr>
              <w:spacing w:after="0"/>
              <w:rPr>
                <w:sz w:val="1"/>
                <w:szCs w:val="1"/>
                <w:color w:val="auto"/>
              </w:rPr>
            </w:pPr>
          </w:p>
        </w:tc>
      </w:tr>
      <w:tr>
        <w:trPr>
          <w:trHeight w:val="189"/>
        </w:trPr>
        <w:tc>
          <w:tcPr>
            <w:tcW w:w="8600" w:type="dxa"/>
            <w:vAlign w:val="bottom"/>
            <w:tcBorders>
              <w:bottom w:val="single" w:sz="8" w:color="8C8272"/>
            </w:tcBorders>
          </w:tcPr>
          <w:p>
            <w:pPr>
              <w:ind w:left="140"/>
              <w:spacing w:after="0"/>
              <w:rPr>
                <w:sz w:val="20"/>
                <w:szCs w:val="20"/>
                <w:color w:val="auto"/>
              </w:rPr>
            </w:pPr>
            <w:r>
              <w:rPr>
                <w:rFonts w:ascii="Arial" w:cs="Arial" w:eastAsia="Arial" w:hAnsi="Arial"/>
                <w:sz w:val="14"/>
                <w:szCs w:val="14"/>
                <w:color w:val="auto"/>
              </w:rPr>
              <w:t>Other deferred credits and noncurrent liabilities</w:t>
            </w:r>
          </w:p>
        </w:tc>
        <w:tc>
          <w:tcPr>
            <w:tcW w:w="1420" w:type="dxa"/>
            <w:vAlign w:val="bottom"/>
            <w:tcBorders>
              <w:bottom w:val="single" w:sz="8" w:color="8C8272"/>
            </w:tcBorders>
          </w:tcPr>
          <w:p>
            <w:pPr>
              <w:jc w:val="right"/>
              <w:ind w:right="188"/>
              <w:spacing w:after="0"/>
              <w:rPr>
                <w:sz w:val="20"/>
                <w:szCs w:val="20"/>
                <w:color w:val="auto"/>
              </w:rPr>
            </w:pPr>
            <w:r>
              <w:rPr>
                <w:rFonts w:ascii="Arial" w:cs="Arial" w:eastAsia="Arial" w:hAnsi="Arial"/>
                <w:sz w:val="14"/>
                <w:szCs w:val="14"/>
                <w:color w:val="auto"/>
              </w:rPr>
              <w:t>161</w:t>
            </w:r>
          </w:p>
        </w:tc>
        <w:tc>
          <w:tcPr>
            <w:tcW w:w="12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83"/>
        </w:trPr>
        <w:tc>
          <w:tcPr>
            <w:tcW w:w="860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TOTAL NONCURRENT LIABILITIES</w:t>
            </w:r>
          </w:p>
        </w:tc>
        <w:tc>
          <w:tcPr>
            <w:tcW w:w="1420" w:type="dxa"/>
            <w:vAlign w:val="bottom"/>
            <w:tcBorders>
              <w:bottom w:val="single" w:sz="8" w:color="8C8272"/>
            </w:tcBorders>
            <w:shd w:val="clear" w:color="auto" w:fill="E5E5E5"/>
          </w:tcPr>
          <w:p>
            <w:pPr>
              <w:jc w:val="right"/>
              <w:ind w:right="188"/>
              <w:spacing w:after="0"/>
              <w:rPr>
                <w:sz w:val="20"/>
                <w:szCs w:val="20"/>
                <w:color w:val="auto"/>
              </w:rPr>
            </w:pPr>
            <w:r>
              <w:rPr>
                <w:rFonts w:ascii="Arial" w:cs="Arial" w:eastAsia="Arial" w:hAnsi="Arial"/>
                <w:sz w:val="14"/>
                <w:szCs w:val="14"/>
                <w:color w:val="auto"/>
              </w:rPr>
              <w:t>14,312</w:t>
            </w:r>
          </w:p>
        </w:tc>
        <w:tc>
          <w:tcPr>
            <w:tcW w:w="12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14,722</w:t>
            </w:r>
          </w:p>
        </w:tc>
        <w:tc>
          <w:tcPr>
            <w:tcW w:w="0" w:type="dxa"/>
            <w:vAlign w:val="bottom"/>
          </w:tcPr>
          <w:p>
            <w:pPr>
              <w:spacing w:after="0"/>
              <w:rPr>
                <w:sz w:val="1"/>
                <w:szCs w:val="1"/>
                <w:color w:val="auto"/>
              </w:rPr>
            </w:pPr>
          </w:p>
        </w:tc>
      </w:tr>
      <w:tr>
        <w:trPr>
          <w:trHeight w:val="183"/>
        </w:trPr>
        <w:tc>
          <w:tcPr>
            <w:tcW w:w="860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LONG-TERM DEBT</w:t>
            </w:r>
          </w:p>
        </w:tc>
        <w:tc>
          <w:tcPr>
            <w:tcW w:w="1420" w:type="dxa"/>
            <w:vAlign w:val="bottom"/>
            <w:tcBorders>
              <w:bottom w:val="single" w:sz="8" w:color="8C8272"/>
            </w:tcBorders>
          </w:tcPr>
          <w:p>
            <w:pPr>
              <w:jc w:val="right"/>
              <w:ind w:right="188"/>
              <w:spacing w:after="0"/>
              <w:rPr>
                <w:sz w:val="20"/>
                <w:szCs w:val="20"/>
                <w:color w:val="auto"/>
              </w:rPr>
            </w:pPr>
            <w:r>
              <w:rPr>
                <w:rFonts w:ascii="Arial" w:cs="Arial" w:eastAsia="Arial" w:hAnsi="Arial"/>
                <w:sz w:val="14"/>
                <w:szCs w:val="14"/>
                <w:color w:val="auto"/>
              </w:rPr>
              <w:t>17,635</w:t>
            </w:r>
          </w:p>
        </w:tc>
        <w:tc>
          <w:tcPr>
            <w:tcW w:w="12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16,149</w:t>
            </w:r>
          </w:p>
        </w:tc>
        <w:tc>
          <w:tcPr>
            <w:tcW w:w="0" w:type="dxa"/>
            <w:vAlign w:val="bottom"/>
          </w:tcPr>
          <w:p>
            <w:pPr>
              <w:spacing w:after="0"/>
              <w:rPr>
                <w:sz w:val="1"/>
                <w:szCs w:val="1"/>
                <w:color w:val="auto"/>
              </w:rPr>
            </w:pPr>
          </w:p>
        </w:tc>
      </w:tr>
      <w:tr>
        <w:trPr>
          <w:trHeight w:val="183"/>
        </w:trPr>
        <w:tc>
          <w:tcPr>
            <w:tcW w:w="860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COMMITMENTS AND CONTINGENCIES (Note B, Note G and Note H)</w:t>
            </w:r>
          </w:p>
        </w:tc>
        <w:tc>
          <w:tcPr>
            <w:tcW w:w="1420" w:type="dxa"/>
            <w:vAlign w:val="bottom"/>
            <w:tcBorders>
              <w:bottom w:val="single" w:sz="8" w:color="8C8272"/>
            </w:tcBorders>
            <w:shd w:val="clear" w:color="auto" w:fill="E5E5E5"/>
          </w:tcPr>
          <w:p>
            <w:pPr>
              <w:spacing w:after="0"/>
              <w:rPr>
                <w:sz w:val="15"/>
                <w:szCs w:val="15"/>
                <w:color w:val="auto"/>
              </w:rPr>
            </w:pPr>
          </w:p>
        </w:tc>
        <w:tc>
          <w:tcPr>
            <w:tcW w:w="1200" w:type="dxa"/>
            <w:vAlign w:val="bottom"/>
            <w:tcBorders>
              <w:bottom w:val="single" w:sz="8" w:color="8C8272"/>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SHAREHOLDER’S EQUITY (See Statement of Shareholder’s Equity)</w:t>
            </w:r>
          </w:p>
        </w:tc>
        <w:tc>
          <w:tcPr>
            <w:tcW w:w="1420" w:type="dxa"/>
            <w:vAlign w:val="bottom"/>
            <w:tcBorders>
              <w:bottom w:val="single" w:sz="8" w:color="8C8272"/>
            </w:tcBorders>
          </w:tcPr>
          <w:p>
            <w:pPr>
              <w:jc w:val="right"/>
              <w:ind w:right="188"/>
              <w:spacing w:after="0"/>
              <w:rPr>
                <w:sz w:val="20"/>
                <w:szCs w:val="20"/>
                <w:color w:val="auto"/>
              </w:rPr>
            </w:pPr>
            <w:r>
              <w:rPr>
                <w:rFonts w:ascii="Arial" w:cs="Arial" w:eastAsia="Arial" w:hAnsi="Arial"/>
                <w:sz w:val="14"/>
                <w:szCs w:val="14"/>
                <w:color w:val="auto"/>
              </w:rPr>
              <w:t>15,924</w:t>
            </w:r>
          </w:p>
        </w:tc>
        <w:tc>
          <w:tcPr>
            <w:tcW w:w="12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14,849</w:t>
            </w:r>
          </w:p>
        </w:tc>
        <w:tc>
          <w:tcPr>
            <w:tcW w:w="0" w:type="dxa"/>
            <w:vAlign w:val="bottom"/>
          </w:tcPr>
          <w:p>
            <w:pPr>
              <w:spacing w:after="0"/>
              <w:rPr>
                <w:sz w:val="1"/>
                <w:szCs w:val="1"/>
                <w:color w:val="auto"/>
              </w:rPr>
            </w:pPr>
          </w:p>
        </w:tc>
      </w:tr>
      <w:tr>
        <w:trPr>
          <w:trHeight w:val="183"/>
        </w:trPr>
        <w:tc>
          <w:tcPr>
            <w:tcW w:w="860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TOTAL LIABILITIES AND SHAREHOLDER’S EQUITY</w:t>
            </w:r>
          </w:p>
        </w:tc>
        <w:tc>
          <w:tcPr>
            <w:tcW w:w="1420" w:type="dxa"/>
            <w:vAlign w:val="bottom"/>
            <w:tcBorders>
              <w:bottom w:val="single" w:sz="8" w:color="8C8272"/>
            </w:tcBorders>
            <w:shd w:val="clear" w:color="auto" w:fill="E5E5E5"/>
          </w:tcPr>
          <w:p>
            <w:pPr>
              <w:jc w:val="right"/>
              <w:ind w:right="188"/>
              <w:spacing w:after="0"/>
              <w:rPr>
                <w:sz w:val="20"/>
                <w:szCs w:val="20"/>
                <w:color w:val="auto"/>
              </w:rPr>
            </w:pPr>
            <w:r>
              <w:rPr>
                <w:rFonts w:ascii="Arial" w:cs="Arial" w:eastAsia="Arial" w:hAnsi="Arial"/>
                <w:sz w:val="14"/>
                <w:szCs w:val="14"/>
                <w:color w:val="auto"/>
              </w:rPr>
              <w:t>$51,515</w:t>
            </w:r>
          </w:p>
        </w:tc>
        <w:tc>
          <w:tcPr>
            <w:tcW w:w="12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$50,967</w:t>
            </w:r>
          </w:p>
        </w:tc>
        <w:tc>
          <w:tcPr>
            <w:tcW w:w="0" w:type="dxa"/>
            <w:vAlign w:val="bottom"/>
          </w:tcPr>
          <w:p>
            <w:pPr>
              <w:spacing w:after="0"/>
              <w:rPr>
                <w:sz w:val="1"/>
                <w:szCs w:val="1"/>
                <w:color w:val="auto"/>
              </w:rPr>
            </w:pPr>
          </w:p>
        </w:tc>
      </w:tr>
      <w:tr>
        <w:trPr>
          <w:trHeight w:val="387"/>
        </w:trPr>
        <w:tc>
          <w:tcPr>
            <w:tcW w:w="8600" w:type="dxa"/>
            <w:vAlign w:val="bottom"/>
          </w:tcPr>
          <w:p>
            <w:pPr>
              <w:ind w:left="3240"/>
              <w:spacing w:after="0"/>
              <w:rPr>
                <w:sz w:val="20"/>
                <w:szCs w:val="20"/>
                <w:color w:val="auto"/>
              </w:rPr>
            </w:pPr>
            <w:r>
              <w:rPr>
                <w:rFonts w:ascii="Arial" w:cs="Arial" w:eastAsia="Arial" w:hAnsi="Arial"/>
                <w:sz w:val="14"/>
                <w:szCs w:val="14"/>
                <w:color w:val="auto"/>
              </w:rPr>
              <w:t>The accompanying notes are an integral part of these financial statements.</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828282"/>
        </w:rPr>
        <w:t>Consolidated Edison Company of New York,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 OF SHAREHOLDER’S EQUITY (UNAUDITED)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00" w:type="dxa"/>
            <w:vAlign w:val="bottom"/>
          </w:tcPr>
          <w:p>
            <w:pPr>
              <w:spacing w:after="0"/>
              <w:rPr>
                <w:sz w:val="15"/>
                <w:szCs w:val="15"/>
                <w:color w:val="auto"/>
              </w:rPr>
            </w:pPr>
          </w:p>
        </w:tc>
        <w:tc>
          <w:tcPr>
            <w:tcW w:w="15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jc w:val="center"/>
              <w:ind w:right="129"/>
              <w:spacing w:after="0"/>
              <w:rPr>
                <w:sz w:val="20"/>
                <w:szCs w:val="20"/>
                <w:color w:val="auto"/>
              </w:rPr>
            </w:pPr>
            <w:r>
              <w:rPr>
                <w:rFonts w:ascii="Arial" w:cs="Arial" w:eastAsia="Arial" w:hAnsi="Arial"/>
                <w:sz w:val="14"/>
                <w:szCs w:val="14"/>
                <w:b w:val="1"/>
                <w:bCs w:val="1"/>
                <w:color w:val="auto"/>
              </w:rPr>
              <w:t>Accumulated</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3300" w:type="dxa"/>
            <w:vAlign w:val="bottom"/>
          </w:tcPr>
          <w:p>
            <w:pPr>
              <w:spacing w:after="0"/>
              <w:rPr>
                <w:sz w:val="3"/>
                <w:szCs w:val="3"/>
                <w:color w:val="auto"/>
              </w:rPr>
            </w:pPr>
          </w:p>
        </w:tc>
        <w:tc>
          <w:tcPr>
            <w:tcW w:w="780" w:type="dxa"/>
            <w:vAlign w:val="bottom"/>
            <w:tcBorders>
              <w:bottom w:val="single" w:sz="8" w:color="8C8272"/>
            </w:tcBorders>
          </w:tcPr>
          <w:p>
            <w:pPr>
              <w:spacing w:after="0"/>
              <w:rPr>
                <w:sz w:val="3"/>
                <w:szCs w:val="3"/>
                <w:color w:val="auto"/>
              </w:rPr>
            </w:pPr>
          </w:p>
        </w:tc>
        <w:tc>
          <w:tcPr>
            <w:tcW w:w="740" w:type="dxa"/>
            <w:vAlign w:val="bottom"/>
            <w:tcBorders>
              <w:bottom w:val="single" w:sz="8" w:color="8C8272"/>
            </w:tcBorders>
          </w:tcPr>
          <w:p>
            <w:pPr>
              <w:spacing w:after="0"/>
              <w:rPr>
                <w:sz w:val="3"/>
                <w:szCs w:val="3"/>
                <w:color w:val="auto"/>
              </w:rPr>
            </w:pPr>
          </w:p>
        </w:tc>
        <w:tc>
          <w:tcPr>
            <w:tcW w:w="1060" w:type="dxa"/>
            <w:vAlign w:val="bottom"/>
            <w:vMerge w:val="restart"/>
          </w:tcPr>
          <w:p>
            <w:pPr>
              <w:jc w:val="right"/>
              <w:ind w:right="149"/>
              <w:spacing w:after="0" w:line="108" w:lineRule="exact"/>
              <w:rPr>
                <w:sz w:val="20"/>
                <w:szCs w:val="20"/>
                <w:color w:val="auto"/>
              </w:rPr>
            </w:pPr>
            <w:r>
              <w:rPr>
                <w:rFonts w:ascii="Arial" w:cs="Arial" w:eastAsia="Arial" w:hAnsi="Arial"/>
                <w:sz w:val="12"/>
                <w:szCs w:val="12"/>
                <w:b w:val="1"/>
                <w:bCs w:val="1"/>
                <w:color w:val="auto"/>
              </w:rPr>
              <w:t>Additional</w:t>
            </w:r>
          </w:p>
        </w:tc>
        <w:tc>
          <w:tcPr>
            <w:tcW w:w="9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Retained</w:t>
            </w:r>
          </w:p>
        </w:tc>
        <w:tc>
          <w:tcPr>
            <w:tcW w:w="1220" w:type="dxa"/>
            <w:vAlign w:val="bottom"/>
            <w:vMerge w:val="restart"/>
          </w:tcPr>
          <w:p>
            <w:pPr>
              <w:jc w:val="center"/>
              <w:ind w:right="69"/>
              <w:spacing w:after="0" w:line="108" w:lineRule="exact"/>
              <w:rPr>
                <w:sz w:val="20"/>
                <w:szCs w:val="20"/>
                <w:color w:val="auto"/>
              </w:rPr>
            </w:pPr>
            <w:r>
              <w:rPr>
                <w:rFonts w:ascii="Arial" w:cs="Arial" w:eastAsia="Arial" w:hAnsi="Arial"/>
                <w:sz w:val="12"/>
                <w:szCs w:val="12"/>
                <w:b w:val="1"/>
                <w:bCs w:val="1"/>
                <w:color w:val="auto"/>
              </w:rPr>
              <w:t>Repurchased</w:t>
            </w:r>
          </w:p>
        </w:tc>
        <w:tc>
          <w:tcPr>
            <w:tcW w:w="940" w:type="dxa"/>
            <w:vAlign w:val="bottom"/>
            <w:vMerge w:val="restart"/>
          </w:tcPr>
          <w:p>
            <w:pPr>
              <w:jc w:val="center"/>
              <w:ind w:right="69"/>
              <w:spacing w:after="0" w:line="108" w:lineRule="exact"/>
              <w:rPr>
                <w:sz w:val="20"/>
                <w:szCs w:val="20"/>
                <w:color w:val="auto"/>
              </w:rPr>
            </w:pPr>
            <w:r>
              <w:rPr>
                <w:rFonts w:ascii="Arial" w:cs="Arial" w:eastAsia="Arial" w:hAnsi="Arial"/>
                <w:sz w:val="12"/>
                <w:szCs w:val="12"/>
                <w:b w:val="1"/>
                <w:bCs w:val="1"/>
                <w:color w:val="auto"/>
              </w:rPr>
              <w:t>Capital</w:t>
            </w:r>
          </w:p>
        </w:tc>
        <w:tc>
          <w:tcPr>
            <w:tcW w:w="1500" w:type="dxa"/>
            <w:vAlign w:val="bottom"/>
            <w:vMerge w:val="restart"/>
          </w:tcPr>
          <w:p>
            <w:pPr>
              <w:jc w:val="center"/>
              <w:ind w:right="129"/>
              <w:spacing w:after="0" w:line="108" w:lineRule="exact"/>
              <w:rPr>
                <w:sz w:val="20"/>
                <w:szCs w:val="20"/>
                <w:color w:val="auto"/>
              </w:rPr>
            </w:pPr>
            <w:r>
              <w:rPr>
                <w:rFonts w:ascii="Arial" w:cs="Arial" w:eastAsia="Arial" w:hAnsi="Arial"/>
                <w:sz w:val="12"/>
                <w:szCs w:val="12"/>
                <w:b w:val="1"/>
                <w:bCs w:val="1"/>
                <w:color w:val="auto"/>
              </w:rPr>
              <w:t>Other</w:t>
            </w: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
        </w:trPr>
        <w:tc>
          <w:tcPr>
            <w:tcW w:w="3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3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060" w:type="dxa"/>
            <w:vAlign w:val="bottom"/>
          </w:tcPr>
          <w:p>
            <w:pPr>
              <w:jc w:val="right"/>
              <w:ind w:right="249"/>
              <w:spacing w:after="0" w:line="135" w:lineRule="exact"/>
              <w:rPr>
                <w:sz w:val="20"/>
                <w:szCs w:val="20"/>
                <w:color w:val="auto"/>
              </w:rPr>
            </w:pPr>
            <w:r>
              <w:rPr>
                <w:rFonts w:ascii="Arial" w:cs="Arial" w:eastAsia="Arial" w:hAnsi="Arial"/>
                <w:sz w:val="14"/>
                <w:szCs w:val="14"/>
                <w:b w:val="1"/>
                <w:bCs w:val="1"/>
                <w:color w:val="auto"/>
              </w:rPr>
              <w:t>Paid-In</w:t>
            </w:r>
          </w:p>
        </w:tc>
        <w:tc>
          <w:tcPr>
            <w:tcW w:w="920" w:type="dxa"/>
            <w:vAlign w:val="bottom"/>
            <w:vMerge w:val="continue"/>
          </w:tcPr>
          <w:p>
            <w:pPr>
              <w:spacing w:after="0"/>
              <w:rPr>
                <w:sz w:val="11"/>
                <w:szCs w:val="11"/>
                <w:color w:val="auto"/>
              </w:rPr>
            </w:pPr>
          </w:p>
        </w:tc>
        <w:tc>
          <w:tcPr>
            <w:tcW w:w="1220" w:type="dxa"/>
            <w:vAlign w:val="bottom"/>
          </w:tcPr>
          <w:p>
            <w:pPr>
              <w:jc w:val="center"/>
              <w:ind w:right="69"/>
              <w:spacing w:after="0" w:line="135" w:lineRule="exact"/>
              <w:rPr>
                <w:sz w:val="20"/>
                <w:szCs w:val="20"/>
                <w:color w:val="auto"/>
              </w:rPr>
            </w:pPr>
            <w:r>
              <w:rPr>
                <w:rFonts w:ascii="Arial" w:cs="Arial" w:eastAsia="Arial" w:hAnsi="Arial"/>
                <w:sz w:val="14"/>
                <w:szCs w:val="14"/>
                <w:b w:val="1"/>
                <w:bCs w:val="1"/>
                <w:color w:val="auto"/>
              </w:rPr>
              <w:t>Con Edison</w:t>
            </w:r>
          </w:p>
        </w:tc>
        <w:tc>
          <w:tcPr>
            <w:tcW w:w="940" w:type="dxa"/>
            <w:vAlign w:val="bottom"/>
          </w:tcPr>
          <w:p>
            <w:pPr>
              <w:jc w:val="center"/>
              <w:ind w:right="89"/>
              <w:spacing w:after="0" w:line="135" w:lineRule="exact"/>
              <w:rPr>
                <w:sz w:val="20"/>
                <w:szCs w:val="20"/>
                <w:color w:val="auto"/>
              </w:rPr>
            </w:pPr>
            <w:r>
              <w:rPr>
                <w:rFonts w:ascii="Arial" w:cs="Arial" w:eastAsia="Arial" w:hAnsi="Arial"/>
                <w:sz w:val="14"/>
                <w:szCs w:val="14"/>
                <w:b w:val="1"/>
                <w:bCs w:val="1"/>
                <w:color w:val="auto"/>
                <w:w w:val="99"/>
              </w:rPr>
              <w:t>Stock</w:t>
            </w:r>
          </w:p>
        </w:tc>
        <w:tc>
          <w:tcPr>
            <w:tcW w:w="1500" w:type="dxa"/>
            <w:vAlign w:val="bottom"/>
          </w:tcPr>
          <w:p>
            <w:pPr>
              <w:jc w:val="center"/>
              <w:ind w:right="149"/>
              <w:spacing w:after="0" w:line="135" w:lineRule="exact"/>
              <w:rPr>
                <w:sz w:val="20"/>
                <w:szCs w:val="20"/>
                <w:color w:val="auto"/>
              </w:rPr>
            </w:pPr>
            <w:r>
              <w:rPr>
                <w:rFonts w:ascii="Arial" w:cs="Arial" w:eastAsia="Arial" w:hAnsi="Arial"/>
                <w:sz w:val="14"/>
                <w:szCs w:val="14"/>
                <w:b w:val="1"/>
                <w:bCs w:val="1"/>
                <w:color w:val="auto"/>
              </w:rPr>
              <w:t>Comprehensive</w:t>
            </w:r>
          </w:p>
        </w:tc>
        <w:tc>
          <w:tcPr>
            <w:tcW w:w="7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00" w:type="dxa"/>
            <w:vAlign w:val="bottom"/>
            <w:tcBorders>
              <w:bottom w:val="single" w:sz="8" w:color="8C8272"/>
            </w:tcBorders>
            <w:vMerge w:val="continue"/>
          </w:tcPr>
          <w:p>
            <w:pPr>
              <w:spacing w:after="0"/>
              <w:rPr>
                <w:sz w:val="15"/>
                <w:szCs w:val="15"/>
                <w:color w:val="auto"/>
              </w:rPr>
            </w:pPr>
          </w:p>
        </w:tc>
        <w:tc>
          <w:tcPr>
            <w:tcW w:w="780" w:type="dxa"/>
            <w:vAlign w:val="bottom"/>
            <w:tcBorders>
              <w:bottom w:val="single" w:sz="8" w:color="8C8272"/>
            </w:tcBorders>
            <w:vMerge w:val="continue"/>
          </w:tcPr>
          <w:p>
            <w:pPr>
              <w:spacing w:after="0"/>
              <w:rPr>
                <w:sz w:val="15"/>
                <w:szCs w:val="15"/>
                <w:color w:val="auto"/>
              </w:rPr>
            </w:pPr>
          </w:p>
        </w:tc>
        <w:tc>
          <w:tcPr>
            <w:tcW w:w="740" w:type="dxa"/>
            <w:vAlign w:val="bottom"/>
            <w:tcBorders>
              <w:bottom w:val="single" w:sz="8" w:color="8C8272"/>
            </w:tcBorders>
            <w:vMerge w:val="continue"/>
          </w:tcPr>
          <w:p>
            <w:pPr>
              <w:spacing w:after="0"/>
              <w:rPr>
                <w:sz w:val="15"/>
                <w:szCs w:val="15"/>
                <w:color w:val="auto"/>
              </w:rPr>
            </w:pPr>
          </w:p>
        </w:tc>
        <w:tc>
          <w:tcPr>
            <w:tcW w:w="1060" w:type="dxa"/>
            <w:vAlign w:val="bottom"/>
            <w:tcBorders>
              <w:bottom w:val="single" w:sz="8" w:color="8C8272"/>
            </w:tcBorders>
          </w:tcPr>
          <w:p>
            <w:pPr>
              <w:jc w:val="right"/>
              <w:ind w:right="249"/>
              <w:spacing w:after="0"/>
              <w:rPr>
                <w:sz w:val="20"/>
                <w:szCs w:val="20"/>
                <w:color w:val="auto"/>
              </w:rPr>
            </w:pPr>
            <w:r>
              <w:rPr>
                <w:rFonts w:ascii="Arial" w:cs="Arial" w:eastAsia="Arial" w:hAnsi="Arial"/>
                <w:sz w:val="14"/>
                <w:szCs w:val="14"/>
                <w:b w:val="1"/>
                <w:bCs w:val="1"/>
                <w:color w:val="auto"/>
              </w:rPr>
              <w:t>Capital</w:t>
            </w:r>
          </w:p>
        </w:tc>
        <w:tc>
          <w:tcPr>
            <w:tcW w:w="920" w:type="dxa"/>
            <w:vAlign w:val="bottom"/>
            <w:tcBorders>
              <w:bottom w:val="single" w:sz="8" w:color="8C8272"/>
            </w:tcBorders>
          </w:tcPr>
          <w:p>
            <w:pPr>
              <w:jc w:val="right"/>
              <w:ind w:right="148"/>
              <w:spacing w:after="0"/>
              <w:rPr>
                <w:sz w:val="20"/>
                <w:szCs w:val="20"/>
                <w:color w:val="auto"/>
              </w:rPr>
            </w:pPr>
            <w:r>
              <w:rPr>
                <w:rFonts w:ascii="Arial" w:cs="Arial" w:eastAsia="Arial" w:hAnsi="Arial"/>
                <w:sz w:val="14"/>
                <w:szCs w:val="14"/>
                <w:b w:val="1"/>
                <w:bCs w:val="1"/>
                <w:color w:val="auto"/>
              </w:rPr>
              <w:t>Earnings</w:t>
            </w:r>
          </w:p>
        </w:tc>
        <w:tc>
          <w:tcPr>
            <w:tcW w:w="1220" w:type="dxa"/>
            <w:vAlign w:val="bottom"/>
            <w:tcBorders>
              <w:bottom w:val="single" w:sz="8" w:color="8C8272"/>
            </w:tcBorders>
          </w:tcPr>
          <w:p>
            <w:pPr>
              <w:jc w:val="center"/>
              <w:ind w:right="69"/>
              <w:spacing w:after="0"/>
              <w:rPr>
                <w:sz w:val="20"/>
                <w:szCs w:val="20"/>
                <w:color w:val="auto"/>
              </w:rPr>
            </w:pPr>
            <w:r>
              <w:rPr>
                <w:rFonts w:ascii="Arial" w:cs="Arial" w:eastAsia="Arial" w:hAnsi="Arial"/>
                <w:sz w:val="14"/>
                <w:szCs w:val="14"/>
                <w:b w:val="1"/>
                <w:bCs w:val="1"/>
                <w:color w:val="auto"/>
              </w:rPr>
              <w:t>Stock</w:t>
            </w:r>
          </w:p>
        </w:tc>
        <w:tc>
          <w:tcPr>
            <w:tcW w:w="940" w:type="dxa"/>
            <w:vAlign w:val="bottom"/>
            <w:tcBorders>
              <w:bottom w:val="single" w:sz="8" w:color="8C8272"/>
            </w:tcBorders>
          </w:tcPr>
          <w:p>
            <w:pPr>
              <w:jc w:val="center"/>
              <w:ind w:right="89"/>
              <w:spacing w:after="0"/>
              <w:rPr>
                <w:sz w:val="20"/>
                <w:szCs w:val="20"/>
                <w:color w:val="auto"/>
              </w:rPr>
            </w:pPr>
            <w:r>
              <w:rPr>
                <w:rFonts w:ascii="Arial" w:cs="Arial" w:eastAsia="Arial" w:hAnsi="Arial"/>
                <w:sz w:val="14"/>
                <w:szCs w:val="14"/>
                <w:b w:val="1"/>
                <w:bCs w:val="1"/>
                <w:color w:val="auto"/>
              </w:rPr>
              <w:t>Expense</w:t>
            </w:r>
          </w:p>
        </w:tc>
        <w:tc>
          <w:tcPr>
            <w:tcW w:w="1500" w:type="dxa"/>
            <w:vAlign w:val="bottom"/>
            <w:tcBorders>
              <w:bottom w:val="single" w:sz="8" w:color="8C8272"/>
            </w:tcBorders>
          </w:tcPr>
          <w:p>
            <w:pPr>
              <w:jc w:val="center"/>
              <w:ind w:right="129"/>
              <w:spacing w:after="0"/>
              <w:rPr>
                <w:sz w:val="20"/>
                <w:szCs w:val="20"/>
                <w:color w:val="auto"/>
              </w:rPr>
            </w:pPr>
            <w:r>
              <w:rPr>
                <w:rFonts w:ascii="Arial" w:cs="Arial" w:eastAsia="Arial" w:hAnsi="Arial"/>
                <w:sz w:val="14"/>
                <w:szCs w:val="14"/>
                <w:b w:val="1"/>
                <w:bCs w:val="1"/>
                <w:color w:val="auto"/>
              </w:rPr>
              <w:t>Income/(Loss)</w:t>
            </w:r>
          </w:p>
        </w:tc>
        <w:tc>
          <w:tcPr>
            <w:tcW w:w="720" w:type="dxa"/>
            <w:vAlign w:val="bottom"/>
            <w:tcBorders>
              <w:bottom w:val="single" w:sz="8" w:color="8C8272"/>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BALANCE AS OF DECEMBER 31, 2019</w:t>
            </w:r>
          </w:p>
        </w:tc>
        <w:tc>
          <w:tcPr>
            <w:tcW w:w="78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235</w:t>
            </w:r>
          </w:p>
        </w:tc>
        <w:tc>
          <w:tcPr>
            <w:tcW w:w="7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$589</w:t>
            </w:r>
          </w:p>
        </w:tc>
        <w:tc>
          <w:tcPr>
            <w:tcW w:w="1060" w:type="dxa"/>
            <w:vAlign w:val="bottom"/>
            <w:tcBorders>
              <w:bottom w:val="single" w:sz="8" w:color="8C8272"/>
            </w:tcBorders>
            <w:shd w:val="clear" w:color="auto" w:fill="E5E5E5"/>
          </w:tcPr>
          <w:p>
            <w:pPr>
              <w:jc w:val="right"/>
              <w:ind w:right="9"/>
              <w:spacing w:after="0"/>
              <w:rPr>
                <w:sz w:val="20"/>
                <w:szCs w:val="20"/>
                <w:color w:val="auto"/>
              </w:rPr>
            </w:pPr>
            <w:r>
              <w:rPr>
                <w:rFonts w:ascii="Arial" w:cs="Arial" w:eastAsia="Arial" w:hAnsi="Arial"/>
                <w:sz w:val="14"/>
                <w:szCs w:val="14"/>
                <w:color w:val="auto"/>
              </w:rPr>
              <w:t>$5,669</w:t>
            </w:r>
          </w:p>
        </w:tc>
        <w:tc>
          <w:tcPr>
            <w:tcW w:w="920" w:type="dxa"/>
            <w:vAlign w:val="bottom"/>
            <w:tcBorders>
              <w:bottom w:val="single" w:sz="8" w:color="8C8272"/>
            </w:tcBorders>
            <w:shd w:val="clear" w:color="auto" w:fill="E5E5E5"/>
          </w:tcPr>
          <w:p>
            <w:pPr>
              <w:jc w:val="right"/>
              <w:ind w:right="28"/>
              <w:spacing w:after="0"/>
              <w:rPr>
                <w:sz w:val="20"/>
                <w:szCs w:val="20"/>
                <w:color w:val="auto"/>
              </w:rPr>
            </w:pPr>
            <w:r>
              <w:rPr>
                <w:rFonts w:ascii="Arial" w:cs="Arial" w:eastAsia="Arial" w:hAnsi="Arial"/>
                <w:sz w:val="14"/>
                <w:szCs w:val="14"/>
                <w:color w:val="auto"/>
              </w:rPr>
              <w:t>$8,919</w:t>
            </w:r>
          </w:p>
        </w:tc>
        <w:tc>
          <w:tcPr>
            <w:tcW w:w="1220" w:type="dxa"/>
            <w:vAlign w:val="bottom"/>
            <w:tcBorders>
              <w:bottom w:val="single" w:sz="8" w:color="8C8272"/>
            </w:tcBorders>
            <w:shd w:val="clear" w:color="auto" w:fill="E5E5E5"/>
          </w:tcPr>
          <w:p>
            <w:pPr>
              <w:jc w:val="right"/>
              <w:ind w:right="9"/>
              <w:spacing w:after="0"/>
              <w:rPr>
                <w:sz w:val="20"/>
                <w:szCs w:val="20"/>
                <w:color w:val="auto"/>
              </w:rPr>
            </w:pPr>
            <w:r>
              <w:rPr>
                <w:rFonts w:ascii="Arial" w:cs="Arial" w:eastAsia="Arial" w:hAnsi="Arial"/>
                <w:sz w:val="14"/>
                <w:szCs w:val="14"/>
                <w:color w:val="auto"/>
              </w:rPr>
              <w:t>$(962)</w:t>
            </w:r>
          </w:p>
        </w:tc>
        <w:tc>
          <w:tcPr>
            <w:tcW w:w="940" w:type="dxa"/>
            <w:vAlign w:val="bottom"/>
            <w:tcBorders>
              <w:bottom w:val="single" w:sz="8" w:color="8C8272"/>
            </w:tcBorders>
            <w:shd w:val="clear" w:color="auto" w:fill="E5E5E5"/>
          </w:tcPr>
          <w:p>
            <w:pPr>
              <w:jc w:val="right"/>
              <w:ind w:right="49"/>
              <w:spacing w:after="0"/>
              <w:rPr>
                <w:sz w:val="20"/>
                <w:szCs w:val="20"/>
                <w:color w:val="auto"/>
              </w:rPr>
            </w:pPr>
            <w:r>
              <w:rPr>
                <w:rFonts w:ascii="Arial" w:cs="Arial" w:eastAsia="Arial" w:hAnsi="Arial"/>
                <w:sz w:val="14"/>
                <w:szCs w:val="14"/>
                <w:color w:val="auto"/>
              </w:rPr>
              <w:t>$(62)</w:t>
            </w:r>
          </w:p>
        </w:tc>
        <w:tc>
          <w:tcPr>
            <w:tcW w:w="1500" w:type="dxa"/>
            <w:vAlign w:val="bottom"/>
            <w:tcBorders>
              <w:bottom w:val="single" w:sz="8" w:color="8C8272"/>
            </w:tcBorders>
            <w:shd w:val="clear" w:color="auto" w:fill="E5E5E5"/>
          </w:tcPr>
          <w:p>
            <w:pPr>
              <w:jc w:val="right"/>
              <w:ind w:right="49"/>
              <w:spacing w:after="0"/>
              <w:rPr>
                <w:sz w:val="20"/>
                <w:szCs w:val="20"/>
                <w:color w:val="auto"/>
              </w:rPr>
            </w:pPr>
            <w:r>
              <w:rPr>
                <w:rFonts w:ascii="Arial" w:cs="Arial" w:eastAsia="Arial" w:hAnsi="Arial"/>
                <w:sz w:val="14"/>
                <w:szCs w:val="14"/>
                <w:color w:val="auto"/>
              </w:rPr>
              <w:t>$(6)</w:t>
            </w:r>
          </w:p>
        </w:tc>
        <w:tc>
          <w:tcPr>
            <w:tcW w:w="7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$14,147</w:t>
            </w:r>
          </w:p>
        </w:tc>
        <w:tc>
          <w:tcPr>
            <w:tcW w:w="0" w:type="dxa"/>
            <w:vAlign w:val="bottom"/>
          </w:tcPr>
          <w:p>
            <w:pPr>
              <w:spacing w:after="0"/>
              <w:rPr>
                <w:sz w:val="1"/>
                <w:szCs w:val="1"/>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406</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9"/>
        </w:trPr>
        <w:tc>
          <w:tcPr>
            <w:tcW w:w="33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Common stock dividend to parent</w:t>
            </w:r>
          </w:p>
        </w:tc>
        <w:tc>
          <w:tcPr>
            <w:tcW w:w="7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(246)</w:t>
            </w:r>
          </w:p>
        </w:tc>
        <w:tc>
          <w:tcPr>
            <w:tcW w:w="122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5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Capital contribution by parent</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25</w:t>
            </w: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330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Other comprehensive income</w:t>
            </w:r>
          </w:p>
        </w:tc>
        <w:tc>
          <w:tcPr>
            <w:tcW w:w="780" w:type="dxa"/>
            <w:vAlign w:val="bottom"/>
            <w:tcBorders>
              <w:bottom w:val="single" w:sz="8" w:color="8C8272"/>
            </w:tcBorders>
            <w:shd w:val="clear" w:color="auto" w:fill="E5E5E5"/>
          </w:tcPr>
          <w:p>
            <w:pPr>
              <w:spacing w:after="0"/>
              <w:rPr>
                <w:sz w:val="16"/>
                <w:szCs w:val="16"/>
                <w:color w:val="auto"/>
              </w:rPr>
            </w:pPr>
          </w:p>
        </w:tc>
        <w:tc>
          <w:tcPr>
            <w:tcW w:w="740" w:type="dxa"/>
            <w:vAlign w:val="bottom"/>
            <w:tcBorders>
              <w:bottom w:val="single" w:sz="8" w:color="8C8272"/>
            </w:tcBorders>
            <w:shd w:val="clear" w:color="auto" w:fill="E5E5E5"/>
          </w:tcPr>
          <w:p>
            <w:pPr>
              <w:spacing w:after="0"/>
              <w:rPr>
                <w:sz w:val="16"/>
                <w:szCs w:val="16"/>
                <w:color w:val="auto"/>
              </w:rPr>
            </w:pPr>
          </w:p>
        </w:tc>
        <w:tc>
          <w:tcPr>
            <w:tcW w:w="1060" w:type="dxa"/>
            <w:vAlign w:val="bottom"/>
            <w:tcBorders>
              <w:bottom w:val="single" w:sz="8" w:color="8C8272"/>
            </w:tcBorders>
            <w:shd w:val="clear" w:color="auto" w:fill="E5E5E5"/>
          </w:tcPr>
          <w:p>
            <w:pPr>
              <w:spacing w:after="0"/>
              <w:rPr>
                <w:sz w:val="16"/>
                <w:szCs w:val="16"/>
                <w:color w:val="auto"/>
              </w:rPr>
            </w:pPr>
          </w:p>
        </w:tc>
        <w:tc>
          <w:tcPr>
            <w:tcW w:w="920" w:type="dxa"/>
            <w:vAlign w:val="bottom"/>
            <w:tcBorders>
              <w:bottom w:val="single" w:sz="8" w:color="8C8272"/>
            </w:tcBorders>
            <w:shd w:val="clear" w:color="auto" w:fill="E5E5E5"/>
          </w:tcPr>
          <w:p>
            <w:pPr>
              <w:spacing w:after="0"/>
              <w:rPr>
                <w:sz w:val="16"/>
                <w:szCs w:val="16"/>
                <w:color w:val="auto"/>
              </w:rPr>
            </w:pPr>
          </w:p>
        </w:tc>
        <w:tc>
          <w:tcPr>
            <w:tcW w:w="1220" w:type="dxa"/>
            <w:vAlign w:val="bottom"/>
            <w:tcBorders>
              <w:bottom w:val="single" w:sz="8" w:color="8C8272"/>
            </w:tcBorders>
            <w:shd w:val="clear" w:color="auto" w:fill="E5E5E5"/>
          </w:tcPr>
          <w:p>
            <w:pPr>
              <w:spacing w:after="0"/>
              <w:rPr>
                <w:sz w:val="16"/>
                <w:szCs w:val="16"/>
                <w:color w:val="auto"/>
              </w:rPr>
            </w:pPr>
          </w:p>
        </w:tc>
        <w:tc>
          <w:tcPr>
            <w:tcW w:w="940" w:type="dxa"/>
            <w:vAlign w:val="bottom"/>
            <w:tcBorders>
              <w:bottom w:val="single" w:sz="8" w:color="8C8272"/>
            </w:tcBorders>
            <w:shd w:val="clear" w:color="auto" w:fill="E5E5E5"/>
          </w:tcPr>
          <w:p>
            <w:pPr>
              <w:spacing w:after="0"/>
              <w:rPr>
                <w:sz w:val="16"/>
                <w:szCs w:val="16"/>
                <w:color w:val="auto"/>
              </w:rPr>
            </w:pPr>
          </w:p>
        </w:tc>
        <w:tc>
          <w:tcPr>
            <w:tcW w:w="1500" w:type="dxa"/>
            <w:vAlign w:val="bottom"/>
            <w:tcBorders>
              <w:bottom w:val="single" w:sz="8" w:color="8C8272"/>
            </w:tcBorders>
            <w:shd w:val="clear" w:color="auto" w:fill="E5E5E5"/>
          </w:tcPr>
          <w:p>
            <w:pPr>
              <w:jc w:val="right"/>
              <w:ind w:right="49"/>
              <w:spacing w:after="0"/>
              <w:rPr>
                <w:sz w:val="20"/>
                <w:szCs w:val="20"/>
                <w:color w:val="auto"/>
              </w:rPr>
            </w:pPr>
            <w:r>
              <w:rPr>
                <w:rFonts w:ascii="Arial" w:cs="Arial" w:eastAsia="Arial" w:hAnsi="Arial"/>
                <w:sz w:val="14"/>
                <w:szCs w:val="14"/>
                <w:color w:val="auto"/>
              </w:rPr>
              <w:t>1</w:t>
            </w:r>
          </w:p>
        </w:tc>
        <w:tc>
          <w:tcPr>
            <w:tcW w:w="7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BALANCE AS OF MARCH 31, 2020</w:t>
            </w:r>
          </w:p>
        </w:tc>
        <w:tc>
          <w:tcPr>
            <w:tcW w:w="78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color w:val="auto"/>
              </w:rPr>
              <w:t>235</w:t>
            </w:r>
          </w:p>
        </w:tc>
        <w:tc>
          <w:tcPr>
            <w:tcW w:w="7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$589</w:t>
            </w:r>
          </w:p>
        </w:tc>
        <w:tc>
          <w:tcPr>
            <w:tcW w:w="1060" w:type="dxa"/>
            <w:vAlign w:val="bottom"/>
            <w:tcBorders>
              <w:bottom w:val="single" w:sz="8" w:color="8C8272"/>
            </w:tcBorders>
          </w:tcPr>
          <w:p>
            <w:pPr>
              <w:jc w:val="right"/>
              <w:ind w:right="9"/>
              <w:spacing w:after="0"/>
              <w:rPr>
                <w:sz w:val="20"/>
                <w:szCs w:val="20"/>
                <w:color w:val="auto"/>
              </w:rPr>
            </w:pPr>
            <w:r>
              <w:rPr>
                <w:rFonts w:ascii="Arial" w:cs="Arial" w:eastAsia="Arial" w:hAnsi="Arial"/>
                <w:sz w:val="14"/>
                <w:szCs w:val="14"/>
                <w:color w:val="auto"/>
              </w:rPr>
              <w:t>$5,694</w:t>
            </w:r>
          </w:p>
        </w:tc>
        <w:tc>
          <w:tcPr>
            <w:tcW w:w="920" w:type="dxa"/>
            <w:vAlign w:val="bottom"/>
            <w:tcBorders>
              <w:bottom w:val="single" w:sz="8" w:color="8C8272"/>
            </w:tcBorders>
          </w:tcPr>
          <w:p>
            <w:pPr>
              <w:jc w:val="right"/>
              <w:ind w:right="28"/>
              <w:spacing w:after="0"/>
              <w:rPr>
                <w:sz w:val="20"/>
                <w:szCs w:val="20"/>
                <w:color w:val="auto"/>
              </w:rPr>
            </w:pPr>
            <w:r>
              <w:rPr>
                <w:rFonts w:ascii="Arial" w:cs="Arial" w:eastAsia="Arial" w:hAnsi="Arial"/>
                <w:sz w:val="14"/>
                <w:szCs w:val="14"/>
                <w:color w:val="auto"/>
              </w:rPr>
              <w:t>$9,079</w:t>
            </w:r>
          </w:p>
        </w:tc>
        <w:tc>
          <w:tcPr>
            <w:tcW w:w="1220" w:type="dxa"/>
            <w:vAlign w:val="bottom"/>
            <w:tcBorders>
              <w:bottom w:val="single" w:sz="8" w:color="8C8272"/>
            </w:tcBorders>
          </w:tcPr>
          <w:p>
            <w:pPr>
              <w:jc w:val="right"/>
              <w:ind w:right="9"/>
              <w:spacing w:after="0"/>
              <w:rPr>
                <w:sz w:val="20"/>
                <w:szCs w:val="20"/>
                <w:color w:val="auto"/>
              </w:rPr>
            </w:pPr>
            <w:r>
              <w:rPr>
                <w:rFonts w:ascii="Arial" w:cs="Arial" w:eastAsia="Arial" w:hAnsi="Arial"/>
                <w:sz w:val="14"/>
                <w:szCs w:val="14"/>
                <w:color w:val="auto"/>
              </w:rPr>
              <w:t>$(962)</w:t>
            </w:r>
          </w:p>
        </w:tc>
        <w:tc>
          <w:tcPr>
            <w:tcW w:w="940" w:type="dxa"/>
            <w:vAlign w:val="bottom"/>
            <w:tcBorders>
              <w:bottom w:val="single" w:sz="8" w:color="8C8272"/>
            </w:tcBorders>
          </w:tcPr>
          <w:p>
            <w:pPr>
              <w:jc w:val="right"/>
              <w:ind w:right="49"/>
              <w:spacing w:after="0"/>
              <w:rPr>
                <w:sz w:val="20"/>
                <w:szCs w:val="20"/>
                <w:color w:val="auto"/>
              </w:rPr>
            </w:pPr>
            <w:r>
              <w:rPr>
                <w:rFonts w:ascii="Arial" w:cs="Arial" w:eastAsia="Arial" w:hAnsi="Arial"/>
                <w:sz w:val="14"/>
                <w:szCs w:val="14"/>
                <w:color w:val="auto"/>
              </w:rPr>
              <w:t>$(62)</w:t>
            </w:r>
          </w:p>
        </w:tc>
        <w:tc>
          <w:tcPr>
            <w:tcW w:w="1500" w:type="dxa"/>
            <w:vAlign w:val="bottom"/>
            <w:tcBorders>
              <w:bottom w:val="single" w:sz="8" w:color="8C8272"/>
            </w:tcBorders>
          </w:tcPr>
          <w:p>
            <w:pPr>
              <w:jc w:val="right"/>
              <w:ind w:right="49"/>
              <w:spacing w:after="0"/>
              <w:rPr>
                <w:sz w:val="20"/>
                <w:szCs w:val="20"/>
                <w:color w:val="auto"/>
              </w:rPr>
            </w:pPr>
            <w:r>
              <w:rPr>
                <w:rFonts w:ascii="Arial" w:cs="Arial" w:eastAsia="Arial" w:hAnsi="Arial"/>
                <w:sz w:val="14"/>
                <w:szCs w:val="14"/>
                <w:color w:val="auto"/>
              </w:rPr>
              <w:t>$(5)</w:t>
            </w:r>
          </w:p>
        </w:tc>
        <w:tc>
          <w:tcPr>
            <w:tcW w:w="7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$14,333</w:t>
            </w:r>
          </w:p>
        </w:tc>
        <w:tc>
          <w:tcPr>
            <w:tcW w:w="0" w:type="dxa"/>
            <w:vAlign w:val="bottom"/>
          </w:tcPr>
          <w:p>
            <w:pPr>
              <w:spacing w:after="0"/>
              <w:rPr>
                <w:sz w:val="1"/>
                <w:szCs w:val="1"/>
                <w:color w:val="auto"/>
              </w:rPr>
            </w:pPr>
          </w:p>
        </w:tc>
      </w:tr>
      <w:tr>
        <w:trPr>
          <w:trHeight w:val="183"/>
        </w:trPr>
        <w:tc>
          <w:tcPr>
            <w:tcW w:w="3300" w:type="dxa"/>
            <w:vAlign w:val="bottom"/>
            <w:shd w:val="clear" w:color="auto" w:fill="E5E5E5"/>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152</w:t>
            </w:r>
          </w:p>
        </w:tc>
        <w:tc>
          <w:tcPr>
            <w:tcW w:w="122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1500" w:type="dxa"/>
            <w:vAlign w:val="bottom"/>
            <w:shd w:val="clear" w:color="auto" w:fill="E5E5E5"/>
          </w:tcPr>
          <w:p>
            <w:pPr>
              <w:spacing w:after="0"/>
              <w:rPr>
                <w:sz w:val="15"/>
                <w:szCs w:val="15"/>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Common stock dividend to parent</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(246)</w:t>
            </w: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89"/>
        </w:trPr>
        <w:tc>
          <w:tcPr>
            <w:tcW w:w="33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Capital contribution by parent</w:t>
            </w:r>
          </w:p>
        </w:tc>
        <w:tc>
          <w:tcPr>
            <w:tcW w:w="7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25</w:t>
            </w:r>
          </w:p>
        </w:tc>
        <w:tc>
          <w:tcPr>
            <w:tcW w:w="920" w:type="dxa"/>
            <w:vAlign w:val="bottom"/>
            <w:shd w:val="clear" w:color="auto" w:fill="E5E5E5"/>
          </w:tcPr>
          <w:p>
            <w:pPr>
              <w:spacing w:after="0"/>
              <w:rPr>
                <w:sz w:val="16"/>
                <w:szCs w:val="16"/>
                <w:color w:val="auto"/>
              </w:rPr>
            </w:pPr>
          </w:p>
        </w:tc>
        <w:tc>
          <w:tcPr>
            <w:tcW w:w="122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5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3300" w:type="dxa"/>
            <w:vAlign w:val="bottom"/>
            <w:tcBorders>
              <w:bottom w:val="single" w:sz="8" w:color="6D6D6D"/>
            </w:tcBorders>
          </w:tcPr>
          <w:p>
            <w:pPr>
              <w:ind w:left="20"/>
              <w:spacing w:after="0"/>
              <w:rPr>
                <w:sz w:val="20"/>
                <w:szCs w:val="20"/>
                <w:color w:val="auto"/>
              </w:rPr>
            </w:pPr>
            <w:r>
              <w:rPr>
                <w:rFonts w:ascii="Arial" w:cs="Arial" w:eastAsia="Arial" w:hAnsi="Arial"/>
                <w:sz w:val="14"/>
                <w:szCs w:val="14"/>
                <w:color w:val="auto"/>
              </w:rPr>
              <w:t>Other comprehensive income</w:t>
            </w:r>
          </w:p>
        </w:tc>
        <w:tc>
          <w:tcPr>
            <w:tcW w:w="780" w:type="dxa"/>
            <w:vAlign w:val="bottom"/>
            <w:tcBorders>
              <w:bottom w:val="single" w:sz="8" w:color="6D6D6D"/>
            </w:tcBorders>
          </w:tcPr>
          <w:p>
            <w:pPr>
              <w:spacing w:after="0"/>
              <w:rPr>
                <w:sz w:val="16"/>
                <w:szCs w:val="16"/>
                <w:color w:val="auto"/>
              </w:rPr>
            </w:pPr>
          </w:p>
        </w:tc>
        <w:tc>
          <w:tcPr>
            <w:tcW w:w="740" w:type="dxa"/>
            <w:vAlign w:val="bottom"/>
            <w:tcBorders>
              <w:bottom w:val="single" w:sz="8" w:color="6D6D6D"/>
            </w:tcBorders>
          </w:tcPr>
          <w:p>
            <w:pPr>
              <w:spacing w:after="0"/>
              <w:rPr>
                <w:sz w:val="16"/>
                <w:szCs w:val="16"/>
                <w:color w:val="auto"/>
              </w:rPr>
            </w:pPr>
          </w:p>
        </w:tc>
        <w:tc>
          <w:tcPr>
            <w:tcW w:w="1060" w:type="dxa"/>
            <w:vAlign w:val="bottom"/>
            <w:tcBorders>
              <w:bottom w:val="single" w:sz="8" w:color="6D6D6D"/>
            </w:tcBorders>
          </w:tcPr>
          <w:p>
            <w:pPr>
              <w:spacing w:after="0"/>
              <w:rPr>
                <w:sz w:val="16"/>
                <w:szCs w:val="16"/>
                <w:color w:val="auto"/>
              </w:rPr>
            </w:pPr>
          </w:p>
        </w:tc>
        <w:tc>
          <w:tcPr>
            <w:tcW w:w="920" w:type="dxa"/>
            <w:vAlign w:val="bottom"/>
            <w:tcBorders>
              <w:bottom w:val="single" w:sz="8" w:color="6D6D6D"/>
            </w:tcBorders>
          </w:tcPr>
          <w:p>
            <w:pPr>
              <w:spacing w:after="0"/>
              <w:rPr>
                <w:sz w:val="16"/>
                <w:szCs w:val="16"/>
                <w:color w:val="auto"/>
              </w:rPr>
            </w:pPr>
          </w:p>
        </w:tc>
        <w:tc>
          <w:tcPr>
            <w:tcW w:w="1220" w:type="dxa"/>
            <w:vAlign w:val="bottom"/>
            <w:tcBorders>
              <w:bottom w:val="single" w:sz="8" w:color="6D6D6D"/>
            </w:tcBorders>
          </w:tcPr>
          <w:p>
            <w:pPr>
              <w:spacing w:after="0"/>
              <w:rPr>
                <w:sz w:val="16"/>
                <w:szCs w:val="16"/>
                <w:color w:val="auto"/>
              </w:rPr>
            </w:pPr>
          </w:p>
        </w:tc>
        <w:tc>
          <w:tcPr>
            <w:tcW w:w="940" w:type="dxa"/>
            <w:vAlign w:val="bottom"/>
            <w:tcBorders>
              <w:bottom w:val="single" w:sz="8" w:color="6D6D6D"/>
            </w:tcBorders>
          </w:tcPr>
          <w:p>
            <w:pPr>
              <w:spacing w:after="0"/>
              <w:rPr>
                <w:sz w:val="16"/>
                <w:szCs w:val="16"/>
                <w:color w:val="auto"/>
              </w:rPr>
            </w:pPr>
          </w:p>
        </w:tc>
        <w:tc>
          <w:tcPr>
            <w:tcW w:w="1500" w:type="dxa"/>
            <w:vAlign w:val="bottom"/>
            <w:tcBorders>
              <w:bottom w:val="single" w:sz="8" w:color="6D6D6D"/>
            </w:tcBorders>
          </w:tcPr>
          <w:p>
            <w:pPr>
              <w:jc w:val="right"/>
              <w:ind w:right="49"/>
              <w:spacing w:after="0"/>
              <w:rPr>
                <w:sz w:val="20"/>
                <w:szCs w:val="20"/>
                <w:color w:val="auto"/>
              </w:rPr>
            </w:pPr>
            <w:r>
              <w:rPr>
                <w:rFonts w:ascii="Arial" w:cs="Arial" w:eastAsia="Arial" w:hAnsi="Arial"/>
                <w:sz w:val="14"/>
                <w:szCs w:val="14"/>
                <w:color w:val="auto"/>
              </w:rPr>
              <w:t>1</w:t>
            </w:r>
          </w:p>
        </w:tc>
        <w:tc>
          <w:tcPr>
            <w:tcW w:w="72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6D6D6D"/>
            </w:tcBorders>
            <w:shd w:val="clear" w:color="auto" w:fill="E5E5E5"/>
          </w:tcPr>
          <w:p>
            <w:pPr>
              <w:ind w:left="20"/>
              <w:spacing w:after="0"/>
              <w:rPr>
                <w:sz w:val="20"/>
                <w:szCs w:val="20"/>
                <w:color w:val="auto"/>
              </w:rPr>
            </w:pPr>
            <w:r>
              <w:rPr>
                <w:rFonts w:ascii="Arial" w:cs="Arial" w:eastAsia="Arial" w:hAnsi="Arial"/>
                <w:sz w:val="14"/>
                <w:szCs w:val="14"/>
                <w:color w:val="auto"/>
              </w:rPr>
              <w:t>BALANCE AS OF JUNE 30, 2020</w:t>
            </w:r>
          </w:p>
        </w:tc>
        <w:tc>
          <w:tcPr>
            <w:tcW w:w="780" w:type="dxa"/>
            <w:vAlign w:val="bottom"/>
            <w:tcBorders>
              <w:bottom w:val="single" w:sz="8" w:color="6D6D6D"/>
            </w:tcBorders>
            <w:shd w:val="clear" w:color="auto" w:fill="E5E5E5"/>
          </w:tcPr>
          <w:p>
            <w:pPr>
              <w:jc w:val="right"/>
              <w:ind w:right="8"/>
              <w:spacing w:after="0"/>
              <w:rPr>
                <w:sz w:val="20"/>
                <w:szCs w:val="20"/>
                <w:color w:val="auto"/>
              </w:rPr>
            </w:pPr>
            <w:r>
              <w:rPr>
                <w:rFonts w:ascii="Arial" w:cs="Arial" w:eastAsia="Arial" w:hAnsi="Arial"/>
                <w:sz w:val="14"/>
                <w:szCs w:val="14"/>
                <w:color w:val="auto"/>
              </w:rPr>
              <w:t>235</w:t>
            </w:r>
          </w:p>
        </w:tc>
        <w:tc>
          <w:tcPr>
            <w:tcW w:w="74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auto"/>
              </w:rPr>
              <w:t>$589</w:t>
            </w:r>
          </w:p>
        </w:tc>
        <w:tc>
          <w:tcPr>
            <w:tcW w:w="1060" w:type="dxa"/>
            <w:vAlign w:val="bottom"/>
            <w:tcBorders>
              <w:bottom w:val="single" w:sz="8" w:color="6D6D6D"/>
            </w:tcBorders>
            <w:shd w:val="clear" w:color="auto" w:fill="E5E5E5"/>
          </w:tcPr>
          <w:p>
            <w:pPr>
              <w:jc w:val="right"/>
              <w:ind w:right="9"/>
              <w:spacing w:after="0"/>
              <w:rPr>
                <w:sz w:val="20"/>
                <w:szCs w:val="20"/>
                <w:color w:val="auto"/>
              </w:rPr>
            </w:pPr>
            <w:r>
              <w:rPr>
                <w:rFonts w:ascii="Arial" w:cs="Arial" w:eastAsia="Arial" w:hAnsi="Arial"/>
                <w:sz w:val="14"/>
                <w:szCs w:val="14"/>
                <w:color w:val="auto"/>
              </w:rPr>
              <w:t>$5,719</w:t>
            </w:r>
          </w:p>
        </w:tc>
        <w:tc>
          <w:tcPr>
            <w:tcW w:w="920" w:type="dxa"/>
            <w:vAlign w:val="bottom"/>
            <w:tcBorders>
              <w:bottom w:val="single" w:sz="8" w:color="6D6D6D"/>
            </w:tcBorders>
            <w:shd w:val="clear" w:color="auto" w:fill="E5E5E5"/>
          </w:tcPr>
          <w:p>
            <w:pPr>
              <w:jc w:val="right"/>
              <w:ind w:right="28"/>
              <w:spacing w:after="0"/>
              <w:rPr>
                <w:sz w:val="20"/>
                <w:szCs w:val="20"/>
                <w:color w:val="auto"/>
              </w:rPr>
            </w:pPr>
            <w:r>
              <w:rPr>
                <w:rFonts w:ascii="Arial" w:cs="Arial" w:eastAsia="Arial" w:hAnsi="Arial"/>
                <w:sz w:val="14"/>
                <w:szCs w:val="14"/>
                <w:color w:val="auto"/>
              </w:rPr>
              <w:t>$8,985</w:t>
            </w:r>
          </w:p>
        </w:tc>
        <w:tc>
          <w:tcPr>
            <w:tcW w:w="1220" w:type="dxa"/>
            <w:vAlign w:val="bottom"/>
            <w:tcBorders>
              <w:bottom w:val="single" w:sz="8" w:color="6D6D6D"/>
            </w:tcBorders>
            <w:shd w:val="clear" w:color="auto" w:fill="E5E5E5"/>
          </w:tcPr>
          <w:p>
            <w:pPr>
              <w:jc w:val="right"/>
              <w:ind w:right="9"/>
              <w:spacing w:after="0"/>
              <w:rPr>
                <w:sz w:val="20"/>
                <w:szCs w:val="20"/>
                <w:color w:val="auto"/>
              </w:rPr>
            </w:pPr>
            <w:r>
              <w:rPr>
                <w:rFonts w:ascii="Arial" w:cs="Arial" w:eastAsia="Arial" w:hAnsi="Arial"/>
                <w:sz w:val="14"/>
                <w:szCs w:val="14"/>
                <w:color w:val="auto"/>
              </w:rPr>
              <w:t>$(962)</w:t>
            </w:r>
          </w:p>
        </w:tc>
        <w:tc>
          <w:tcPr>
            <w:tcW w:w="940" w:type="dxa"/>
            <w:vAlign w:val="bottom"/>
            <w:tcBorders>
              <w:bottom w:val="single" w:sz="8" w:color="6D6D6D"/>
            </w:tcBorders>
            <w:shd w:val="clear" w:color="auto" w:fill="E5E5E5"/>
          </w:tcPr>
          <w:p>
            <w:pPr>
              <w:jc w:val="right"/>
              <w:ind w:right="49"/>
              <w:spacing w:after="0"/>
              <w:rPr>
                <w:sz w:val="20"/>
                <w:szCs w:val="20"/>
                <w:color w:val="auto"/>
              </w:rPr>
            </w:pPr>
            <w:r>
              <w:rPr>
                <w:rFonts w:ascii="Arial" w:cs="Arial" w:eastAsia="Arial" w:hAnsi="Arial"/>
                <w:sz w:val="14"/>
                <w:szCs w:val="14"/>
                <w:color w:val="auto"/>
              </w:rPr>
              <w:t>$(62)</w:t>
            </w:r>
          </w:p>
        </w:tc>
        <w:tc>
          <w:tcPr>
            <w:tcW w:w="1500" w:type="dxa"/>
            <w:vAlign w:val="bottom"/>
            <w:tcBorders>
              <w:bottom w:val="single" w:sz="8" w:color="6D6D6D"/>
            </w:tcBorders>
            <w:shd w:val="clear" w:color="auto" w:fill="E5E5E5"/>
          </w:tcPr>
          <w:p>
            <w:pPr>
              <w:jc w:val="right"/>
              <w:ind w:right="49"/>
              <w:spacing w:after="0"/>
              <w:rPr>
                <w:sz w:val="20"/>
                <w:szCs w:val="20"/>
                <w:color w:val="auto"/>
              </w:rPr>
            </w:pPr>
            <w:r>
              <w:rPr>
                <w:rFonts w:ascii="Arial" w:cs="Arial" w:eastAsia="Arial" w:hAnsi="Arial"/>
                <w:sz w:val="14"/>
                <w:szCs w:val="14"/>
                <w:color w:val="auto"/>
              </w:rPr>
              <w:t>$(4)</w:t>
            </w:r>
          </w:p>
        </w:tc>
        <w:tc>
          <w:tcPr>
            <w:tcW w:w="72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auto"/>
              </w:rPr>
              <w:t>$14,265</w:t>
            </w:r>
          </w:p>
        </w:tc>
        <w:tc>
          <w:tcPr>
            <w:tcW w:w="0" w:type="dxa"/>
            <w:vAlign w:val="bottom"/>
          </w:tcPr>
          <w:p>
            <w:pPr>
              <w:spacing w:after="0"/>
              <w:rPr>
                <w:sz w:val="1"/>
                <w:szCs w:val="1"/>
                <w:color w:val="auto"/>
              </w:rPr>
            </w:pPr>
          </w:p>
        </w:tc>
      </w:tr>
      <w:tr>
        <w:trPr>
          <w:trHeight w:val="142"/>
        </w:trPr>
        <w:tc>
          <w:tcPr>
            <w:tcW w:w="3300" w:type="dxa"/>
            <w:vAlign w:val="bottom"/>
            <w:tcBorders>
              <w:bottom w:val="single" w:sz="8" w:color="6D6D6D"/>
            </w:tcBorders>
          </w:tcPr>
          <w:p>
            <w:pPr>
              <w:spacing w:after="0"/>
              <w:rPr>
                <w:sz w:val="12"/>
                <w:szCs w:val="12"/>
                <w:color w:val="auto"/>
              </w:rPr>
            </w:pPr>
          </w:p>
        </w:tc>
        <w:tc>
          <w:tcPr>
            <w:tcW w:w="780" w:type="dxa"/>
            <w:vAlign w:val="bottom"/>
            <w:tcBorders>
              <w:bottom w:val="single" w:sz="8" w:color="6D6D6D"/>
            </w:tcBorders>
          </w:tcPr>
          <w:p>
            <w:pPr>
              <w:spacing w:after="0"/>
              <w:rPr>
                <w:sz w:val="12"/>
                <w:szCs w:val="12"/>
                <w:color w:val="auto"/>
              </w:rPr>
            </w:pPr>
          </w:p>
        </w:tc>
        <w:tc>
          <w:tcPr>
            <w:tcW w:w="740" w:type="dxa"/>
            <w:vAlign w:val="bottom"/>
            <w:tcBorders>
              <w:bottom w:val="single" w:sz="8" w:color="6D6D6D"/>
            </w:tcBorders>
          </w:tcPr>
          <w:p>
            <w:pPr>
              <w:spacing w:after="0"/>
              <w:rPr>
                <w:sz w:val="12"/>
                <w:szCs w:val="12"/>
                <w:color w:val="auto"/>
              </w:rPr>
            </w:pPr>
          </w:p>
        </w:tc>
        <w:tc>
          <w:tcPr>
            <w:tcW w:w="1060" w:type="dxa"/>
            <w:vAlign w:val="bottom"/>
            <w:tcBorders>
              <w:bottom w:val="single" w:sz="8" w:color="6D6D6D"/>
            </w:tcBorders>
          </w:tcPr>
          <w:p>
            <w:pPr>
              <w:spacing w:after="0"/>
              <w:rPr>
                <w:sz w:val="12"/>
                <w:szCs w:val="12"/>
                <w:color w:val="auto"/>
              </w:rPr>
            </w:pPr>
          </w:p>
        </w:tc>
        <w:tc>
          <w:tcPr>
            <w:tcW w:w="920" w:type="dxa"/>
            <w:vAlign w:val="bottom"/>
            <w:tcBorders>
              <w:bottom w:val="single" w:sz="8" w:color="6D6D6D"/>
            </w:tcBorders>
          </w:tcPr>
          <w:p>
            <w:pPr>
              <w:spacing w:after="0"/>
              <w:rPr>
                <w:sz w:val="12"/>
                <w:szCs w:val="12"/>
                <w:color w:val="auto"/>
              </w:rPr>
            </w:pPr>
          </w:p>
        </w:tc>
        <w:tc>
          <w:tcPr>
            <w:tcW w:w="1220" w:type="dxa"/>
            <w:vAlign w:val="bottom"/>
            <w:tcBorders>
              <w:bottom w:val="single" w:sz="8" w:color="6D6D6D"/>
            </w:tcBorders>
          </w:tcPr>
          <w:p>
            <w:pPr>
              <w:spacing w:after="0"/>
              <w:rPr>
                <w:sz w:val="12"/>
                <w:szCs w:val="12"/>
                <w:color w:val="auto"/>
              </w:rPr>
            </w:pPr>
          </w:p>
        </w:tc>
        <w:tc>
          <w:tcPr>
            <w:tcW w:w="940" w:type="dxa"/>
            <w:vAlign w:val="bottom"/>
            <w:tcBorders>
              <w:bottom w:val="single" w:sz="8" w:color="6D6D6D"/>
            </w:tcBorders>
          </w:tcPr>
          <w:p>
            <w:pPr>
              <w:spacing w:after="0"/>
              <w:rPr>
                <w:sz w:val="12"/>
                <w:szCs w:val="12"/>
                <w:color w:val="auto"/>
              </w:rPr>
            </w:pPr>
          </w:p>
        </w:tc>
        <w:tc>
          <w:tcPr>
            <w:tcW w:w="1500" w:type="dxa"/>
            <w:vAlign w:val="bottom"/>
            <w:tcBorders>
              <w:bottom w:val="single" w:sz="8" w:color="6D6D6D"/>
            </w:tcBorders>
          </w:tcPr>
          <w:p>
            <w:pPr>
              <w:spacing w:after="0"/>
              <w:rPr>
                <w:sz w:val="12"/>
                <w:szCs w:val="12"/>
                <w:color w:val="auto"/>
              </w:rPr>
            </w:pPr>
          </w:p>
        </w:tc>
        <w:tc>
          <w:tcPr>
            <w:tcW w:w="720" w:type="dxa"/>
            <w:vAlign w:val="bottom"/>
            <w:tcBorders>
              <w:bottom w:val="single" w:sz="8" w:color="6D6D6D"/>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6D6D6D"/>
            </w:tcBorders>
            <w:shd w:val="clear" w:color="auto" w:fill="E5E5E5"/>
          </w:tcPr>
          <w:p>
            <w:pPr>
              <w:ind w:left="20"/>
              <w:spacing w:after="0"/>
              <w:rPr>
                <w:sz w:val="20"/>
                <w:szCs w:val="20"/>
                <w:color w:val="auto"/>
              </w:rPr>
            </w:pPr>
            <w:r>
              <w:rPr>
                <w:rFonts w:ascii="Arial" w:cs="Arial" w:eastAsia="Arial" w:hAnsi="Arial"/>
                <w:sz w:val="14"/>
                <w:szCs w:val="14"/>
                <w:color w:val="auto"/>
              </w:rPr>
              <w:t>BALANCE AS OF DECEMBER 31, 2020</w:t>
            </w:r>
          </w:p>
        </w:tc>
        <w:tc>
          <w:tcPr>
            <w:tcW w:w="780" w:type="dxa"/>
            <w:vAlign w:val="bottom"/>
            <w:tcBorders>
              <w:bottom w:val="single" w:sz="8" w:color="6D6D6D"/>
            </w:tcBorders>
            <w:shd w:val="clear" w:color="auto" w:fill="E5E5E5"/>
          </w:tcPr>
          <w:p>
            <w:pPr>
              <w:jc w:val="right"/>
              <w:ind w:right="8"/>
              <w:spacing w:after="0"/>
              <w:rPr>
                <w:sz w:val="20"/>
                <w:szCs w:val="20"/>
                <w:color w:val="auto"/>
              </w:rPr>
            </w:pPr>
            <w:r>
              <w:rPr>
                <w:rFonts w:ascii="Arial" w:cs="Arial" w:eastAsia="Arial" w:hAnsi="Arial"/>
                <w:sz w:val="14"/>
                <w:szCs w:val="14"/>
                <w:color w:val="auto"/>
              </w:rPr>
              <w:t>235</w:t>
            </w:r>
          </w:p>
        </w:tc>
        <w:tc>
          <w:tcPr>
            <w:tcW w:w="74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auto"/>
              </w:rPr>
              <w:t>$589</w:t>
            </w:r>
          </w:p>
        </w:tc>
        <w:tc>
          <w:tcPr>
            <w:tcW w:w="1060" w:type="dxa"/>
            <w:vAlign w:val="bottom"/>
            <w:tcBorders>
              <w:bottom w:val="single" w:sz="8" w:color="6D6D6D"/>
            </w:tcBorders>
            <w:shd w:val="clear" w:color="auto" w:fill="E5E5E5"/>
          </w:tcPr>
          <w:p>
            <w:pPr>
              <w:jc w:val="right"/>
              <w:ind w:right="9"/>
              <w:spacing w:after="0"/>
              <w:rPr>
                <w:sz w:val="20"/>
                <w:szCs w:val="20"/>
                <w:color w:val="auto"/>
              </w:rPr>
            </w:pPr>
            <w:r>
              <w:rPr>
                <w:rFonts w:ascii="Arial" w:cs="Arial" w:eastAsia="Arial" w:hAnsi="Arial"/>
                <w:sz w:val="14"/>
                <w:szCs w:val="14"/>
                <w:color w:val="auto"/>
              </w:rPr>
              <w:t>$6,169</w:t>
            </w:r>
          </w:p>
        </w:tc>
        <w:tc>
          <w:tcPr>
            <w:tcW w:w="920" w:type="dxa"/>
            <w:vAlign w:val="bottom"/>
            <w:tcBorders>
              <w:bottom w:val="single" w:sz="8" w:color="6D6D6D"/>
            </w:tcBorders>
            <w:shd w:val="clear" w:color="auto" w:fill="E5E5E5"/>
          </w:tcPr>
          <w:p>
            <w:pPr>
              <w:jc w:val="right"/>
              <w:ind w:right="28"/>
              <w:spacing w:after="0"/>
              <w:rPr>
                <w:sz w:val="20"/>
                <w:szCs w:val="20"/>
                <w:color w:val="auto"/>
              </w:rPr>
            </w:pPr>
            <w:r>
              <w:rPr>
                <w:rFonts w:ascii="Arial" w:cs="Arial" w:eastAsia="Arial" w:hAnsi="Arial"/>
                <w:sz w:val="14"/>
                <w:szCs w:val="14"/>
                <w:color w:val="auto"/>
              </w:rPr>
              <w:t>$9,122</w:t>
            </w:r>
          </w:p>
        </w:tc>
        <w:tc>
          <w:tcPr>
            <w:tcW w:w="1220" w:type="dxa"/>
            <w:vAlign w:val="bottom"/>
            <w:tcBorders>
              <w:bottom w:val="single" w:sz="8" w:color="6D6D6D"/>
            </w:tcBorders>
            <w:shd w:val="clear" w:color="auto" w:fill="E5E5E5"/>
          </w:tcPr>
          <w:p>
            <w:pPr>
              <w:jc w:val="right"/>
              <w:ind w:right="9"/>
              <w:spacing w:after="0"/>
              <w:rPr>
                <w:sz w:val="20"/>
                <w:szCs w:val="20"/>
                <w:color w:val="auto"/>
              </w:rPr>
            </w:pPr>
            <w:r>
              <w:rPr>
                <w:rFonts w:ascii="Arial" w:cs="Arial" w:eastAsia="Arial" w:hAnsi="Arial"/>
                <w:sz w:val="14"/>
                <w:szCs w:val="14"/>
                <w:color w:val="auto"/>
              </w:rPr>
              <w:t>$(962)</w:t>
            </w:r>
          </w:p>
        </w:tc>
        <w:tc>
          <w:tcPr>
            <w:tcW w:w="940" w:type="dxa"/>
            <w:vAlign w:val="bottom"/>
            <w:tcBorders>
              <w:bottom w:val="single" w:sz="8" w:color="6D6D6D"/>
            </w:tcBorders>
            <w:shd w:val="clear" w:color="auto" w:fill="E5E5E5"/>
          </w:tcPr>
          <w:p>
            <w:pPr>
              <w:jc w:val="right"/>
              <w:ind w:right="49"/>
              <w:spacing w:after="0"/>
              <w:rPr>
                <w:sz w:val="20"/>
                <w:szCs w:val="20"/>
                <w:color w:val="auto"/>
              </w:rPr>
            </w:pPr>
            <w:r>
              <w:rPr>
                <w:rFonts w:ascii="Arial" w:cs="Arial" w:eastAsia="Arial" w:hAnsi="Arial"/>
                <w:sz w:val="14"/>
                <w:szCs w:val="14"/>
                <w:color w:val="auto"/>
              </w:rPr>
              <w:t>$(62)</w:t>
            </w:r>
          </w:p>
        </w:tc>
        <w:tc>
          <w:tcPr>
            <w:tcW w:w="1500" w:type="dxa"/>
            <w:vAlign w:val="bottom"/>
            <w:tcBorders>
              <w:bottom w:val="single" w:sz="8" w:color="6D6D6D"/>
            </w:tcBorders>
            <w:shd w:val="clear" w:color="auto" w:fill="E5E5E5"/>
          </w:tcPr>
          <w:p>
            <w:pPr>
              <w:jc w:val="right"/>
              <w:ind w:right="49"/>
              <w:spacing w:after="0"/>
              <w:rPr>
                <w:sz w:val="20"/>
                <w:szCs w:val="20"/>
                <w:color w:val="auto"/>
              </w:rPr>
            </w:pPr>
            <w:r>
              <w:rPr>
                <w:rFonts w:ascii="Arial" w:cs="Arial" w:eastAsia="Arial" w:hAnsi="Arial"/>
                <w:sz w:val="14"/>
                <w:szCs w:val="14"/>
                <w:color w:val="auto"/>
              </w:rPr>
              <w:t>$(7)</w:t>
            </w:r>
          </w:p>
        </w:tc>
        <w:tc>
          <w:tcPr>
            <w:tcW w:w="72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auto"/>
              </w:rPr>
              <w:t>$14,849</w:t>
            </w:r>
          </w:p>
        </w:tc>
        <w:tc>
          <w:tcPr>
            <w:tcW w:w="0" w:type="dxa"/>
            <w:vAlign w:val="bottom"/>
          </w:tcPr>
          <w:p>
            <w:pPr>
              <w:spacing w:after="0"/>
              <w:rPr>
                <w:sz w:val="1"/>
                <w:szCs w:val="1"/>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465</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89"/>
        </w:trPr>
        <w:tc>
          <w:tcPr>
            <w:tcW w:w="33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Common stock dividend to parent</w:t>
            </w:r>
          </w:p>
        </w:tc>
        <w:tc>
          <w:tcPr>
            <w:tcW w:w="7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(247)</w:t>
            </w:r>
          </w:p>
        </w:tc>
        <w:tc>
          <w:tcPr>
            <w:tcW w:w="122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5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9"/>
        </w:trPr>
        <w:tc>
          <w:tcPr>
            <w:tcW w:w="3300" w:type="dxa"/>
            <w:vAlign w:val="bottom"/>
            <w:tcBorders>
              <w:bottom w:val="single" w:sz="8" w:color="6D6D6D"/>
            </w:tcBorders>
          </w:tcPr>
          <w:p>
            <w:pPr>
              <w:ind w:left="20"/>
              <w:spacing w:after="0"/>
              <w:rPr>
                <w:sz w:val="20"/>
                <w:szCs w:val="20"/>
                <w:color w:val="auto"/>
              </w:rPr>
            </w:pPr>
            <w:r>
              <w:rPr>
                <w:rFonts w:ascii="Arial" w:cs="Arial" w:eastAsia="Arial" w:hAnsi="Arial"/>
                <w:sz w:val="14"/>
                <w:szCs w:val="14"/>
                <w:color w:val="auto"/>
              </w:rPr>
              <w:t>Capital contribution by parent</w:t>
            </w:r>
          </w:p>
        </w:tc>
        <w:tc>
          <w:tcPr>
            <w:tcW w:w="780" w:type="dxa"/>
            <w:vAlign w:val="bottom"/>
            <w:tcBorders>
              <w:bottom w:val="single" w:sz="8" w:color="6D6D6D"/>
            </w:tcBorders>
          </w:tcPr>
          <w:p>
            <w:pPr>
              <w:spacing w:after="0"/>
              <w:rPr>
                <w:sz w:val="16"/>
                <w:szCs w:val="16"/>
                <w:color w:val="auto"/>
              </w:rPr>
            </w:pPr>
          </w:p>
        </w:tc>
        <w:tc>
          <w:tcPr>
            <w:tcW w:w="740" w:type="dxa"/>
            <w:vAlign w:val="bottom"/>
            <w:tcBorders>
              <w:bottom w:val="single" w:sz="8" w:color="6D6D6D"/>
            </w:tcBorders>
          </w:tcPr>
          <w:p>
            <w:pPr>
              <w:spacing w:after="0"/>
              <w:rPr>
                <w:sz w:val="16"/>
                <w:szCs w:val="16"/>
                <w:color w:val="auto"/>
              </w:rPr>
            </w:pPr>
          </w:p>
        </w:tc>
        <w:tc>
          <w:tcPr>
            <w:tcW w:w="1060" w:type="dxa"/>
            <w:vAlign w:val="bottom"/>
            <w:tcBorders>
              <w:bottom w:val="single" w:sz="8" w:color="6D6D6D"/>
            </w:tcBorders>
          </w:tcPr>
          <w:p>
            <w:pPr>
              <w:jc w:val="right"/>
              <w:ind w:right="9"/>
              <w:spacing w:after="0"/>
              <w:rPr>
                <w:sz w:val="20"/>
                <w:szCs w:val="20"/>
                <w:color w:val="auto"/>
              </w:rPr>
            </w:pPr>
            <w:r>
              <w:rPr>
                <w:rFonts w:ascii="Arial" w:cs="Arial" w:eastAsia="Arial" w:hAnsi="Arial"/>
                <w:sz w:val="14"/>
                <w:szCs w:val="14"/>
                <w:color w:val="auto"/>
              </w:rPr>
              <w:t>125</w:t>
            </w:r>
          </w:p>
        </w:tc>
        <w:tc>
          <w:tcPr>
            <w:tcW w:w="920" w:type="dxa"/>
            <w:vAlign w:val="bottom"/>
            <w:tcBorders>
              <w:bottom w:val="single" w:sz="8" w:color="6D6D6D"/>
            </w:tcBorders>
          </w:tcPr>
          <w:p>
            <w:pPr>
              <w:spacing w:after="0"/>
              <w:rPr>
                <w:sz w:val="16"/>
                <w:szCs w:val="16"/>
                <w:color w:val="auto"/>
              </w:rPr>
            </w:pPr>
          </w:p>
        </w:tc>
        <w:tc>
          <w:tcPr>
            <w:tcW w:w="1220" w:type="dxa"/>
            <w:vAlign w:val="bottom"/>
            <w:tcBorders>
              <w:bottom w:val="single" w:sz="8" w:color="6D6D6D"/>
            </w:tcBorders>
          </w:tcPr>
          <w:p>
            <w:pPr>
              <w:spacing w:after="0"/>
              <w:rPr>
                <w:sz w:val="16"/>
                <w:szCs w:val="16"/>
                <w:color w:val="auto"/>
              </w:rPr>
            </w:pPr>
          </w:p>
        </w:tc>
        <w:tc>
          <w:tcPr>
            <w:tcW w:w="940" w:type="dxa"/>
            <w:vAlign w:val="bottom"/>
            <w:tcBorders>
              <w:bottom w:val="single" w:sz="8" w:color="6D6D6D"/>
            </w:tcBorders>
          </w:tcPr>
          <w:p>
            <w:pPr>
              <w:spacing w:after="0"/>
              <w:rPr>
                <w:sz w:val="16"/>
                <w:szCs w:val="16"/>
                <w:color w:val="auto"/>
              </w:rPr>
            </w:pPr>
          </w:p>
        </w:tc>
        <w:tc>
          <w:tcPr>
            <w:tcW w:w="1500" w:type="dxa"/>
            <w:vAlign w:val="bottom"/>
            <w:tcBorders>
              <w:bottom w:val="single" w:sz="8" w:color="6D6D6D"/>
            </w:tcBorders>
          </w:tcPr>
          <w:p>
            <w:pPr>
              <w:spacing w:after="0"/>
              <w:rPr>
                <w:sz w:val="16"/>
                <w:szCs w:val="16"/>
                <w:color w:val="auto"/>
              </w:rPr>
            </w:pPr>
          </w:p>
        </w:tc>
        <w:tc>
          <w:tcPr>
            <w:tcW w:w="72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6D6D6D"/>
            </w:tcBorders>
            <w:shd w:val="clear" w:color="auto" w:fill="E5E5E5"/>
          </w:tcPr>
          <w:p>
            <w:pPr>
              <w:ind w:left="20"/>
              <w:spacing w:after="0"/>
              <w:rPr>
                <w:sz w:val="20"/>
                <w:szCs w:val="20"/>
                <w:color w:val="auto"/>
              </w:rPr>
            </w:pPr>
            <w:r>
              <w:rPr>
                <w:rFonts w:ascii="Arial" w:cs="Arial" w:eastAsia="Arial" w:hAnsi="Arial"/>
                <w:sz w:val="14"/>
                <w:szCs w:val="14"/>
                <w:color w:val="auto"/>
              </w:rPr>
              <w:t>BALANCE AS OF MARCH 31, 2021</w:t>
            </w:r>
          </w:p>
        </w:tc>
        <w:tc>
          <w:tcPr>
            <w:tcW w:w="780" w:type="dxa"/>
            <w:vAlign w:val="bottom"/>
            <w:tcBorders>
              <w:bottom w:val="single" w:sz="8" w:color="6D6D6D"/>
            </w:tcBorders>
            <w:shd w:val="clear" w:color="auto" w:fill="E5E5E5"/>
          </w:tcPr>
          <w:p>
            <w:pPr>
              <w:jc w:val="right"/>
              <w:ind w:right="8"/>
              <w:spacing w:after="0"/>
              <w:rPr>
                <w:sz w:val="20"/>
                <w:szCs w:val="20"/>
                <w:color w:val="auto"/>
              </w:rPr>
            </w:pPr>
            <w:r>
              <w:rPr>
                <w:rFonts w:ascii="Arial" w:cs="Arial" w:eastAsia="Arial" w:hAnsi="Arial"/>
                <w:sz w:val="14"/>
                <w:szCs w:val="14"/>
                <w:color w:val="auto"/>
              </w:rPr>
              <w:t>235</w:t>
            </w:r>
          </w:p>
        </w:tc>
        <w:tc>
          <w:tcPr>
            <w:tcW w:w="74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auto"/>
              </w:rPr>
              <w:t>$589</w:t>
            </w:r>
          </w:p>
        </w:tc>
        <w:tc>
          <w:tcPr>
            <w:tcW w:w="1060" w:type="dxa"/>
            <w:vAlign w:val="bottom"/>
            <w:tcBorders>
              <w:bottom w:val="single" w:sz="8" w:color="6D6D6D"/>
            </w:tcBorders>
            <w:shd w:val="clear" w:color="auto" w:fill="E5E5E5"/>
          </w:tcPr>
          <w:p>
            <w:pPr>
              <w:jc w:val="right"/>
              <w:ind w:right="9"/>
              <w:spacing w:after="0"/>
              <w:rPr>
                <w:sz w:val="20"/>
                <w:szCs w:val="20"/>
                <w:color w:val="auto"/>
              </w:rPr>
            </w:pPr>
            <w:r>
              <w:rPr>
                <w:rFonts w:ascii="Arial" w:cs="Arial" w:eastAsia="Arial" w:hAnsi="Arial"/>
                <w:sz w:val="14"/>
                <w:szCs w:val="14"/>
                <w:color w:val="auto"/>
              </w:rPr>
              <w:t>$6,294</w:t>
            </w:r>
          </w:p>
        </w:tc>
        <w:tc>
          <w:tcPr>
            <w:tcW w:w="920" w:type="dxa"/>
            <w:vAlign w:val="bottom"/>
            <w:tcBorders>
              <w:bottom w:val="single" w:sz="8" w:color="6D6D6D"/>
            </w:tcBorders>
            <w:shd w:val="clear" w:color="auto" w:fill="E5E5E5"/>
          </w:tcPr>
          <w:p>
            <w:pPr>
              <w:jc w:val="right"/>
              <w:ind w:right="28"/>
              <w:spacing w:after="0"/>
              <w:rPr>
                <w:sz w:val="20"/>
                <w:szCs w:val="20"/>
                <w:color w:val="auto"/>
              </w:rPr>
            </w:pPr>
            <w:r>
              <w:rPr>
                <w:rFonts w:ascii="Arial" w:cs="Arial" w:eastAsia="Arial" w:hAnsi="Arial"/>
                <w:sz w:val="14"/>
                <w:szCs w:val="14"/>
                <w:color w:val="auto"/>
              </w:rPr>
              <w:t>$9,340</w:t>
            </w:r>
          </w:p>
        </w:tc>
        <w:tc>
          <w:tcPr>
            <w:tcW w:w="1220" w:type="dxa"/>
            <w:vAlign w:val="bottom"/>
            <w:tcBorders>
              <w:bottom w:val="single" w:sz="8" w:color="6D6D6D"/>
            </w:tcBorders>
            <w:shd w:val="clear" w:color="auto" w:fill="E5E5E5"/>
          </w:tcPr>
          <w:p>
            <w:pPr>
              <w:jc w:val="right"/>
              <w:ind w:right="9"/>
              <w:spacing w:after="0"/>
              <w:rPr>
                <w:sz w:val="20"/>
                <w:szCs w:val="20"/>
                <w:color w:val="auto"/>
              </w:rPr>
            </w:pPr>
            <w:r>
              <w:rPr>
                <w:rFonts w:ascii="Arial" w:cs="Arial" w:eastAsia="Arial" w:hAnsi="Arial"/>
                <w:sz w:val="14"/>
                <w:szCs w:val="14"/>
                <w:color w:val="auto"/>
              </w:rPr>
              <w:t>$(962)</w:t>
            </w:r>
          </w:p>
        </w:tc>
        <w:tc>
          <w:tcPr>
            <w:tcW w:w="940" w:type="dxa"/>
            <w:vAlign w:val="bottom"/>
            <w:tcBorders>
              <w:bottom w:val="single" w:sz="8" w:color="6D6D6D"/>
            </w:tcBorders>
            <w:shd w:val="clear" w:color="auto" w:fill="E5E5E5"/>
          </w:tcPr>
          <w:p>
            <w:pPr>
              <w:jc w:val="right"/>
              <w:ind w:right="49"/>
              <w:spacing w:after="0"/>
              <w:rPr>
                <w:sz w:val="20"/>
                <w:szCs w:val="20"/>
                <w:color w:val="auto"/>
              </w:rPr>
            </w:pPr>
            <w:r>
              <w:rPr>
                <w:rFonts w:ascii="Arial" w:cs="Arial" w:eastAsia="Arial" w:hAnsi="Arial"/>
                <w:sz w:val="14"/>
                <w:szCs w:val="14"/>
                <w:color w:val="auto"/>
              </w:rPr>
              <w:t>$(62)</w:t>
            </w:r>
          </w:p>
        </w:tc>
        <w:tc>
          <w:tcPr>
            <w:tcW w:w="1500" w:type="dxa"/>
            <w:vAlign w:val="bottom"/>
            <w:tcBorders>
              <w:bottom w:val="single" w:sz="8" w:color="6D6D6D"/>
            </w:tcBorders>
            <w:shd w:val="clear" w:color="auto" w:fill="E5E5E5"/>
          </w:tcPr>
          <w:p>
            <w:pPr>
              <w:jc w:val="right"/>
              <w:ind w:right="49"/>
              <w:spacing w:after="0"/>
              <w:rPr>
                <w:sz w:val="20"/>
                <w:szCs w:val="20"/>
                <w:color w:val="auto"/>
              </w:rPr>
            </w:pPr>
            <w:r>
              <w:rPr>
                <w:rFonts w:ascii="Arial" w:cs="Arial" w:eastAsia="Arial" w:hAnsi="Arial"/>
                <w:sz w:val="14"/>
                <w:szCs w:val="14"/>
                <w:color w:val="auto"/>
              </w:rPr>
              <w:t>$(7)</w:t>
            </w:r>
          </w:p>
        </w:tc>
        <w:tc>
          <w:tcPr>
            <w:tcW w:w="72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auto"/>
              </w:rPr>
              <w:t>$15,192</w:t>
            </w:r>
          </w:p>
        </w:tc>
        <w:tc>
          <w:tcPr>
            <w:tcW w:w="0" w:type="dxa"/>
            <w:vAlign w:val="bottom"/>
          </w:tcPr>
          <w:p>
            <w:pPr>
              <w:spacing w:after="0"/>
              <w:rPr>
                <w:sz w:val="1"/>
                <w:szCs w:val="1"/>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9"/>
        </w:trPr>
        <w:tc>
          <w:tcPr>
            <w:tcW w:w="33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Common stock dividend to parent</w:t>
            </w:r>
          </w:p>
        </w:tc>
        <w:tc>
          <w:tcPr>
            <w:tcW w:w="7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(247)</w:t>
            </w:r>
          </w:p>
        </w:tc>
        <w:tc>
          <w:tcPr>
            <w:tcW w:w="122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5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9"/>
        </w:trPr>
        <w:tc>
          <w:tcPr>
            <w:tcW w:w="3300" w:type="dxa"/>
            <w:vAlign w:val="bottom"/>
            <w:tcBorders>
              <w:bottom w:val="single" w:sz="8" w:color="6D6D6D"/>
            </w:tcBorders>
          </w:tcPr>
          <w:p>
            <w:pPr>
              <w:ind w:left="20"/>
              <w:spacing w:after="0"/>
              <w:rPr>
                <w:sz w:val="20"/>
                <w:szCs w:val="20"/>
                <w:color w:val="auto"/>
              </w:rPr>
            </w:pPr>
            <w:r>
              <w:rPr>
                <w:rFonts w:ascii="Arial" w:cs="Arial" w:eastAsia="Arial" w:hAnsi="Arial"/>
                <w:sz w:val="14"/>
                <w:szCs w:val="14"/>
                <w:color w:val="auto"/>
              </w:rPr>
              <w:t>Capital contribution by parent</w:t>
            </w:r>
          </w:p>
        </w:tc>
        <w:tc>
          <w:tcPr>
            <w:tcW w:w="780" w:type="dxa"/>
            <w:vAlign w:val="bottom"/>
            <w:tcBorders>
              <w:bottom w:val="single" w:sz="8" w:color="6D6D6D"/>
            </w:tcBorders>
          </w:tcPr>
          <w:p>
            <w:pPr>
              <w:spacing w:after="0"/>
              <w:rPr>
                <w:sz w:val="16"/>
                <w:szCs w:val="16"/>
                <w:color w:val="auto"/>
              </w:rPr>
            </w:pPr>
          </w:p>
        </w:tc>
        <w:tc>
          <w:tcPr>
            <w:tcW w:w="740" w:type="dxa"/>
            <w:vAlign w:val="bottom"/>
            <w:tcBorders>
              <w:bottom w:val="single" w:sz="8" w:color="6D6D6D"/>
            </w:tcBorders>
          </w:tcPr>
          <w:p>
            <w:pPr>
              <w:spacing w:after="0"/>
              <w:rPr>
                <w:sz w:val="16"/>
                <w:szCs w:val="16"/>
                <w:color w:val="auto"/>
              </w:rPr>
            </w:pPr>
          </w:p>
        </w:tc>
        <w:tc>
          <w:tcPr>
            <w:tcW w:w="1060" w:type="dxa"/>
            <w:vAlign w:val="bottom"/>
            <w:tcBorders>
              <w:bottom w:val="single" w:sz="8" w:color="6D6D6D"/>
            </w:tcBorders>
          </w:tcPr>
          <w:p>
            <w:pPr>
              <w:jc w:val="right"/>
              <w:ind w:right="9"/>
              <w:spacing w:after="0"/>
              <w:rPr>
                <w:sz w:val="20"/>
                <w:szCs w:val="20"/>
                <w:color w:val="auto"/>
              </w:rPr>
            </w:pPr>
            <w:r>
              <w:rPr>
                <w:rFonts w:ascii="Arial" w:cs="Arial" w:eastAsia="Arial" w:hAnsi="Arial"/>
                <w:sz w:val="14"/>
                <w:szCs w:val="14"/>
                <w:color w:val="auto"/>
              </w:rPr>
              <w:t>851</w:t>
            </w:r>
          </w:p>
        </w:tc>
        <w:tc>
          <w:tcPr>
            <w:tcW w:w="920" w:type="dxa"/>
            <w:vAlign w:val="bottom"/>
            <w:tcBorders>
              <w:bottom w:val="single" w:sz="8" w:color="6D6D6D"/>
            </w:tcBorders>
          </w:tcPr>
          <w:p>
            <w:pPr>
              <w:spacing w:after="0"/>
              <w:rPr>
                <w:sz w:val="16"/>
                <w:szCs w:val="16"/>
                <w:color w:val="auto"/>
              </w:rPr>
            </w:pPr>
          </w:p>
        </w:tc>
        <w:tc>
          <w:tcPr>
            <w:tcW w:w="1220" w:type="dxa"/>
            <w:vAlign w:val="bottom"/>
            <w:tcBorders>
              <w:bottom w:val="single" w:sz="8" w:color="6D6D6D"/>
            </w:tcBorders>
          </w:tcPr>
          <w:p>
            <w:pPr>
              <w:spacing w:after="0"/>
              <w:rPr>
                <w:sz w:val="16"/>
                <w:szCs w:val="16"/>
                <w:color w:val="auto"/>
              </w:rPr>
            </w:pPr>
          </w:p>
        </w:tc>
        <w:tc>
          <w:tcPr>
            <w:tcW w:w="940" w:type="dxa"/>
            <w:vAlign w:val="bottom"/>
            <w:tcBorders>
              <w:bottom w:val="single" w:sz="8" w:color="6D6D6D"/>
            </w:tcBorders>
          </w:tcPr>
          <w:p>
            <w:pPr>
              <w:spacing w:after="0"/>
              <w:rPr>
                <w:sz w:val="16"/>
                <w:szCs w:val="16"/>
                <w:color w:val="auto"/>
              </w:rPr>
            </w:pPr>
          </w:p>
        </w:tc>
        <w:tc>
          <w:tcPr>
            <w:tcW w:w="1500" w:type="dxa"/>
            <w:vAlign w:val="bottom"/>
            <w:tcBorders>
              <w:bottom w:val="single" w:sz="8" w:color="6D6D6D"/>
            </w:tcBorders>
          </w:tcPr>
          <w:p>
            <w:pPr>
              <w:spacing w:after="0"/>
              <w:rPr>
                <w:sz w:val="16"/>
                <w:szCs w:val="16"/>
                <w:color w:val="auto"/>
              </w:rPr>
            </w:pPr>
          </w:p>
        </w:tc>
        <w:tc>
          <w:tcPr>
            <w:tcW w:w="72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6D6D6D"/>
            </w:tcBorders>
            <w:shd w:val="clear" w:color="auto" w:fill="E5E5E5"/>
          </w:tcPr>
          <w:p>
            <w:pPr>
              <w:ind w:left="20"/>
              <w:spacing w:after="0"/>
              <w:rPr>
                <w:sz w:val="20"/>
                <w:szCs w:val="20"/>
                <w:color w:val="auto"/>
              </w:rPr>
            </w:pPr>
            <w:r>
              <w:rPr>
                <w:rFonts w:ascii="Arial" w:cs="Arial" w:eastAsia="Arial" w:hAnsi="Arial"/>
                <w:sz w:val="14"/>
                <w:szCs w:val="14"/>
                <w:color w:val="auto"/>
              </w:rPr>
              <w:t>BALANCE AS OF JUNE 30, 2021</w:t>
            </w:r>
          </w:p>
        </w:tc>
        <w:tc>
          <w:tcPr>
            <w:tcW w:w="780" w:type="dxa"/>
            <w:vAlign w:val="bottom"/>
            <w:tcBorders>
              <w:bottom w:val="single" w:sz="8" w:color="6D6D6D"/>
            </w:tcBorders>
            <w:shd w:val="clear" w:color="auto" w:fill="E5E5E5"/>
          </w:tcPr>
          <w:p>
            <w:pPr>
              <w:jc w:val="right"/>
              <w:ind w:right="8"/>
              <w:spacing w:after="0"/>
              <w:rPr>
                <w:sz w:val="20"/>
                <w:szCs w:val="20"/>
                <w:color w:val="auto"/>
              </w:rPr>
            </w:pPr>
            <w:r>
              <w:rPr>
                <w:rFonts w:ascii="Arial" w:cs="Arial" w:eastAsia="Arial" w:hAnsi="Arial"/>
                <w:sz w:val="14"/>
                <w:szCs w:val="14"/>
                <w:color w:val="auto"/>
              </w:rPr>
              <w:t>235</w:t>
            </w:r>
          </w:p>
        </w:tc>
        <w:tc>
          <w:tcPr>
            <w:tcW w:w="74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auto"/>
              </w:rPr>
              <w:t>$589</w:t>
            </w:r>
          </w:p>
        </w:tc>
        <w:tc>
          <w:tcPr>
            <w:tcW w:w="1060" w:type="dxa"/>
            <w:vAlign w:val="bottom"/>
            <w:tcBorders>
              <w:bottom w:val="single" w:sz="8" w:color="6D6D6D"/>
            </w:tcBorders>
            <w:shd w:val="clear" w:color="auto" w:fill="E5E5E5"/>
          </w:tcPr>
          <w:p>
            <w:pPr>
              <w:jc w:val="right"/>
              <w:ind w:right="9"/>
              <w:spacing w:after="0"/>
              <w:rPr>
                <w:sz w:val="20"/>
                <w:szCs w:val="20"/>
                <w:color w:val="auto"/>
              </w:rPr>
            </w:pPr>
            <w:r>
              <w:rPr>
                <w:rFonts w:ascii="Arial" w:cs="Arial" w:eastAsia="Arial" w:hAnsi="Arial"/>
                <w:sz w:val="14"/>
                <w:szCs w:val="14"/>
                <w:color w:val="auto"/>
              </w:rPr>
              <w:t>$7,145</w:t>
            </w:r>
          </w:p>
        </w:tc>
        <w:tc>
          <w:tcPr>
            <w:tcW w:w="920" w:type="dxa"/>
            <w:vAlign w:val="bottom"/>
            <w:tcBorders>
              <w:bottom w:val="single" w:sz="8" w:color="6D6D6D"/>
            </w:tcBorders>
            <w:shd w:val="clear" w:color="auto" w:fill="E5E5E5"/>
          </w:tcPr>
          <w:p>
            <w:pPr>
              <w:jc w:val="right"/>
              <w:ind w:right="28"/>
              <w:spacing w:after="0"/>
              <w:rPr>
                <w:sz w:val="20"/>
                <w:szCs w:val="20"/>
                <w:color w:val="auto"/>
              </w:rPr>
            </w:pPr>
            <w:r>
              <w:rPr>
                <w:rFonts w:ascii="Arial" w:cs="Arial" w:eastAsia="Arial" w:hAnsi="Arial"/>
                <w:sz w:val="14"/>
                <w:szCs w:val="14"/>
                <w:color w:val="auto"/>
              </w:rPr>
              <w:t>$9,221</w:t>
            </w:r>
          </w:p>
        </w:tc>
        <w:tc>
          <w:tcPr>
            <w:tcW w:w="1220" w:type="dxa"/>
            <w:vAlign w:val="bottom"/>
            <w:tcBorders>
              <w:bottom w:val="single" w:sz="8" w:color="6D6D6D"/>
            </w:tcBorders>
            <w:shd w:val="clear" w:color="auto" w:fill="E5E5E5"/>
          </w:tcPr>
          <w:p>
            <w:pPr>
              <w:jc w:val="right"/>
              <w:ind w:right="9"/>
              <w:spacing w:after="0"/>
              <w:rPr>
                <w:sz w:val="20"/>
                <w:szCs w:val="20"/>
                <w:color w:val="auto"/>
              </w:rPr>
            </w:pPr>
            <w:r>
              <w:rPr>
                <w:rFonts w:ascii="Arial" w:cs="Arial" w:eastAsia="Arial" w:hAnsi="Arial"/>
                <w:sz w:val="14"/>
                <w:szCs w:val="14"/>
                <w:color w:val="auto"/>
              </w:rPr>
              <w:t>$(962)</w:t>
            </w:r>
          </w:p>
        </w:tc>
        <w:tc>
          <w:tcPr>
            <w:tcW w:w="940" w:type="dxa"/>
            <w:vAlign w:val="bottom"/>
            <w:tcBorders>
              <w:bottom w:val="single" w:sz="8" w:color="6D6D6D"/>
            </w:tcBorders>
            <w:shd w:val="clear" w:color="auto" w:fill="E5E5E5"/>
          </w:tcPr>
          <w:p>
            <w:pPr>
              <w:jc w:val="right"/>
              <w:ind w:right="49"/>
              <w:spacing w:after="0"/>
              <w:rPr>
                <w:sz w:val="20"/>
                <w:szCs w:val="20"/>
                <w:color w:val="auto"/>
              </w:rPr>
            </w:pPr>
            <w:r>
              <w:rPr>
                <w:rFonts w:ascii="Arial" w:cs="Arial" w:eastAsia="Arial" w:hAnsi="Arial"/>
                <w:sz w:val="14"/>
                <w:szCs w:val="14"/>
                <w:color w:val="auto"/>
              </w:rPr>
              <w:t>$(62)</w:t>
            </w:r>
          </w:p>
        </w:tc>
        <w:tc>
          <w:tcPr>
            <w:tcW w:w="1500" w:type="dxa"/>
            <w:vAlign w:val="bottom"/>
            <w:tcBorders>
              <w:bottom w:val="single" w:sz="8" w:color="6D6D6D"/>
            </w:tcBorders>
            <w:shd w:val="clear" w:color="auto" w:fill="E5E5E5"/>
          </w:tcPr>
          <w:p>
            <w:pPr>
              <w:jc w:val="right"/>
              <w:ind w:right="49"/>
              <w:spacing w:after="0"/>
              <w:rPr>
                <w:sz w:val="20"/>
                <w:szCs w:val="20"/>
                <w:color w:val="auto"/>
              </w:rPr>
            </w:pPr>
            <w:r>
              <w:rPr>
                <w:rFonts w:ascii="Arial" w:cs="Arial" w:eastAsia="Arial" w:hAnsi="Arial"/>
                <w:sz w:val="14"/>
                <w:szCs w:val="14"/>
                <w:color w:val="auto"/>
              </w:rPr>
              <w:t>$(7)</w:t>
            </w:r>
          </w:p>
        </w:tc>
        <w:tc>
          <w:tcPr>
            <w:tcW w:w="72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auto"/>
              </w:rPr>
              <w:t>$15,924</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4" w:right="39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NOTES TO THE FINANCIAL STATEMENTS (UNAUDITED)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7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These combined notes accompany and form an integral part of the separate interim consolidated financial statements of each of the two separate registrants: Consolidated Edison, Inc. and its subsidiaries (Con Edison) and Consolidated Edison Company of New York, Inc. and its subsidiaries (CECONY). CECONY is a subsidiary of Con Edison and as such its financial condition and results of operations and cash flows, which are presented separately in the CECONY consolidated financial statements, are also consolidated, along with those of Orange and Rockland Utilities, Inc. (O&amp;R), Con Edison Clean Energy Businesses, Inc. (together with its subsidiaries, the Clean Energy Businesses) and Con Edison Transmission, Inc. (together with its subsidiaries, Con Edison Transmission) in Con Edison’s consolidated financial statements. The term “Utilities” is used in these notes to refer to CECONY and O&amp;R.</w:t>
      </w:r>
    </w:p>
    <w:p>
      <w:pPr>
        <w:spacing w:after="0" w:line="112"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As used in these notes, the term “Companies” refers to Con Edison and CECONY and, except as otherwise noted, the information in these combined notes relates to each of the Companies. However, CECONY makes no representation as to information relating to Con Edison or the subsidiaries of Con Edison other than itself.</w:t>
      </w:r>
    </w:p>
    <w:p>
      <w:pPr>
        <w:spacing w:after="0" w:line="1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separate interim consolidated financial statements of each of the Companies are unaudited but, in the opinion of their respective managements, reflect all adjustments (which include only normally recurring adjustments) necessary for a fair statement of the results for the interim periods presented. The Companies’ separate interim consolidated financial statements should be read together with their separate audited financial statements (including the combined notes thereto) included in Item 8 of their combined Annual Report on Form 10-K for the year ended December 31, 2020 and their separate unaudited financial statements (including the combined notes thereto) included in Part 1, Item 1 of their combined Quarterly Report on Form 10-Q for the quarterly period ended March 31, 2021.</w:t>
      </w:r>
    </w:p>
    <w:p>
      <w:pPr>
        <w:spacing w:after="0" w:line="1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 Edison has two regulated utility subsidiaries: CECONY and O&amp;R. CECONY provides electric service and gas service in New York City and Westchester County. The company also provides steam service in parts of Manhattan. O&amp;R, along with its regulated utility subsidiary, provides electric service in southeastern New York and northern New Jersey and gas service in southeastern New York. Con Edison Clean Energy Businesses, Inc., through its subsidiaries, develops, owns and operates renewable and sustainable energy infrastructure projects and provides energy-related products and services to wholesale and retail customers. Con Edison Transmission, Inc. invests in and seeks to develop electric transmission projects through its subsidiary, Consolidated Edison Transmission, LLC (CET Electric), and manages, through joint ventures, investments in gas pipeline and storage facilities through its subsidiary Con Edison Gas Pipeline and Storage, LLC (CET Gas). See “Investments” in Note A and Note 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Note A – Summary of Significant Accounting Policies and Other Matters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9"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color w:val="auto"/>
        </w:rPr>
        <w:t>The accounting policies of Con Edison and its subsidiaries conform to generally accepted accounting principles in the United States of America (GAAP). For the Utilities, these accounting principles include the accounting rules for regulated operations and the accounting requirements of the Federal Energy Regulatory Commission (FERC) and the state regulators having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8"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Con Edison's investments consist primarily of the investments of Con Edison Transmission that are accounted for under the equity method and the fair value of the Utilities' supplemental retirement income plan and deferred income plan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Partial Impairment of Investment in Stagecoach Gas Services LLC (Stagecoach)</w:t>
      </w:r>
    </w:p>
    <w:p>
      <w:pPr>
        <w:spacing w:after="0" w:line="18"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In May 2021, a subsidiary of Con Edison Gas Pipeline and Storage, LLC (CET Gas) entered into a purchase and sale agreement pursuant to which the subsidiary and its joint venture partner agreed to sell their combined interests in Stagecoach Gas Services LLC (Stagecoach) for a total of $1,225 million, of which $612.5 million will be CET Gas' portion for its 50 percent interest, subject to closing adjustments. The purchase and sale agreement contemplates a two-stage closing, the first of which was completed in July 2021 for a sale price of</w:t>
      </w:r>
    </w:p>
    <w:p>
      <w:pPr>
        <w:spacing w:after="0" w:line="1" w:lineRule="exact"/>
        <w:rPr>
          <w:sz w:val="20"/>
          <w:szCs w:val="20"/>
          <w:color w:val="auto"/>
        </w:rPr>
      </w:pPr>
    </w:p>
    <w:p>
      <w:pPr>
        <w:jc w:val="both"/>
        <w:ind w:right="40"/>
        <w:spacing w:after="0" w:line="229" w:lineRule="auto"/>
        <w:rPr>
          <w:sz w:val="20"/>
          <w:szCs w:val="20"/>
          <w:color w:val="auto"/>
        </w:rPr>
      </w:pPr>
      <w:r>
        <w:rPr>
          <w:rFonts w:ascii="Arial" w:cs="Arial" w:eastAsia="Arial" w:hAnsi="Arial"/>
          <w:sz w:val="18"/>
          <w:szCs w:val="18"/>
          <w:color w:val="auto"/>
        </w:rPr>
        <w:t>$1,195 million, of which $614 million, including working capital, was attributed to CET Gas. The second closing for the remaining $30 million, of which $15 million will be attributed to CET Gas, subject to closing adjustments, is to occur following approval by the New York State Public Service Commission, which is expected during the first quarter of 2022, subject to customary closing conditions.</w:t>
      </w:r>
    </w:p>
    <w:p>
      <w:pPr>
        <w:spacing w:after="0" w:line="218"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As a result of information made available to Stagecoach as part of the sale process, Stagecoach performed impairment tests that resulted in Stagecoach recording impairment charges of $71 million and $414 million for the three and six months ended June 30, 2021, respectively. Accordingly, Con Edison recorded pre-tax impairment</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ind w:right="80"/>
        <w:spacing w:after="0" w:line="227" w:lineRule="auto"/>
        <w:rPr>
          <w:sz w:val="20"/>
          <w:szCs w:val="20"/>
          <w:color w:val="auto"/>
        </w:rPr>
      </w:pPr>
      <w:r>
        <w:rPr>
          <w:rFonts w:ascii="Arial" w:cs="Arial" w:eastAsia="Arial" w:hAnsi="Arial"/>
          <w:sz w:val="18"/>
          <w:szCs w:val="18"/>
          <w:color w:val="auto"/>
        </w:rPr>
        <w:t>losses on its 50 percent interest in Stagecoach of $39 million ($27 million after-tax) and $211 million ($147 million after-tax), including working capital and transaction cost adjustments, within "Investment income/(loss)" on Con Edison's consolidated income statements for the three and six months ended June 30, 2021, respectively. These charges reduced the carrying value of Con Edison’s investment in Stagecoach to $630 million at June 30, 2021.</w:t>
      </w:r>
    </w:p>
    <w:p>
      <w:pPr>
        <w:spacing w:after="0" w:line="21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Stagecoach’s impairment charges and information obtained from the sales process constituted triggering events for Con Edison's investment in Stagecoach as of March 31, 2021 and June 30, 2021. Con Edison evaluated the carrying value of its investment in Stagecoach for other-than-temporary declines in value using income and market-based approaches. Con Edison determined that the carrying value of its investment in Stagecoach of $667 million and $ 630 million as of March 31, 2021 and June 30, 2021, respectively, was not impaired. The carrying value of $630 million at June 30, 2021 approximates the final sales price received in July 2021 and the remaining amount expected to be received, including closing adjustments.</w:t>
      </w:r>
    </w:p>
    <w:p>
      <w:pPr>
        <w:spacing w:after="0" w:line="218"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The accounting rules require Con Edison to evaluate its investments periodically to determine whether they are impaired. The standard for determining whether an impairment exists and must be recorded is whether an other-than-temporary decline in carrying value has occurred. Changes in economic conditions, forecasted cash flows and the regulatory environment, among other factors, could require equity method investments to recognize a decrease in carrying value for an other-than-temporary decline. When management believes such a decline may have occurred, the fair value of the investment is estimated using market inputs, when observable, or a market valuation model such as a discounted cash flow analysis. The fair value is compared to the carrying value of the investment in order to determine the amount of impairment to record, if any.</w:t>
      </w:r>
    </w:p>
    <w:p>
      <w:pPr>
        <w:spacing w:after="0" w:line="220"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evaluation and measurement of impairments involve uncertainties. The judgments that Con Edison makes to estimate the fair value of its equity method investments are based on assumptions that management believes are reasonable, and variations in these estimates or the underlying assumptions, or the receipt of additional market information, could have a material impact on whether a triggering event is determined to exist or the amount of any such impairment. Additionally, if the projects in which Con Edison holds these investments recognize an impairment, Con Edison may record a share of that impairment loss and would evaluate its investment for an other-than-temporary decline in carrying value as described above.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Common Share</w:t>
      </w:r>
    </w:p>
    <w:p>
      <w:pPr>
        <w:spacing w:after="0" w:line="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Con Edison presents basic and diluted earnings per share (EPS) on the face of its consolidated income statement. Basic EPS is calculated by dividing earnings available to common shareholders (“Net income for common stock” on Con Edison’s consolidated income statement) by the weighted average number of Con Edison common shares outstanding during the period. In the calculation of diluted EPS, weighted average shares outstanding is increased for additional shares that would be outstanding if potentially dilutive securities were converted to common stock.</w:t>
      </w:r>
    </w:p>
    <w:p>
      <w:pPr>
        <w:spacing w:after="0" w:line="23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Potentially dilutive securities for Con Edison consist of restricted stock units and deferred stock units for which the average market price of the common shares for the period was greater than the exercise price.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2021 and 2020, basic and diluted EPS for Con Edison were calculated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2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For the Three Months Ended</w:t>
            </w:r>
          </w:p>
        </w:tc>
        <w:tc>
          <w:tcPr>
            <w:tcW w:w="20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5980" w:type="dxa"/>
            <w:vAlign w:val="bottom"/>
            <w:tcBorders>
              <w:bottom w:val="single" w:sz="8" w:color="8C8272"/>
            </w:tcBorders>
          </w:tcPr>
          <w:p>
            <w:pPr>
              <w:spacing w:after="0"/>
              <w:rPr>
                <w:sz w:val="15"/>
                <w:szCs w:val="15"/>
                <w:color w:val="auto"/>
              </w:rPr>
            </w:pPr>
          </w:p>
        </w:tc>
        <w:tc>
          <w:tcPr>
            <w:tcW w:w="258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8C8272"/>
            </w:tcBorders>
          </w:tcPr>
          <w:p>
            <w:pPr>
              <w:spacing w:after="0"/>
              <w:rPr>
                <w:sz w:val="15"/>
                <w:szCs w:val="15"/>
                <w:color w:val="auto"/>
              </w:rPr>
            </w:pPr>
          </w:p>
        </w:tc>
        <w:tc>
          <w:tcPr>
            <w:tcW w:w="146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8C8272"/>
            </w:tcBorders>
          </w:tcPr>
          <w:p>
            <w:pPr>
              <w:spacing w:after="0"/>
              <w:rPr>
                <w:sz w:val="15"/>
                <w:szCs w:val="15"/>
                <w:color w:val="auto"/>
              </w:rPr>
            </w:pPr>
          </w:p>
        </w:tc>
      </w:tr>
      <w:tr>
        <w:trPr>
          <w:trHeight w:val="183"/>
        </w:trPr>
        <w:tc>
          <w:tcPr>
            <w:tcW w:w="598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 except per share amounts/Shares in Millions)</w:t>
            </w:r>
          </w:p>
        </w:tc>
        <w:tc>
          <w:tcPr>
            <w:tcW w:w="2580" w:type="dxa"/>
            <w:vAlign w:val="bottom"/>
            <w:tcBorders>
              <w:bottom w:val="single" w:sz="8" w:color="8C8272"/>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460" w:type="dxa"/>
            <w:vAlign w:val="bottom"/>
            <w:tcBorders>
              <w:bottom w:val="single" w:sz="8" w:color="8C8272"/>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5980" w:type="dxa"/>
            <w:vAlign w:val="bottom"/>
            <w:tcBorders>
              <w:bottom w:val="single" w:sz="8" w:color="8C8272"/>
            </w:tcBorders>
            <w:shd w:val="clear" w:color="auto" w:fill="E0E0E0"/>
          </w:tcPr>
          <w:p>
            <w:pPr>
              <w:ind w:left="20"/>
              <w:spacing w:after="0"/>
              <w:rPr>
                <w:sz w:val="20"/>
                <w:szCs w:val="20"/>
                <w:color w:val="auto"/>
              </w:rPr>
            </w:pPr>
            <w:r>
              <w:rPr>
                <w:rFonts w:ascii="Arial" w:cs="Arial" w:eastAsia="Arial" w:hAnsi="Arial"/>
                <w:sz w:val="14"/>
                <w:szCs w:val="14"/>
                <w:color w:val="auto"/>
              </w:rPr>
              <w:t>Net income for common stock</w:t>
            </w:r>
          </w:p>
        </w:tc>
        <w:tc>
          <w:tcPr>
            <w:tcW w:w="2580" w:type="dxa"/>
            <w:vAlign w:val="bottom"/>
            <w:tcBorders>
              <w:bottom w:val="single" w:sz="8" w:color="8C8272"/>
            </w:tcBorders>
            <w:shd w:val="clear" w:color="auto" w:fill="E0E0E0"/>
          </w:tcPr>
          <w:p>
            <w:pPr>
              <w:jc w:val="right"/>
              <w:ind w:right="428"/>
              <w:spacing w:after="0"/>
              <w:rPr>
                <w:sz w:val="20"/>
                <w:szCs w:val="20"/>
                <w:color w:val="auto"/>
              </w:rPr>
            </w:pPr>
            <w:r>
              <w:rPr>
                <w:rFonts w:ascii="Arial" w:cs="Arial" w:eastAsia="Arial" w:hAnsi="Arial"/>
                <w:sz w:val="14"/>
                <w:szCs w:val="14"/>
                <w:color w:val="auto"/>
              </w:rPr>
              <w:t>$165</w:t>
            </w:r>
          </w:p>
        </w:tc>
        <w:tc>
          <w:tcPr>
            <w:tcW w:w="640" w:type="dxa"/>
            <w:vAlign w:val="bottom"/>
            <w:tcBorders>
              <w:bottom w:val="single" w:sz="8" w:color="8C8272"/>
            </w:tcBorders>
            <w:shd w:val="clear" w:color="auto" w:fill="E0E0E0"/>
          </w:tcPr>
          <w:p>
            <w:pPr>
              <w:jc w:val="right"/>
              <w:ind w:right="8"/>
              <w:spacing w:after="0"/>
              <w:rPr>
                <w:sz w:val="20"/>
                <w:szCs w:val="20"/>
                <w:color w:val="auto"/>
              </w:rPr>
            </w:pPr>
            <w:r>
              <w:rPr>
                <w:rFonts w:ascii="Arial" w:cs="Arial" w:eastAsia="Arial" w:hAnsi="Arial"/>
                <w:sz w:val="14"/>
                <w:szCs w:val="14"/>
                <w:color w:val="auto"/>
              </w:rPr>
              <w:t>$190</w:t>
            </w:r>
          </w:p>
        </w:tc>
        <w:tc>
          <w:tcPr>
            <w:tcW w:w="1460" w:type="dxa"/>
            <w:vAlign w:val="bottom"/>
            <w:tcBorders>
              <w:bottom w:val="single" w:sz="8" w:color="8C8272"/>
            </w:tcBorders>
            <w:shd w:val="clear" w:color="auto" w:fill="E0E0E0"/>
          </w:tcPr>
          <w:p>
            <w:pPr>
              <w:jc w:val="right"/>
              <w:ind w:right="428"/>
              <w:spacing w:after="0"/>
              <w:rPr>
                <w:sz w:val="20"/>
                <w:szCs w:val="20"/>
                <w:color w:val="auto"/>
              </w:rPr>
            </w:pPr>
            <w:r>
              <w:rPr>
                <w:rFonts w:ascii="Arial" w:cs="Arial" w:eastAsia="Arial" w:hAnsi="Arial"/>
                <w:sz w:val="14"/>
                <w:szCs w:val="14"/>
                <w:color w:val="auto"/>
              </w:rPr>
              <w:t>$584</w:t>
            </w:r>
          </w:p>
        </w:tc>
        <w:tc>
          <w:tcPr>
            <w:tcW w:w="58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$565</w:t>
            </w:r>
          </w:p>
        </w:tc>
      </w:tr>
      <w:tr>
        <w:trPr>
          <w:trHeight w:val="183"/>
        </w:trPr>
        <w:tc>
          <w:tcPr>
            <w:tcW w:w="598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 basic</w:t>
            </w:r>
          </w:p>
        </w:tc>
        <w:tc>
          <w:tcPr>
            <w:tcW w:w="2580" w:type="dxa"/>
            <w:vAlign w:val="bottom"/>
          </w:tcPr>
          <w:p>
            <w:pPr>
              <w:jc w:val="right"/>
              <w:ind w:right="428"/>
              <w:spacing w:after="0"/>
              <w:rPr>
                <w:sz w:val="20"/>
                <w:szCs w:val="20"/>
                <w:color w:val="auto"/>
              </w:rPr>
            </w:pPr>
            <w:r>
              <w:rPr>
                <w:rFonts w:ascii="Arial" w:cs="Arial" w:eastAsia="Arial" w:hAnsi="Arial"/>
                <w:sz w:val="14"/>
                <w:szCs w:val="14"/>
                <w:color w:val="auto"/>
              </w:rPr>
              <w:t>345.4</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334.1</w:t>
            </w:r>
          </w:p>
        </w:tc>
        <w:tc>
          <w:tcPr>
            <w:tcW w:w="1460" w:type="dxa"/>
            <w:vAlign w:val="bottom"/>
          </w:tcPr>
          <w:p>
            <w:pPr>
              <w:jc w:val="right"/>
              <w:ind w:right="428"/>
              <w:spacing w:after="0"/>
              <w:rPr>
                <w:sz w:val="20"/>
                <w:szCs w:val="20"/>
                <w:color w:val="auto"/>
              </w:rPr>
            </w:pPr>
            <w:r>
              <w:rPr>
                <w:rFonts w:ascii="Arial" w:cs="Arial" w:eastAsia="Arial" w:hAnsi="Arial"/>
                <w:sz w:val="14"/>
                <w:szCs w:val="14"/>
                <w:color w:val="auto"/>
              </w:rPr>
              <w:t>344.0</w:t>
            </w:r>
          </w:p>
        </w:tc>
        <w:tc>
          <w:tcPr>
            <w:tcW w:w="580" w:type="dxa"/>
            <w:vAlign w:val="bottom"/>
          </w:tcPr>
          <w:p>
            <w:pPr>
              <w:jc w:val="right"/>
              <w:spacing w:after="0"/>
              <w:rPr>
                <w:sz w:val="20"/>
                <w:szCs w:val="20"/>
                <w:color w:val="auto"/>
              </w:rPr>
            </w:pPr>
            <w:r>
              <w:rPr>
                <w:rFonts w:ascii="Arial" w:cs="Arial" w:eastAsia="Arial" w:hAnsi="Arial"/>
                <w:sz w:val="14"/>
                <w:szCs w:val="14"/>
                <w:color w:val="auto"/>
              </w:rPr>
              <w:t>333.8</w:t>
            </w:r>
          </w:p>
        </w:tc>
      </w:tr>
      <w:tr>
        <w:trPr>
          <w:trHeight w:val="189"/>
        </w:trPr>
        <w:tc>
          <w:tcPr>
            <w:tcW w:w="5980" w:type="dxa"/>
            <w:vAlign w:val="bottom"/>
            <w:tcBorders>
              <w:bottom w:val="single" w:sz="8" w:color="8C8272"/>
            </w:tcBorders>
            <w:shd w:val="clear" w:color="auto" w:fill="E0E0E0"/>
          </w:tcPr>
          <w:p>
            <w:pPr>
              <w:ind w:left="20"/>
              <w:spacing w:after="0"/>
              <w:rPr>
                <w:sz w:val="20"/>
                <w:szCs w:val="20"/>
                <w:color w:val="auto"/>
              </w:rPr>
            </w:pPr>
            <w:r>
              <w:rPr>
                <w:rFonts w:ascii="Arial" w:cs="Arial" w:eastAsia="Arial" w:hAnsi="Arial"/>
                <w:sz w:val="14"/>
                <w:szCs w:val="14"/>
                <w:color w:val="auto"/>
              </w:rPr>
              <w:t>Add: Incremental shares attributable to effect of potentially dilutive securities</w:t>
            </w:r>
          </w:p>
        </w:tc>
        <w:tc>
          <w:tcPr>
            <w:tcW w:w="2580" w:type="dxa"/>
            <w:vAlign w:val="bottom"/>
            <w:tcBorders>
              <w:bottom w:val="single" w:sz="8" w:color="8C8272"/>
            </w:tcBorders>
            <w:shd w:val="clear" w:color="auto" w:fill="E0E0E0"/>
          </w:tcPr>
          <w:p>
            <w:pPr>
              <w:jc w:val="right"/>
              <w:ind w:right="428"/>
              <w:spacing w:after="0"/>
              <w:rPr>
                <w:sz w:val="20"/>
                <w:szCs w:val="20"/>
                <w:color w:val="auto"/>
              </w:rPr>
            </w:pPr>
            <w:r>
              <w:rPr>
                <w:rFonts w:ascii="Arial" w:cs="Arial" w:eastAsia="Arial" w:hAnsi="Arial"/>
                <w:sz w:val="14"/>
                <w:szCs w:val="14"/>
                <w:color w:val="auto"/>
              </w:rPr>
              <w:t>0.8</w:t>
            </w:r>
          </w:p>
        </w:tc>
        <w:tc>
          <w:tcPr>
            <w:tcW w:w="640" w:type="dxa"/>
            <w:vAlign w:val="bottom"/>
            <w:tcBorders>
              <w:bottom w:val="single" w:sz="8" w:color="8C8272"/>
            </w:tcBorders>
            <w:shd w:val="clear" w:color="auto" w:fill="E0E0E0"/>
          </w:tcPr>
          <w:p>
            <w:pPr>
              <w:jc w:val="right"/>
              <w:ind w:right="8"/>
              <w:spacing w:after="0"/>
              <w:rPr>
                <w:sz w:val="20"/>
                <w:szCs w:val="20"/>
                <w:color w:val="auto"/>
              </w:rPr>
            </w:pPr>
            <w:r>
              <w:rPr>
                <w:rFonts w:ascii="Arial" w:cs="Arial" w:eastAsia="Arial" w:hAnsi="Arial"/>
                <w:sz w:val="14"/>
                <w:szCs w:val="14"/>
                <w:color w:val="auto"/>
              </w:rPr>
              <w:t>0.9</w:t>
            </w:r>
          </w:p>
        </w:tc>
        <w:tc>
          <w:tcPr>
            <w:tcW w:w="1460" w:type="dxa"/>
            <w:vAlign w:val="bottom"/>
            <w:tcBorders>
              <w:bottom w:val="single" w:sz="8" w:color="8C8272"/>
            </w:tcBorders>
            <w:shd w:val="clear" w:color="auto" w:fill="E0E0E0"/>
          </w:tcPr>
          <w:p>
            <w:pPr>
              <w:jc w:val="right"/>
              <w:ind w:right="428"/>
              <w:spacing w:after="0"/>
              <w:rPr>
                <w:sz w:val="20"/>
                <w:szCs w:val="20"/>
                <w:color w:val="auto"/>
              </w:rPr>
            </w:pPr>
            <w:r>
              <w:rPr>
                <w:rFonts w:ascii="Arial" w:cs="Arial" w:eastAsia="Arial" w:hAnsi="Arial"/>
                <w:sz w:val="14"/>
                <w:szCs w:val="14"/>
                <w:color w:val="auto"/>
              </w:rPr>
              <w:t>0.8</w:t>
            </w:r>
          </w:p>
        </w:tc>
        <w:tc>
          <w:tcPr>
            <w:tcW w:w="58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0.9</w:t>
            </w:r>
          </w:p>
        </w:tc>
      </w:tr>
      <w:tr>
        <w:trPr>
          <w:trHeight w:val="183"/>
        </w:trPr>
        <w:tc>
          <w:tcPr>
            <w:tcW w:w="598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Adjusted weighted average common shares outstanding – diluted</w:t>
            </w:r>
          </w:p>
        </w:tc>
        <w:tc>
          <w:tcPr>
            <w:tcW w:w="2580" w:type="dxa"/>
            <w:vAlign w:val="bottom"/>
            <w:tcBorders>
              <w:bottom w:val="single" w:sz="8" w:color="8C8272"/>
            </w:tcBorders>
          </w:tcPr>
          <w:p>
            <w:pPr>
              <w:jc w:val="right"/>
              <w:ind w:right="428"/>
              <w:spacing w:after="0"/>
              <w:rPr>
                <w:sz w:val="20"/>
                <w:szCs w:val="20"/>
                <w:color w:val="auto"/>
              </w:rPr>
            </w:pPr>
            <w:r>
              <w:rPr>
                <w:rFonts w:ascii="Arial" w:cs="Arial" w:eastAsia="Arial" w:hAnsi="Arial"/>
                <w:sz w:val="14"/>
                <w:szCs w:val="14"/>
                <w:color w:val="auto"/>
              </w:rPr>
              <w:t>346.2</w:t>
            </w:r>
          </w:p>
        </w:tc>
        <w:tc>
          <w:tcPr>
            <w:tcW w:w="64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color w:val="auto"/>
              </w:rPr>
              <w:t>335.0</w:t>
            </w:r>
          </w:p>
        </w:tc>
        <w:tc>
          <w:tcPr>
            <w:tcW w:w="1460" w:type="dxa"/>
            <w:vAlign w:val="bottom"/>
            <w:tcBorders>
              <w:bottom w:val="single" w:sz="8" w:color="8C8272"/>
            </w:tcBorders>
          </w:tcPr>
          <w:p>
            <w:pPr>
              <w:jc w:val="right"/>
              <w:ind w:right="428"/>
              <w:spacing w:after="0"/>
              <w:rPr>
                <w:sz w:val="20"/>
                <w:szCs w:val="20"/>
                <w:color w:val="auto"/>
              </w:rPr>
            </w:pPr>
            <w:r>
              <w:rPr>
                <w:rFonts w:ascii="Arial" w:cs="Arial" w:eastAsia="Arial" w:hAnsi="Arial"/>
                <w:sz w:val="14"/>
                <w:szCs w:val="14"/>
                <w:color w:val="auto"/>
              </w:rPr>
              <w:t>344.8</w:t>
            </w:r>
          </w:p>
        </w:tc>
        <w:tc>
          <w:tcPr>
            <w:tcW w:w="5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334.7</w:t>
            </w:r>
          </w:p>
        </w:tc>
      </w:tr>
      <w:tr>
        <w:trPr>
          <w:trHeight w:val="183"/>
        </w:trPr>
        <w:tc>
          <w:tcPr>
            <w:tcW w:w="5980" w:type="dxa"/>
            <w:vAlign w:val="bottom"/>
            <w:shd w:val="clear" w:color="auto" w:fill="E0E0E0"/>
          </w:tcPr>
          <w:p>
            <w:pPr>
              <w:ind w:left="140"/>
              <w:spacing w:after="0"/>
              <w:rPr>
                <w:sz w:val="20"/>
                <w:szCs w:val="20"/>
                <w:color w:val="auto"/>
              </w:rPr>
            </w:pPr>
            <w:r>
              <w:rPr>
                <w:rFonts w:ascii="Arial" w:cs="Arial" w:eastAsia="Arial" w:hAnsi="Arial"/>
                <w:sz w:val="14"/>
                <w:szCs w:val="14"/>
                <w:color w:val="auto"/>
              </w:rPr>
              <w:t>Net Income per common share – basic</w:t>
            </w:r>
          </w:p>
        </w:tc>
        <w:tc>
          <w:tcPr>
            <w:tcW w:w="2580" w:type="dxa"/>
            <w:vAlign w:val="bottom"/>
            <w:shd w:val="clear" w:color="auto" w:fill="E0E0E0"/>
          </w:tcPr>
          <w:p>
            <w:pPr>
              <w:jc w:val="right"/>
              <w:ind w:right="428"/>
              <w:spacing w:after="0"/>
              <w:rPr>
                <w:sz w:val="20"/>
                <w:szCs w:val="20"/>
                <w:color w:val="auto"/>
              </w:rPr>
            </w:pPr>
            <w:r>
              <w:rPr>
                <w:rFonts w:ascii="Arial" w:cs="Arial" w:eastAsia="Arial" w:hAnsi="Arial"/>
                <w:sz w:val="14"/>
                <w:szCs w:val="14"/>
                <w:color w:val="auto"/>
              </w:rPr>
              <w:t>$0.48</w:t>
            </w:r>
          </w:p>
        </w:tc>
        <w:tc>
          <w:tcPr>
            <w:tcW w:w="640" w:type="dxa"/>
            <w:vAlign w:val="bottom"/>
            <w:shd w:val="clear" w:color="auto" w:fill="E0E0E0"/>
          </w:tcPr>
          <w:p>
            <w:pPr>
              <w:jc w:val="right"/>
              <w:ind w:right="8"/>
              <w:spacing w:after="0"/>
              <w:rPr>
                <w:sz w:val="20"/>
                <w:szCs w:val="20"/>
                <w:color w:val="auto"/>
              </w:rPr>
            </w:pPr>
            <w:r>
              <w:rPr>
                <w:rFonts w:ascii="Arial" w:cs="Arial" w:eastAsia="Arial" w:hAnsi="Arial"/>
                <w:sz w:val="14"/>
                <w:szCs w:val="14"/>
                <w:color w:val="auto"/>
              </w:rPr>
              <w:t>$0.57</w:t>
            </w:r>
          </w:p>
        </w:tc>
        <w:tc>
          <w:tcPr>
            <w:tcW w:w="1460" w:type="dxa"/>
            <w:vAlign w:val="bottom"/>
            <w:shd w:val="clear" w:color="auto" w:fill="E0E0E0"/>
          </w:tcPr>
          <w:p>
            <w:pPr>
              <w:jc w:val="right"/>
              <w:ind w:right="428"/>
              <w:spacing w:after="0"/>
              <w:rPr>
                <w:sz w:val="20"/>
                <w:szCs w:val="20"/>
                <w:color w:val="auto"/>
              </w:rPr>
            </w:pPr>
            <w:r>
              <w:rPr>
                <w:rFonts w:ascii="Arial" w:cs="Arial" w:eastAsia="Arial" w:hAnsi="Arial"/>
                <w:sz w:val="14"/>
                <w:szCs w:val="14"/>
                <w:color w:val="auto"/>
              </w:rPr>
              <w:t>$1.70</w:t>
            </w:r>
          </w:p>
        </w:tc>
        <w:tc>
          <w:tcPr>
            <w:tcW w:w="580" w:type="dxa"/>
            <w:vAlign w:val="bottom"/>
            <w:shd w:val="clear" w:color="auto" w:fill="E0E0E0"/>
          </w:tcPr>
          <w:p>
            <w:pPr>
              <w:jc w:val="right"/>
              <w:spacing w:after="0"/>
              <w:rPr>
                <w:sz w:val="20"/>
                <w:szCs w:val="20"/>
                <w:color w:val="auto"/>
              </w:rPr>
            </w:pPr>
            <w:r>
              <w:rPr>
                <w:rFonts w:ascii="Arial" w:cs="Arial" w:eastAsia="Arial" w:hAnsi="Arial"/>
                <w:sz w:val="14"/>
                <w:szCs w:val="14"/>
                <w:color w:val="auto"/>
              </w:rPr>
              <w:t>$1.69</w:t>
            </w:r>
          </w:p>
        </w:tc>
      </w:tr>
      <w:tr>
        <w:trPr>
          <w:trHeight w:val="189"/>
        </w:trPr>
        <w:tc>
          <w:tcPr>
            <w:tcW w:w="5980" w:type="dxa"/>
            <w:vAlign w:val="bottom"/>
            <w:tcBorders>
              <w:bottom w:val="single" w:sz="8" w:color="8C8272"/>
            </w:tcBorders>
          </w:tcPr>
          <w:p>
            <w:pPr>
              <w:ind w:left="140"/>
              <w:spacing w:after="0"/>
              <w:rPr>
                <w:sz w:val="20"/>
                <w:szCs w:val="20"/>
                <w:color w:val="auto"/>
              </w:rPr>
            </w:pPr>
            <w:r>
              <w:rPr>
                <w:rFonts w:ascii="Arial" w:cs="Arial" w:eastAsia="Arial" w:hAnsi="Arial"/>
                <w:sz w:val="14"/>
                <w:szCs w:val="14"/>
                <w:color w:val="auto"/>
              </w:rPr>
              <w:t>Net Income per common share – diluted</w:t>
            </w:r>
          </w:p>
        </w:tc>
        <w:tc>
          <w:tcPr>
            <w:tcW w:w="2580" w:type="dxa"/>
            <w:vAlign w:val="bottom"/>
            <w:tcBorders>
              <w:bottom w:val="single" w:sz="8" w:color="8C8272"/>
            </w:tcBorders>
          </w:tcPr>
          <w:p>
            <w:pPr>
              <w:jc w:val="right"/>
              <w:ind w:right="428"/>
              <w:spacing w:after="0"/>
              <w:rPr>
                <w:sz w:val="20"/>
                <w:szCs w:val="20"/>
                <w:color w:val="auto"/>
              </w:rPr>
            </w:pPr>
            <w:r>
              <w:rPr>
                <w:rFonts w:ascii="Arial" w:cs="Arial" w:eastAsia="Arial" w:hAnsi="Arial"/>
                <w:sz w:val="14"/>
                <w:szCs w:val="14"/>
                <w:color w:val="auto"/>
              </w:rPr>
              <w:t>$0.48</w:t>
            </w:r>
          </w:p>
        </w:tc>
        <w:tc>
          <w:tcPr>
            <w:tcW w:w="64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color w:val="auto"/>
              </w:rPr>
              <w:t>$0.57</w:t>
            </w:r>
          </w:p>
        </w:tc>
        <w:tc>
          <w:tcPr>
            <w:tcW w:w="1460" w:type="dxa"/>
            <w:vAlign w:val="bottom"/>
            <w:tcBorders>
              <w:bottom w:val="single" w:sz="8" w:color="8C8272"/>
            </w:tcBorders>
          </w:tcPr>
          <w:p>
            <w:pPr>
              <w:jc w:val="right"/>
              <w:ind w:right="428"/>
              <w:spacing w:after="0"/>
              <w:rPr>
                <w:sz w:val="20"/>
                <w:szCs w:val="20"/>
                <w:color w:val="auto"/>
              </w:rPr>
            </w:pPr>
            <w:r>
              <w:rPr>
                <w:rFonts w:ascii="Arial" w:cs="Arial" w:eastAsia="Arial" w:hAnsi="Arial"/>
                <w:sz w:val="14"/>
                <w:szCs w:val="14"/>
                <w:color w:val="auto"/>
              </w:rPr>
              <w:t>$1.70</w:t>
            </w:r>
          </w:p>
        </w:tc>
        <w:tc>
          <w:tcPr>
            <w:tcW w:w="5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$1.69</w:t>
            </w:r>
          </w:p>
        </w:tc>
      </w:tr>
    </w:tbl>
    <w:p>
      <w:pPr>
        <w:spacing w:after="0" w:line="33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computation of diluted EPS for the three and six months ended June 30, 2021 and 2020 excludes immaterial amounts of performance share awards that were not included because of their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Changes in Accumulated Other Comprehensive Income/(Loss) by Component</w:t>
      </w:r>
    </w:p>
    <w:p>
      <w:pPr>
        <w:spacing w:after="0" w:line="3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For the three and six months ended June 30, 2021 and 2020, changes to accumulated other comprehensive income/(loss) (OCI) for Con Edison and CECONY were as follows:</w:t>
      </w:r>
    </w:p>
    <w:p>
      <w:pPr>
        <w:spacing w:after="0" w:line="253"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For the Three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120" w:type="dxa"/>
            <w:vAlign w:val="bottom"/>
            <w:tcBorders>
              <w:top w:val="single" w:sz="8" w:color="8C8272"/>
              <w:bottom w:val="single" w:sz="8" w:color="8C8272"/>
            </w:tcBorders>
          </w:tcPr>
          <w:p>
            <w:pPr>
              <w:spacing w:after="0"/>
              <w:rPr>
                <w:sz w:val="15"/>
                <w:szCs w:val="15"/>
                <w:color w:val="auto"/>
              </w:rPr>
            </w:pPr>
          </w:p>
        </w:tc>
        <w:tc>
          <w:tcPr>
            <w:tcW w:w="1380" w:type="dxa"/>
            <w:vAlign w:val="bottom"/>
            <w:tcBorders>
              <w:top w:val="single" w:sz="8" w:color="8C8272"/>
              <w:bottom w:val="single" w:sz="8" w:color="8C8272"/>
            </w:tcBorders>
          </w:tcPr>
          <w:p>
            <w:pPr>
              <w:jc w:val="right"/>
              <w:ind w:right="108"/>
              <w:spacing w:after="0"/>
              <w:rPr>
                <w:sz w:val="20"/>
                <w:szCs w:val="20"/>
                <w:color w:val="auto"/>
              </w:rPr>
            </w:pPr>
            <w:r>
              <w:rPr>
                <w:rFonts w:ascii="Arial" w:cs="Arial" w:eastAsia="Arial" w:hAnsi="Arial"/>
                <w:sz w:val="14"/>
                <w:szCs w:val="14"/>
                <w:b w:val="1"/>
                <w:bCs w:val="1"/>
                <w:color w:val="auto"/>
              </w:rPr>
              <w:t>Con Edison</w:t>
            </w:r>
          </w:p>
        </w:tc>
        <w:tc>
          <w:tcPr>
            <w:tcW w:w="900" w:type="dxa"/>
            <w:vAlign w:val="bottom"/>
            <w:tcBorders>
              <w:top w:val="single" w:sz="8" w:color="8C8272"/>
              <w:bottom w:val="single" w:sz="8" w:color="8C8272"/>
            </w:tcBorders>
          </w:tcPr>
          <w:p>
            <w:pPr>
              <w:spacing w:after="0"/>
              <w:rPr>
                <w:sz w:val="15"/>
                <w:szCs w:val="15"/>
                <w:color w:val="auto"/>
              </w:rPr>
            </w:pPr>
          </w:p>
        </w:tc>
        <w:tc>
          <w:tcPr>
            <w:tcW w:w="1280" w:type="dxa"/>
            <w:vAlign w:val="bottom"/>
            <w:tcBorders>
              <w:top w:val="single" w:sz="8" w:color="8C8272"/>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CECONY</w:t>
            </w:r>
          </w:p>
        </w:tc>
        <w:tc>
          <w:tcPr>
            <w:tcW w:w="560" w:type="dxa"/>
            <w:vAlign w:val="bottom"/>
            <w:tcBorders>
              <w:top w:val="single" w:sz="8" w:color="8C8272"/>
              <w:bottom w:val="single" w:sz="8" w:color="8C8272"/>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12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380" w:type="dxa"/>
            <w:vAlign w:val="bottom"/>
            <w:tcBorders>
              <w:bottom w:val="single" w:sz="8" w:color="8C8272"/>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80" w:type="dxa"/>
            <w:vAlign w:val="bottom"/>
            <w:tcBorders>
              <w:bottom w:val="single" w:sz="8" w:color="8C8272"/>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120" w:type="dxa"/>
            <w:vAlign w:val="bottom"/>
            <w:tcBorders>
              <w:bottom w:val="single" w:sz="8" w:color="828282"/>
            </w:tcBorders>
            <w:shd w:val="clear" w:color="auto" w:fill="E0E0E0"/>
          </w:tcPr>
          <w:p>
            <w:pPr>
              <w:ind w:left="20"/>
              <w:spacing w:after="0"/>
              <w:rPr>
                <w:sz w:val="20"/>
                <w:szCs w:val="20"/>
                <w:color w:val="auto"/>
              </w:rPr>
            </w:pPr>
            <w:r>
              <w:rPr>
                <w:rFonts w:ascii="Arial" w:cs="Arial" w:eastAsia="Arial" w:hAnsi="Arial"/>
                <w:sz w:val="14"/>
                <w:szCs w:val="14"/>
                <w:color w:val="auto"/>
              </w:rPr>
              <w:t>Beginning balance, accumulated OCI, net of taxes (a)</w:t>
            </w:r>
          </w:p>
        </w:tc>
        <w:tc>
          <w:tcPr>
            <w:tcW w:w="1380" w:type="dxa"/>
            <w:vAlign w:val="bottom"/>
            <w:tcBorders>
              <w:bottom w:val="single" w:sz="8" w:color="828282"/>
            </w:tcBorders>
            <w:shd w:val="clear" w:color="auto" w:fill="E0E0E0"/>
          </w:tcPr>
          <w:p>
            <w:pPr>
              <w:jc w:val="right"/>
              <w:ind w:right="528"/>
              <w:spacing w:after="0"/>
              <w:rPr>
                <w:sz w:val="20"/>
                <w:szCs w:val="20"/>
                <w:color w:val="auto"/>
              </w:rPr>
            </w:pPr>
            <w:r>
              <w:rPr>
                <w:rFonts w:ascii="Arial" w:cs="Arial" w:eastAsia="Arial" w:hAnsi="Arial"/>
                <w:sz w:val="14"/>
                <w:szCs w:val="14"/>
                <w:color w:val="auto"/>
              </w:rPr>
              <w:t>$(21)</w:t>
            </w:r>
          </w:p>
        </w:tc>
        <w:tc>
          <w:tcPr>
            <w:tcW w:w="900" w:type="dxa"/>
            <w:vAlign w:val="bottom"/>
            <w:tcBorders>
              <w:bottom w:val="single" w:sz="8" w:color="828282"/>
            </w:tcBorders>
            <w:shd w:val="clear" w:color="auto" w:fill="E0E0E0"/>
          </w:tcPr>
          <w:p>
            <w:pPr>
              <w:jc w:val="right"/>
              <w:ind w:right="328"/>
              <w:spacing w:after="0"/>
              <w:rPr>
                <w:sz w:val="20"/>
                <w:szCs w:val="20"/>
                <w:color w:val="auto"/>
              </w:rPr>
            </w:pPr>
            <w:r>
              <w:rPr>
                <w:rFonts w:ascii="Arial" w:cs="Arial" w:eastAsia="Arial" w:hAnsi="Arial"/>
                <w:sz w:val="14"/>
                <w:szCs w:val="14"/>
                <w:color w:val="auto"/>
              </w:rPr>
              <w:t>$(14)</w:t>
            </w:r>
          </w:p>
        </w:tc>
        <w:tc>
          <w:tcPr>
            <w:tcW w:w="1280" w:type="dxa"/>
            <w:vAlign w:val="bottom"/>
            <w:tcBorders>
              <w:bottom w:val="single" w:sz="8" w:color="828282"/>
            </w:tcBorders>
            <w:shd w:val="clear" w:color="auto" w:fill="E0E0E0"/>
          </w:tcPr>
          <w:p>
            <w:pPr>
              <w:jc w:val="right"/>
              <w:ind w:right="488"/>
              <w:spacing w:after="0"/>
              <w:rPr>
                <w:sz w:val="20"/>
                <w:szCs w:val="20"/>
                <w:color w:val="auto"/>
              </w:rPr>
            </w:pPr>
            <w:r>
              <w:rPr>
                <w:rFonts w:ascii="Arial" w:cs="Arial" w:eastAsia="Arial" w:hAnsi="Arial"/>
                <w:sz w:val="14"/>
                <w:szCs w:val="14"/>
                <w:color w:val="auto"/>
              </w:rPr>
              <w:t>$(7)</w:t>
            </w:r>
          </w:p>
        </w:tc>
        <w:tc>
          <w:tcPr>
            <w:tcW w:w="560" w:type="dxa"/>
            <w:vAlign w:val="bottom"/>
            <w:tcBorders>
              <w:bottom w:val="single" w:sz="8" w:color="828282"/>
            </w:tcBorders>
            <w:shd w:val="clear" w:color="auto" w:fill="E0E0E0"/>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7"/>
        </w:trPr>
        <w:tc>
          <w:tcPr>
            <w:tcW w:w="7120" w:type="dxa"/>
            <w:vAlign w:val="bottom"/>
          </w:tcPr>
          <w:p>
            <w:pPr>
              <w:ind w:left="180"/>
              <w:spacing w:after="0" w:line="147" w:lineRule="exact"/>
              <w:rPr>
                <w:sz w:val="20"/>
                <w:szCs w:val="20"/>
                <w:color w:val="auto"/>
              </w:rPr>
            </w:pPr>
            <w:r>
              <w:rPr>
                <w:rFonts w:ascii="Arial" w:cs="Arial" w:eastAsia="Arial" w:hAnsi="Arial"/>
                <w:sz w:val="14"/>
                <w:szCs w:val="14"/>
                <w:color w:val="auto"/>
              </w:rPr>
              <w:t>Amounts reclassified from accumulated OCI related to pension plan liabilities, net of tax of $(1) for Con</w:t>
            </w:r>
          </w:p>
        </w:tc>
        <w:tc>
          <w:tcPr>
            <w:tcW w:w="1380" w:type="dxa"/>
            <w:vAlign w:val="bottom"/>
            <w:vMerge w:val="restart"/>
          </w:tcPr>
          <w:p>
            <w:pPr>
              <w:jc w:val="right"/>
              <w:ind w:right="568"/>
              <w:spacing w:after="0"/>
              <w:rPr>
                <w:sz w:val="20"/>
                <w:szCs w:val="20"/>
                <w:color w:val="auto"/>
              </w:rPr>
            </w:pPr>
            <w:r>
              <w:rPr>
                <w:rFonts w:ascii="Arial" w:cs="Arial" w:eastAsia="Arial" w:hAnsi="Arial"/>
                <w:sz w:val="14"/>
                <w:szCs w:val="14"/>
                <w:color w:val="auto"/>
              </w:rPr>
              <w:t>2</w:t>
            </w:r>
          </w:p>
        </w:tc>
        <w:tc>
          <w:tcPr>
            <w:tcW w:w="900" w:type="dxa"/>
            <w:vAlign w:val="bottom"/>
            <w:vMerge w:val="restart"/>
          </w:tcPr>
          <w:p>
            <w:pPr>
              <w:jc w:val="right"/>
              <w:ind w:right="36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548"/>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8C8272"/>
            </w:tcBorders>
          </w:tcPr>
          <w:p>
            <w:pPr>
              <w:ind w:left="180"/>
              <w:spacing w:after="0"/>
              <w:rPr>
                <w:sz w:val="20"/>
                <w:szCs w:val="20"/>
                <w:color w:val="auto"/>
              </w:rPr>
            </w:pPr>
            <w:r>
              <w:rPr>
                <w:rFonts w:ascii="Arial" w:cs="Arial" w:eastAsia="Arial" w:hAnsi="Arial"/>
                <w:sz w:val="14"/>
                <w:szCs w:val="14"/>
                <w:color w:val="auto"/>
              </w:rPr>
              <w:t>Edison in 2021 and 2020 (a)(b)</w:t>
            </w:r>
          </w:p>
        </w:tc>
        <w:tc>
          <w:tcPr>
            <w:tcW w:w="1380" w:type="dxa"/>
            <w:vAlign w:val="bottom"/>
            <w:tcBorders>
              <w:bottom w:val="single" w:sz="8" w:color="8C8272"/>
            </w:tcBorders>
            <w:vMerge w:val="continue"/>
          </w:tcPr>
          <w:p>
            <w:pPr>
              <w:spacing w:after="0"/>
              <w:rPr>
                <w:sz w:val="14"/>
                <w:szCs w:val="14"/>
                <w:color w:val="auto"/>
              </w:rPr>
            </w:pPr>
          </w:p>
        </w:tc>
        <w:tc>
          <w:tcPr>
            <w:tcW w:w="900" w:type="dxa"/>
            <w:vAlign w:val="bottom"/>
            <w:tcBorders>
              <w:bottom w:val="single" w:sz="8" w:color="8C8272"/>
            </w:tcBorders>
            <w:vMerge w:val="continue"/>
          </w:tcPr>
          <w:p>
            <w:pPr>
              <w:spacing w:after="0"/>
              <w:rPr>
                <w:sz w:val="14"/>
                <w:szCs w:val="14"/>
                <w:color w:val="auto"/>
              </w:rPr>
            </w:pPr>
          </w:p>
        </w:tc>
        <w:tc>
          <w:tcPr>
            <w:tcW w:w="1280" w:type="dxa"/>
            <w:vAlign w:val="bottom"/>
            <w:tcBorders>
              <w:bottom w:val="single" w:sz="8" w:color="8C8272"/>
            </w:tcBorders>
            <w:vMerge w:val="continue"/>
          </w:tcPr>
          <w:p>
            <w:pPr>
              <w:spacing w:after="0"/>
              <w:rPr>
                <w:sz w:val="14"/>
                <w:szCs w:val="14"/>
                <w:color w:val="auto"/>
              </w:rPr>
            </w:pPr>
          </w:p>
        </w:tc>
        <w:tc>
          <w:tcPr>
            <w:tcW w:w="560" w:type="dxa"/>
            <w:vAlign w:val="bottom"/>
            <w:tcBorders>
              <w:bottom w:val="single" w:sz="8" w:color="8C8272"/>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120" w:type="dxa"/>
            <w:vAlign w:val="bottom"/>
            <w:tcBorders>
              <w:bottom w:val="single" w:sz="8" w:color="8C8272"/>
            </w:tcBorders>
            <w:shd w:val="clear" w:color="auto" w:fill="E0E0E0"/>
          </w:tcPr>
          <w:p>
            <w:pPr>
              <w:ind w:left="20"/>
              <w:spacing w:after="0"/>
              <w:rPr>
                <w:sz w:val="20"/>
                <w:szCs w:val="20"/>
                <w:color w:val="auto"/>
              </w:rPr>
            </w:pPr>
            <w:r>
              <w:rPr>
                <w:rFonts w:ascii="Arial" w:cs="Arial" w:eastAsia="Arial" w:hAnsi="Arial"/>
                <w:sz w:val="14"/>
                <w:szCs w:val="14"/>
                <w:color w:val="auto"/>
              </w:rPr>
              <w:t>Current period OCI, net of taxes</w:t>
            </w:r>
          </w:p>
        </w:tc>
        <w:tc>
          <w:tcPr>
            <w:tcW w:w="1380" w:type="dxa"/>
            <w:vAlign w:val="bottom"/>
            <w:tcBorders>
              <w:bottom w:val="single" w:sz="8" w:color="8C8272"/>
            </w:tcBorders>
            <w:shd w:val="clear" w:color="auto" w:fill="E0E0E0"/>
          </w:tcPr>
          <w:p>
            <w:pPr>
              <w:jc w:val="right"/>
              <w:ind w:right="568"/>
              <w:spacing w:after="0"/>
              <w:rPr>
                <w:sz w:val="20"/>
                <w:szCs w:val="20"/>
                <w:color w:val="auto"/>
              </w:rPr>
            </w:pPr>
            <w:r>
              <w:rPr>
                <w:rFonts w:ascii="Arial" w:cs="Arial" w:eastAsia="Arial" w:hAnsi="Arial"/>
                <w:sz w:val="14"/>
                <w:szCs w:val="14"/>
                <w:color w:val="auto"/>
              </w:rPr>
              <w:t>2</w:t>
            </w:r>
          </w:p>
        </w:tc>
        <w:tc>
          <w:tcPr>
            <w:tcW w:w="900" w:type="dxa"/>
            <w:vAlign w:val="bottom"/>
            <w:tcBorders>
              <w:bottom w:val="single" w:sz="8" w:color="8C8272"/>
            </w:tcBorders>
            <w:shd w:val="clear" w:color="auto" w:fill="E0E0E0"/>
          </w:tcPr>
          <w:p>
            <w:pPr>
              <w:jc w:val="right"/>
              <w:ind w:right="3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8C8272"/>
            </w:tcBorders>
            <w:shd w:val="clear" w:color="auto" w:fill="E0E0E0"/>
          </w:tcPr>
          <w:p>
            <w:pPr>
              <w:jc w:val="right"/>
              <w:ind w:right="5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71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Ending balance, accumulated OCI, net of taxes (a)</w:t>
            </w:r>
          </w:p>
        </w:tc>
        <w:tc>
          <w:tcPr>
            <w:tcW w:w="1380" w:type="dxa"/>
            <w:vAlign w:val="bottom"/>
            <w:tcBorders>
              <w:bottom w:val="single" w:sz="8" w:color="8C8272"/>
            </w:tcBorders>
          </w:tcPr>
          <w:p>
            <w:pPr>
              <w:jc w:val="right"/>
              <w:ind w:right="528"/>
              <w:spacing w:after="0"/>
              <w:rPr>
                <w:sz w:val="20"/>
                <w:szCs w:val="20"/>
                <w:color w:val="auto"/>
              </w:rPr>
            </w:pPr>
            <w:r>
              <w:rPr>
                <w:rFonts w:ascii="Arial" w:cs="Arial" w:eastAsia="Arial" w:hAnsi="Arial"/>
                <w:sz w:val="14"/>
                <w:szCs w:val="14"/>
                <w:color w:val="auto"/>
              </w:rPr>
              <w:t>$(19)</w:t>
            </w:r>
          </w:p>
        </w:tc>
        <w:tc>
          <w:tcPr>
            <w:tcW w:w="9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color w:val="auto"/>
              </w:rPr>
              <w:t>$(14)</w:t>
            </w:r>
          </w:p>
        </w:tc>
        <w:tc>
          <w:tcPr>
            <w:tcW w:w="1280" w:type="dxa"/>
            <w:vAlign w:val="bottom"/>
            <w:tcBorders>
              <w:bottom w:val="single" w:sz="8" w:color="8C8272"/>
            </w:tcBorders>
          </w:tcPr>
          <w:p>
            <w:pPr>
              <w:jc w:val="right"/>
              <w:ind w:right="488"/>
              <w:spacing w:after="0"/>
              <w:rPr>
                <w:sz w:val="20"/>
                <w:szCs w:val="20"/>
                <w:color w:val="auto"/>
              </w:rPr>
            </w:pPr>
            <w:r>
              <w:rPr>
                <w:rFonts w:ascii="Arial" w:cs="Arial" w:eastAsia="Arial" w:hAnsi="Arial"/>
                <w:sz w:val="14"/>
                <w:szCs w:val="14"/>
                <w:color w:val="auto"/>
              </w:rPr>
              <w:t>$(7)</w:t>
            </w:r>
          </w:p>
        </w:tc>
        <w:tc>
          <w:tcPr>
            <w:tcW w:w="5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-128270</wp:posOffset>
            </wp:positionV>
            <wp:extent cx="82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-102235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-85090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-67945</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-50800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-33655</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-16510</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-256540</wp:posOffset>
            </wp:positionV>
            <wp:extent cx="82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-231140</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-213995</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-196850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-179070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-162560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-145415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-471170</wp:posOffset>
            </wp:positionV>
            <wp:extent cx="82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-445135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-427990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-410845</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-393700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-376555</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-359410</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-342265</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-325120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-307975</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-290830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-273685</wp:posOffset>
            </wp:positionV>
            <wp:extent cx="8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-599440</wp:posOffset>
            </wp:positionV>
            <wp:extent cx="82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-574040</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-556895</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-539750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-521970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-505460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-488315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-728345</wp:posOffset>
            </wp:positionV>
            <wp:extent cx="82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-702310</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-685165</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-668020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-650875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-633730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-616585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For the 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20" w:type="dxa"/>
            <w:vAlign w:val="bottom"/>
            <w:tcBorders>
              <w:top w:val="single" w:sz="8" w:color="8C8272"/>
              <w:bottom w:val="single" w:sz="8" w:color="8C8272"/>
            </w:tcBorders>
          </w:tcPr>
          <w:p>
            <w:pPr>
              <w:spacing w:after="0"/>
              <w:rPr>
                <w:sz w:val="15"/>
                <w:szCs w:val="15"/>
                <w:color w:val="auto"/>
              </w:rPr>
            </w:pPr>
          </w:p>
        </w:tc>
        <w:tc>
          <w:tcPr>
            <w:tcW w:w="1680" w:type="dxa"/>
            <w:vAlign w:val="bottom"/>
            <w:tcBorders>
              <w:top w:val="single" w:sz="8" w:color="8C8272"/>
              <w:bottom w:val="single" w:sz="8" w:color="8C8272"/>
            </w:tcBorders>
          </w:tcPr>
          <w:p>
            <w:pPr>
              <w:jc w:val="right"/>
              <w:ind w:right="108"/>
              <w:spacing w:after="0"/>
              <w:rPr>
                <w:sz w:val="20"/>
                <w:szCs w:val="20"/>
                <w:color w:val="auto"/>
              </w:rPr>
            </w:pPr>
            <w:r>
              <w:rPr>
                <w:rFonts w:ascii="Arial" w:cs="Arial" w:eastAsia="Arial" w:hAnsi="Arial"/>
                <w:sz w:val="14"/>
                <w:szCs w:val="14"/>
                <w:b w:val="1"/>
                <w:bCs w:val="1"/>
                <w:color w:val="auto"/>
              </w:rPr>
              <w:t>Con Edison</w:t>
            </w:r>
          </w:p>
        </w:tc>
        <w:tc>
          <w:tcPr>
            <w:tcW w:w="900" w:type="dxa"/>
            <w:vAlign w:val="bottom"/>
            <w:tcBorders>
              <w:top w:val="single" w:sz="8" w:color="8C8272"/>
              <w:bottom w:val="single" w:sz="8" w:color="8C8272"/>
            </w:tcBorders>
          </w:tcPr>
          <w:p>
            <w:pPr>
              <w:spacing w:after="0"/>
              <w:rPr>
                <w:sz w:val="15"/>
                <w:szCs w:val="15"/>
                <w:color w:val="auto"/>
              </w:rPr>
            </w:pPr>
          </w:p>
        </w:tc>
        <w:tc>
          <w:tcPr>
            <w:tcW w:w="1280" w:type="dxa"/>
            <w:vAlign w:val="bottom"/>
            <w:tcBorders>
              <w:top w:val="single" w:sz="8" w:color="8C8272"/>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CECONY</w:t>
            </w:r>
          </w:p>
        </w:tc>
        <w:tc>
          <w:tcPr>
            <w:tcW w:w="560" w:type="dxa"/>
            <w:vAlign w:val="bottom"/>
            <w:tcBorders>
              <w:top w:val="single" w:sz="8" w:color="8C8272"/>
              <w:bottom w:val="single" w:sz="8" w:color="8C8272"/>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82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680" w:type="dxa"/>
            <w:vAlign w:val="bottom"/>
            <w:tcBorders>
              <w:bottom w:val="single" w:sz="8" w:color="8C8272"/>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80" w:type="dxa"/>
            <w:vAlign w:val="bottom"/>
            <w:tcBorders>
              <w:bottom w:val="single" w:sz="8" w:color="8C8272"/>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820" w:type="dxa"/>
            <w:vAlign w:val="bottom"/>
            <w:tcBorders>
              <w:bottom w:val="single" w:sz="8" w:color="828282"/>
            </w:tcBorders>
            <w:shd w:val="clear" w:color="auto" w:fill="E0E0E0"/>
          </w:tcPr>
          <w:p>
            <w:pPr>
              <w:ind w:left="20"/>
              <w:spacing w:after="0"/>
              <w:rPr>
                <w:sz w:val="20"/>
                <w:szCs w:val="20"/>
                <w:color w:val="auto"/>
              </w:rPr>
            </w:pPr>
            <w:r>
              <w:rPr>
                <w:rFonts w:ascii="Arial" w:cs="Arial" w:eastAsia="Arial" w:hAnsi="Arial"/>
                <w:sz w:val="14"/>
                <w:szCs w:val="14"/>
                <w:color w:val="auto"/>
              </w:rPr>
              <w:t>Beginning balance, accumulated OCI, net of taxes (a)</w:t>
            </w:r>
          </w:p>
        </w:tc>
        <w:tc>
          <w:tcPr>
            <w:tcW w:w="1680" w:type="dxa"/>
            <w:vAlign w:val="bottom"/>
            <w:tcBorders>
              <w:bottom w:val="single" w:sz="8" w:color="828282"/>
            </w:tcBorders>
            <w:shd w:val="clear" w:color="auto" w:fill="E0E0E0"/>
          </w:tcPr>
          <w:p>
            <w:pPr>
              <w:jc w:val="right"/>
              <w:ind w:right="528"/>
              <w:spacing w:after="0"/>
              <w:rPr>
                <w:sz w:val="20"/>
                <w:szCs w:val="20"/>
                <w:color w:val="auto"/>
              </w:rPr>
            </w:pPr>
            <w:r>
              <w:rPr>
                <w:rFonts w:ascii="Arial" w:cs="Arial" w:eastAsia="Arial" w:hAnsi="Arial"/>
                <w:sz w:val="14"/>
                <w:szCs w:val="14"/>
                <w:color w:val="auto"/>
              </w:rPr>
              <w:t>$(25)</w:t>
            </w:r>
          </w:p>
        </w:tc>
        <w:tc>
          <w:tcPr>
            <w:tcW w:w="900" w:type="dxa"/>
            <w:vAlign w:val="bottom"/>
            <w:tcBorders>
              <w:bottom w:val="single" w:sz="8" w:color="828282"/>
            </w:tcBorders>
            <w:shd w:val="clear" w:color="auto" w:fill="E0E0E0"/>
          </w:tcPr>
          <w:p>
            <w:pPr>
              <w:jc w:val="right"/>
              <w:ind w:right="328"/>
              <w:spacing w:after="0"/>
              <w:rPr>
                <w:sz w:val="20"/>
                <w:szCs w:val="20"/>
                <w:color w:val="auto"/>
              </w:rPr>
            </w:pPr>
            <w:r>
              <w:rPr>
                <w:rFonts w:ascii="Arial" w:cs="Arial" w:eastAsia="Arial" w:hAnsi="Arial"/>
                <w:sz w:val="14"/>
                <w:szCs w:val="14"/>
                <w:color w:val="auto"/>
              </w:rPr>
              <w:t>$(19)</w:t>
            </w:r>
          </w:p>
        </w:tc>
        <w:tc>
          <w:tcPr>
            <w:tcW w:w="1280" w:type="dxa"/>
            <w:vAlign w:val="bottom"/>
            <w:tcBorders>
              <w:bottom w:val="single" w:sz="8" w:color="828282"/>
            </w:tcBorders>
            <w:shd w:val="clear" w:color="auto" w:fill="E0E0E0"/>
          </w:tcPr>
          <w:p>
            <w:pPr>
              <w:jc w:val="right"/>
              <w:ind w:right="488"/>
              <w:spacing w:after="0"/>
              <w:rPr>
                <w:sz w:val="20"/>
                <w:szCs w:val="20"/>
                <w:color w:val="auto"/>
              </w:rPr>
            </w:pPr>
            <w:r>
              <w:rPr>
                <w:rFonts w:ascii="Arial" w:cs="Arial" w:eastAsia="Arial" w:hAnsi="Arial"/>
                <w:sz w:val="14"/>
                <w:szCs w:val="14"/>
                <w:color w:val="auto"/>
              </w:rPr>
              <w:t>$(7)</w:t>
            </w:r>
          </w:p>
        </w:tc>
        <w:tc>
          <w:tcPr>
            <w:tcW w:w="560" w:type="dxa"/>
            <w:vAlign w:val="bottom"/>
            <w:tcBorders>
              <w:bottom w:val="single" w:sz="8" w:color="828282"/>
            </w:tcBorders>
            <w:shd w:val="clear" w:color="auto" w:fill="E0E0E0"/>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6820" w:type="dxa"/>
            <w:vAlign w:val="bottom"/>
          </w:tcPr>
          <w:p>
            <w:pPr>
              <w:ind w:left="180"/>
              <w:spacing w:after="0"/>
              <w:rPr>
                <w:sz w:val="20"/>
                <w:szCs w:val="20"/>
                <w:color w:val="auto"/>
              </w:rPr>
            </w:pPr>
            <w:r>
              <w:rPr>
                <w:rFonts w:ascii="Arial" w:cs="Arial" w:eastAsia="Arial" w:hAnsi="Arial"/>
                <w:sz w:val="14"/>
                <w:szCs w:val="14"/>
                <w:color w:val="auto"/>
              </w:rPr>
              <w:t>OCI before reclassifications, net of tax of $(1) for Con Edison in 2021 and 2020</w:t>
            </w:r>
          </w:p>
        </w:tc>
        <w:tc>
          <w:tcPr>
            <w:tcW w:w="1680" w:type="dxa"/>
            <w:vAlign w:val="bottom"/>
          </w:tcPr>
          <w:p>
            <w:pPr>
              <w:jc w:val="right"/>
              <w:ind w:right="568"/>
              <w:spacing w:after="0"/>
              <w:rPr>
                <w:sz w:val="20"/>
                <w:szCs w:val="20"/>
                <w:color w:val="auto"/>
              </w:rPr>
            </w:pPr>
            <w:r>
              <w:rPr>
                <w:rFonts w:ascii="Arial" w:cs="Arial" w:eastAsia="Arial" w:hAnsi="Arial"/>
                <w:sz w:val="14"/>
                <w:szCs w:val="14"/>
                <w:color w:val="auto"/>
              </w:rPr>
              <w:t>2</w:t>
            </w: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4</w:t>
            </w:r>
          </w:p>
        </w:tc>
        <w:tc>
          <w:tcPr>
            <w:tcW w:w="128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6820" w:type="dxa"/>
            <w:vAlign w:val="bottom"/>
            <w:shd w:val="clear" w:color="auto" w:fill="E0E0E0"/>
          </w:tcPr>
          <w:p>
            <w:pPr>
              <w:ind w:left="180"/>
              <w:spacing w:after="0" w:line="153" w:lineRule="exact"/>
              <w:rPr>
                <w:sz w:val="20"/>
                <w:szCs w:val="20"/>
                <w:color w:val="auto"/>
              </w:rPr>
            </w:pPr>
            <w:r>
              <w:rPr>
                <w:rFonts w:ascii="Arial" w:cs="Arial" w:eastAsia="Arial" w:hAnsi="Arial"/>
                <w:sz w:val="14"/>
                <w:szCs w:val="14"/>
                <w:color w:val="auto"/>
              </w:rPr>
              <w:t>Amounts reclassified from accumulated OCI related to pension plan liabilities, net of tax of $(1) for Con</w:t>
            </w:r>
          </w:p>
        </w:tc>
        <w:tc>
          <w:tcPr>
            <w:tcW w:w="1680" w:type="dxa"/>
            <w:vAlign w:val="bottom"/>
            <w:vMerge w:val="restart"/>
            <w:shd w:val="clear" w:color="auto" w:fill="E0E0E0"/>
          </w:tcPr>
          <w:p>
            <w:pPr>
              <w:jc w:val="right"/>
              <w:ind w:right="568"/>
              <w:spacing w:after="0"/>
              <w:rPr>
                <w:sz w:val="20"/>
                <w:szCs w:val="20"/>
                <w:color w:val="auto"/>
              </w:rPr>
            </w:pPr>
            <w:r>
              <w:rPr>
                <w:rFonts w:ascii="Arial" w:cs="Arial" w:eastAsia="Arial" w:hAnsi="Arial"/>
                <w:sz w:val="14"/>
                <w:szCs w:val="14"/>
                <w:color w:val="auto"/>
              </w:rPr>
              <w:t>4</w:t>
            </w:r>
          </w:p>
        </w:tc>
        <w:tc>
          <w:tcPr>
            <w:tcW w:w="900" w:type="dxa"/>
            <w:vAlign w:val="bottom"/>
            <w:vMerge w:val="restart"/>
            <w:shd w:val="clear" w:color="auto" w:fill="E0E0E0"/>
          </w:tcPr>
          <w:p>
            <w:pPr>
              <w:jc w:val="right"/>
              <w:ind w:right="328"/>
              <w:spacing w:after="0"/>
              <w:rPr>
                <w:sz w:val="20"/>
                <w:szCs w:val="20"/>
                <w:color w:val="auto"/>
              </w:rPr>
            </w:pPr>
            <w:r>
              <w:rPr>
                <w:rFonts w:ascii="Arial" w:cs="Arial" w:eastAsia="Arial" w:hAnsi="Arial"/>
                <w:sz w:val="14"/>
                <w:szCs w:val="14"/>
                <w:color w:val="auto"/>
              </w:rPr>
              <w:t>1</w:t>
            </w:r>
          </w:p>
        </w:tc>
        <w:tc>
          <w:tcPr>
            <w:tcW w:w="1280" w:type="dxa"/>
            <w:vAlign w:val="bottom"/>
            <w:vMerge w:val="restart"/>
            <w:shd w:val="clear" w:color="auto" w:fill="E0E0E0"/>
          </w:tcPr>
          <w:p>
            <w:pPr>
              <w:jc w:val="right"/>
              <w:ind w:right="548"/>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E0E0E0"/>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6820" w:type="dxa"/>
            <w:vAlign w:val="bottom"/>
            <w:tcBorders>
              <w:bottom w:val="single" w:sz="8" w:color="8C8272"/>
            </w:tcBorders>
            <w:shd w:val="clear" w:color="auto" w:fill="E0E0E0"/>
          </w:tcPr>
          <w:p>
            <w:pPr>
              <w:ind w:left="180"/>
              <w:spacing w:after="0"/>
              <w:rPr>
                <w:sz w:val="20"/>
                <w:szCs w:val="20"/>
                <w:color w:val="auto"/>
              </w:rPr>
            </w:pPr>
            <w:r>
              <w:rPr>
                <w:rFonts w:ascii="Arial" w:cs="Arial" w:eastAsia="Arial" w:hAnsi="Arial"/>
                <w:sz w:val="14"/>
                <w:szCs w:val="14"/>
                <w:color w:val="auto"/>
              </w:rPr>
              <w:t>Edison in 2021 and 2020 (a)(b)</w:t>
            </w:r>
          </w:p>
        </w:tc>
        <w:tc>
          <w:tcPr>
            <w:tcW w:w="1680" w:type="dxa"/>
            <w:vAlign w:val="bottom"/>
            <w:tcBorders>
              <w:bottom w:val="single" w:sz="8" w:color="8C8272"/>
            </w:tcBorders>
            <w:vMerge w:val="continue"/>
            <w:shd w:val="clear" w:color="auto" w:fill="E0E0E0"/>
          </w:tcPr>
          <w:p>
            <w:pPr>
              <w:spacing w:after="0"/>
              <w:rPr>
                <w:sz w:val="14"/>
                <w:szCs w:val="14"/>
                <w:color w:val="auto"/>
              </w:rPr>
            </w:pPr>
          </w:p>
        </w:tc>
        <w:tc>
          <w:tcPr>
            <w:tcW w:w="900" w:type="dxa"/>
            <w:vAlign w:val="bottom"/>
            <w:tcBorders>
              <w:bottom w:val="single" w:sz="8" w:color="8C8272"/>
            </w:tcBorders>
            <w:vMerge w:val="continue"/>
            <w:shd w:val="clear" w:color="auto" w:fill="E0E0E0"/>
          </w:tcPr>
          <w:p>
            <w:pPr>
              <w:spacing w:after="0"/>
              <w:rPr>
                <w:sz w:val="14"/>
                <w:szCs w:val="14"/>
                <w:color w:val="auto"/>
              </w:rPr>
            </w:pPr>
          </w:p>
        </w:tc>
        <w:tc>
          <w:tcPr>
            <w:tcW w:w="1280" w:type="dxa"/>
            <w:vAlign w:val="bottom"/>
            <w:tcBorders>
              <w:bottom w:val="single" w:sz="8" w:color="8C8272"/>
            </w:tcBorders>
            <w:vMerge w:val="continue"/>
            <w:shd w:val="clear" w:color="auto" w:fill="E0E0E0"/>
          </w:tcPr>
          <w:p>
            <w:pPr>
              <w:spacing w:after="0"/>
              <w:rPr>
                <w:sz w:val="14"/>
                <w:szCs w:val="14"/>
                <w:color w:val="auto"/>
              </w:rPr>
            </w:pPr>
          </w:p>
        </w:tc>
        <w:tc>
          <w:tcPr>
            <w:tcW w:w="560" w:type="dxa"/>
            <w:vAlign w:val="bottom"/>
            <w:tcBorders>
              <w:bottom w:val="single" w:sz="8" w:color="8C8272"/>
            </w:tcBorders>
            <w:vMerge w:val="continue"/>
            <w:shd w:val="clear" w:color="auto" w:fill="E0E0E0"/>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8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Current period OCI, net of taxes</w:t>
            </w:r>
          </w:p>
        </w:tc>
        <w:tc>
          <w:tcPr>
            <w:tcW w:w="1680" w:type="dxa"/>
            <w:vAlign w:val="bottom"/>
            <w:tcBorders>
              <w:bottom w:val="single" w:sz="8" w:color="8C8272"/>
            </w:tcBorders>
          </w:tcPr>
          <w:p>
            <w:pPr>
              <w:jc w:val="right"/>
              <w:ind w:right="568"/>
              <w:spacing w:after="0"/>
              <w:rPr>
                <w:sz w:val="20"/>
                <w:szCs w:val="20"/>
                <w:color w:val="auto"/>
              </w:rPr>
            </w:pPr>
            <w:r>
              <w:rPr>
                <w:rFonts w:ascii="Arial" w:cs="Arial" w:eastAsia="Arial" w:hAnsi="Arial"/>
                <w:sz w:val="14"/>
                <w:szCs w:val="14"/>
                <w:color w:val="auto"/>
              </w:rPr>
              <w:t>6</w:t>
            </w:r>
          </w:p>
        </w:tc>
        <w:tc>
          <w:tcPr>
            <w:tcW w:w="9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color w:val="auto"/>
              </w:rPr>
              <w:t>5</w:t>
            </w:r>
          </w:p>
        </w:tc>
        <w:tc>
          <w:tcPr>
            <w:tcW w:w="1280" w:type="dxa"/>
            <w:vAlign w:val="bottom"/>
            <w:tcBorders>
              <w:bottom w:val="single" w:sz="8" w:color="8C8272"/>
            </w:tcBorders>
          </w:tcPr>
          <w:p>
            <w:pPr>
              <w:jc w:val="right"/>
              <w:ind w:right="5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6820" w:type="dxa"/>
            <w:vAlign w:val="bottom"/>
            <w:tcBorders>
              <w:bottom w:val="single" w:sz="8" w:color="8C8272"/>
            </w:tcBorders>
            <w:shd w:val="clear" w:color="auto" w:fill="E0E0E0"/>
          </w:tcPr>
          <w:p>
            <w:pPr>
              <w:ind w:left="20"/>
              <w:spacing w:after="0"/>
              <w:rPr>
                <w:sz w:val="20"/>
                <w:szCs w:val="20"/>
                <w:color w:val="auto"/>
              </w:rPr>
            </w:pPr>
            <w:r>
              <w:rPr>
                <w:rFonts w:ascii="Arial" w:cs="Arial" w:eastAsia="Arial" w:hAnsi="Arial"/>
                <w:sz w:val="14"/>
                <w:szCs w:val="14"/>
                <w:color w:val="auto"/>
              </w:rPr>
              <w:t>Ending balance, accumulated OCI, net of taxes (a)</w:t>
            </w:r>
          </w:p>
        </w:tc>
        <w:tc>
          <w:tcPr>
            <w:tcW w:w="1680" w:type="dxa"/>
            <w:vAlign w:val="bottom"/>
            <w:tcBorders>
              <w:bottom w:val="single" w:sz="8" w:color="929292"/>
            </w:tcBorders>
            <w:shd w:val="clear" w:color="auto" w:fill="E0E0E0"/>
          </w:tcPr>
          <w:p>
            <w:pPr>
              <w:jc w:val="right"/>
              <w:ind w:right="528"/>
              <w:spacing w:after="0"/>
              <w:rPr>
                <w:sz w:val="20"/>
                <w:szCs w:val="20"/>
                <w:color w:val="auto"/>
              </w:rPr>
            </w:pPr>
            <w:r>
              <w:rPr>
                <w:rFonts w:ascii="Arial" w:cs="Arial" w:eastAsia="Arial" w:hAnsi="Arial"/>
                <w:sz w:val="14"/>
                <w:szCs w:val="14"/>
                <w:color w:val="auto"/>
              </w:rPr>
              <w:t>$(19)</w:t>
            </w:r>
          </w:p>
        </w:tc>
        <w:tc>
          <w:tcPr>
            <w:tcW w:w="900" w:type="dxa"/>
            <w:vAlign w:val="bottom"/>
            <w:tcBorders>
              <w:bottom w:val="single" w:sz="8" w:color="929292"/>
            </w:tcBorders>
            <w:shd w:val="clear" w:color="auto" w:fill="E0E0E0"/>
          </w:tcPr>
          <w:p>
            <w:pPr>
              <w:jc w:val="right"/>
              <w:ind w:right="328"/>
              <w:spacing w:after="0"/>
              <w:rPr>
                <w:sz w:val="20"/>
                <w:szCs w:val="20"/>
                <w:color w:val="auto"/>
              </w:rPr>
            </w:pPr>
            <w:r>
              <w:rPr>
                <w:rFonts w:ascii="Arial" w:cs="Arial" w:eastAsia="Arial" w:hAnsi="Arial"/>
                <w:sz w:val="14"/>
                <w:szCs w:val="14"/>
                <w:color w:val="auto"/>
              </w:rPr>
              <w:t>$(14)</w:t>
            </w:r>
          </w:p>
        </w:tc>
        <w:tc>
          <w:tcPr>
            <w:tcW w:w="1280" w:type="dxa"/>
            <w:vAlign w:val="bottom"/>
            <w:tcBorders>
              <w:bottom w:val="single" w:sz="8" w:color="929292"/>
            </w:tcBorders>
            <w:shd w:val="clear" w:color="auto" w:fill="E0E0E0"/>
          </w:tcPr>
          <w:p>
            <w:pPr>
              <w:jc w:val="right"/>
              <w:ind w:right="488"/>
              <w:spacing w:after="0"/>
              <w:rPr>
                <w:sz w:val="20"/>
                <w:szCs w:val="20"/>
                <w:color w:val="auto"/>
              </w:rPr>
            </w:pPr>
            <w:r>
              <w:rPr>
                <w:rFonts w:ascii="Arial" w:cs="Arial" w:eastAsia="Arial" w:hAnsi="Arial"/>
                <w:sz w:val="14"/>
                <w:szCs w:val="14"/>
                <w:color w:val="auto"/>
              </w:rPr>
              <w:t>$(7)</w:t>
            </w:r>
          </w:p>
        </w:tc>
        <w:tc>
          <w:tcPr>
            <w:tcW w:w="560" w:type="dxa"/>
            <w:vAlign w:val="bottom"/>
            <w:tcBorders>
              <w:bottom w:val="single" w:sz="8" w:color="929292"/>
            </w:tcBorders>
            <w:shd w:val="clear" w:color="auto" w:fill="E0E0E0"/>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-128270</wp:posOffset>
            </wp:positionV>
            <wp:extent cx="82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-102235</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-85090</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-67945</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-50800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-33655</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-16510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-256540</wp:posOffset>
            </wp:positionV>
            <wp:extent cx="82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-230505</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-213995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-196215</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-179070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-161925</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-144780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-445135</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-427990</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-410845</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-393700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-376555</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-359410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-342265</wp:posOffset>
            </wp:positionV>
            <wp:extent cx="82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-325120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-307975</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-290830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-273685</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-590550</wp:posOffset>
            </wp:positionV>
            <wp:extent cx="82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-565150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-548005</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-530860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-513715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-496570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-479425</wp:posOffset>
            </wp:positionV>
            <wp:extent cx="825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-719455</wp:posOffset>
            </wp:positionV>
            <wp:extent cx="82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-693420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-676275</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-659130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-642620</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-624840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-607695</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-847725</wp:posOffset>
            </wp:positionV>
            <wp:extent cx="82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-822325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-805180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-788035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-770890</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-753745</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-736600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66"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Tax reclassified from accumulated OCI is reported in the income tax expense line item of the consolidated income statement.</w:t>
      </w:r>
    </w:p>
    <w:p>
      <w:pPr>
        <w:spacing w:after="0" w:line="1" w:lineRule="exact"/>
        <w:rPr>
          <w:rFonts w:ascii="Arial" w:cs="Arial" w:eastAsia="Arial" w:hAnsi="Arial"/>
          <w:sz w:val="14"/>
          <w:szCs w:val="14"/>
          <w:color w:val="auto"/>
        </w:rPr>
      </w:pPr>
    </w:p>
    <w:p>
      <w:pPr>
        <w:ind w:left="340" w:right="120" w:hanging="332"/>
        <w:spacing w:after="0" w:line="249"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portion of unrecognized pension and other postretirement benefit costs relating to the Utilities, costs are recorded into, and amortized out of, regulatory assets and liabilities instead of OCI. The net actuarial losses and prior service costs recognized during the period are included in the computation of total periodic pension and other postretirement benefit costs. See Notes E and F.</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Cash, Temporary Cash Investments and Restricted Cash</w:t>
      </w:r>
    </w:p>
    <w:p>
      <w:pPr>
        <w:spacing w:after="0" w:line="31"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Cash, temporary cash investments and restricted cash are presented on a combined basis in the Companies’ consolidated statements of cash flows. At June 30, 2021 and 2020, cash, temporary cash investments and restricted cash for Con Edison and CECONY were as follows:</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720" w:type="dxa"/>
            <w:vAlign w:val="bottom"/>
            <w:tcBorders>
              <w:bottom w:val="single" w:sz="8" w:color="828282"/>
            </w:tcBorders>
          </w:tcPr>
          <w:p>
            <w:pPr>
              <w:spacing w:after="0"/>
              <w:rPr>
                <w:sz w:val="16"/>
                <w:szCs w:val="16"/>
                <w:color w:val="auto"/>
              </w:rPr>
            </w:pPr>
          </w:p>
        </w:tc>
        <w:tc>
          <w:tcPr>
            <w:tcW w:w="1120" w:type="dxa"/>
            <w:vAlign w:val="bottom"/>
            <w:tcBorders>
              <w:bottom w:val="single" w:sz="8" w:color="828282"/>
            </w:tcBorders>
          </w:tcPr>
          <w:p>
            <w:pPr>
              <w:spacing w:after="0"/>
              <w:rPr>
                <w:sz w:val="16"/>
                <w:szCs w:val="16"/>
                <w:color w:val="auto"/>
              </w:rPr>
            </w:pPr>
          </w:p>
        </w:tc>
        <w:tc>
          <w:tcPr>
            <w:tcW w:w="440" w:type="dxa"/>
            <w:vAlign w:val="bottom"/>
            <w:tcBorders>
              <w:bottom w:val="single" w:sz="8" w:color="828282"/>
            </w:tcBorders>
          </w:tcPr>
          <w:p>
            <w:pPr>
              <w:spacing w:after="0"/>
              <w:rPr>
                <w:sz w:val="16"/>
                <w:szCs w:val="16"/>
                <w:color w:val="auto"/>
              </w:rPr>
            </w:pPr>
          </w:p>
        </w:tc>
        <w:tc>
          <w:tcPr>
            <w:tcW w:w="1220" w:type="dxa"/>
            <w:vAlign w:val="bottom"/>
            <w:tcBorders>
              <w:bottom w:val="single" w:sz="8" w:color="828282"/>
            </w:tcBorders>
            <w:gridSpan w:val="2"/>
          </w:tcPr>
          <w:p>
            <w:pPr>
              <w:ind w:left="300"/>
              <w:spacing w:after="0"/>
              <w:rPr>
                <w:sz w:val="20"/>
                <w:szCs w:val="20"/>
                <w:color w:val="auto"/>
              </w:rPr>
            </w:pPr>
            <w:r>
              <w:rPr>
                <w:rFonts w:ascii="Arial" w:cs="Arial" w:eastAsia="Arial" w:hAnsi="Arial"/>
                <w:sz w:val="14"/>
                <w:szCs w:val="14"/>
                <w:b w:val="1"/>
                <w:bCs w:val="1"/>
                <w:color w:val="auto"/>
              </w:rPr>
              <w:t>At June 30,</w:t>
            </w:r>
          </w:p>
        </w:tc>
        <w:tc>
          <w:tcPr>
            <w:tcW w:w="1000" w:type="dxa"/>
            <w:vAlign w:val="bottom"/>
            <w:tcBorders>
              <w:bottom w:val="single" w:sz="8" w:color="828282"/>
            </w:tcBorders>
          </w:tcPr>
          <w:p>
            <w:pPr>
              <w:spacing w:after="0"/>
              <w:rPr>
                <w:sz w:val="16"/>
                <w:szCs w:val="16"/>
                <w:color w:val="auto"/>
              </w:rPr>
            </w:pPr>
          </w:p>
        </w:tc>
        <w:tc>
          <w:tcPr>
            <w:tcW w:w="700" w:type="dxa"/>
            <w:vAlign w:val="bottom"/>
            <w:tcBorders>
              <w:bottom w:val="single" w:sz="8" w:color="828282"/>
            </w:tcBorders>
          </w:tcPr>
          <w:p>
            <w:pPr>
              <w:spacing w:after="0"/>
              <w:rPr>
                <w:sz w:val="16"/>
                <w:szCs w:val="16"/>
                <w:color w:val="auto"/>
              </w:rPr>
            </w:pPr>
          </w:p>
        </w:tc>
      </w:tr>
      <w:tr>
        <w:trPr>
          <w:trHeight w:val="183"/>
        </w:trPr>
        <w:tc>
          <w:tcPr>
            <w:tcW w:w="6720" w:type="dxa"/>
            <w:vAlign w:val="bottom"/>
            <w:tcBorders>
              <w:bottom w:val="single" w:sz="8" w:color="828282"/>
            </w:tcBorders>
          </w:tcPr>
          <w:p>
            <w:pPr>
              <w:spacing w:after="0"/>
              <w:rPr>
                <w:sz w:val="15"/>
                <w:szCs w:val="15"/>
                <w:color w:val="auto"/>
              </w:rPr>
            </w:pPr>
          </w:p>
        </w:tc>
        <w:tc>
          <w:tcPr>
            <w:tcW w:w="1560" w:type="dxa"/>
            <w:vAlign w:val="bottom"/>
            <w:tcBorders>
              <w:bottom w:val="single" w:sz="8" w:color="8C8272"/>
            </w:tcBorders>
            <w:gridSpan w:val="2"/>
          </w:tcPr>
          <w:p>
            <w:pPr>
              <w:ind w:left="540"/>
              <w:spacing w:after="0"/>
              <w:rPr>
                <w:sz w:val="20"/>
                <w:szCs w:val="20"/>
                <w:color w:val="auto"/>
              </w:rPr>
            </w:pPr>
            <w:r>
              <w:rPr>
                <w:rFonts w:ascii="Arial" w:cs="Arial" w:eastAsia="Arial" w:hAnsi="Arial"/>
                <w:sz w:val="14"/>
                <w:szCs w:val="14"/>
                <w:b w:val="1"/>
                <w:bCs w:val="1"/>
                <w:color w:val="auto"/>
              </w:rPr>
              <w:t>Con Edison</w:t>
            </w:r>
          </w:p>
        </w:tc>
        <w:tc>
          <w:tcPr>
            <w:tcW w:w="700" w:type="dxa"/>
            <w:vAlign w:val="bottom"/>
            <w:tcBorders>
              <w:bottom w:val="single" w:sz="8" w:color="8C8272"/>
            </w:tcBorders>
          </w:tcPr>
          <w:p>
            <w:pPr>
              <w:spacing w:after="0"/>
              <w:rPr>
                <w:sz w:val="15"/>
                <w:szCs w:val="15"/>
                <w:color w:val="auto"/>
              </w:rPr>
            </w:pPr>
          </w:p>
        </w:tc>
        <w:tc>
          <w:tcPr>
            <w:tcW w:w="520" w:type="dxa"/>
            <w:vAlign w:val="bottom"/>
            <w:tcBorders>
              <w:bottom w:val="single" w:sz="8" w:color="8C8272"/>
            </w:tcBorders>
          </w:tcPr>
          <w:p>
            <w:pPr>
              <w:spacing w:after="0"/>
              <w:rPr>
                <w:sz w:val="15"/>
                <w:szCs w:val="15"/>
                <w:color w:val="auto"/>
              </w:rPr>
            </w:pPr>
          </w:p>
        </w:tc>
        <w:tc>
          <w:tcPr>
            <w:tcW w:w="1000" w:type="dxa"/>
            <w:vAlign w:val="bottom"/>
            <w:tcBorders>
              <w:bottom w:val="single" w:sz="8" w:color="8C8272"/>
            </w:tcBorders>
          </w:tcPr>
          <w:p>
            <w:pPr>
              <w:jc w:val="right"/>
              <w:ind w:right="188"/>
              <w:spacing w:after="0"/>
              <w:rPr>
                <w:sz w:val="20"/>
                <w:szCs w:val="20"/>
                <w:color w:val="auto"/>
              </w:rPr>
            </w:pPr>
            <w:r>
              <w:rPr>
                <w:rFonts w:ascii="Arial" w:cs="Arial" w:eastAsia="Arial" w:hAnsi="Arial"/>
                <w:sz w:val="14"/>
                <w:szCs w:val="14"/>
                <w:b w:val="1"/>
                <w:bCs w:val="1"/>
                <w:color w:val="auto"/>
              </w:rPr>
              <w:t>CECONY</w:t>
            </w:r>
          </w:p>
        </w:tc>
        <w:tc>
          <w:tcPr>
            <w:tcW w:w="700" w:type="dxa"/>
            <w:vAlign w:val="bottom"/>
            <w:tcBorders>
              <w:bottom w:val="single" w:sz="8" w:color="8C8272"/>
            </w:tcBorders>
          </w:tcPr>
          <w:p>
            <w:pPr>
              <w:spacing w:after="0"/>
              <w:rPr>
                <w:sz w:val="15"/>
                <w:szCs w:val="15"/>
                <w:color w:val="auto"/>
              </w:rPr>
            </w:pPr>
          </w:p>
        </w:tc>
      </w:tr>
      <w:tr>
        <w:trPr>
          <w:trHeight w:val="183"/>
        </w:trPr>
        <w:tc>
          <w:tcPr>
            <w:tcW w:w="6720" w:type="dxa"/>
            <w:vAlign w:val="bottom"/>
            <w:tcBorders>
              <w:bottom w:val="single" w:sz="8" w:color="82828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1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8C8272"/>
            </w:tcBorders>
          </w:tcPr>
          <w:p>
            <w:pPr>
              <w:spacing w:after="0"/>
              <w:rPr>
                <w:sz w:val="15"/>
                <w:szCs w:val="15"/>
                <w:color w:val="auto"/>
              </w:rPr>
            </w:pPr>
          </w:p>
        </w:tc>
        <w:tc>
          <w:tcPr>
            <w:tcW w:w="7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8C8272"/>
            </w:tcBorders>
          </w:tcPr>
          <w:p>
            <w:pPr>
              <w:spacing w:after="0"/>
              <w:rPr>
                <w:sz w:val="15"/>
                <w:szCs w:val="15"/>
                <w:color w:val="auto"/>
              </w:rPr>
            </w:pPr>
          </w:p>
        </w:tc>
        <w:tc>
          <w:tcPr>
            <w:tcW w:w="1000" w:type="dxa"/>
            <w:vAlign w:val="bottom"/>
            <w:tcBorders>
              <w:bottom w:val="single" w:sz="8" w:color="8C8272"/>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67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Cash and temporary cash investments</w:t>
            </w: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$1,067</w:t>
            </w:r>
          </w:p>
        </w:tc>
        <w:tc>
          <w:tcPr>
            <w:tcW w:w="440" w:type="dxa"/>
            <w:vAlign w:val="bottom"/>
            <w:shd w:val="clear" w:color="auto" w:fill="E5E5E5"/>
          </w:tcPr>
          <w:p>
            <w:pPr>
              <w:spacing w:after="0"/>
              <w:rPr>
                <w:sz w:val="15"/>
                <w:szCs w:val="15"/>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$1,144</w:t>
            </w:r>
          </w:p>
        </w:tc>
        <w:tc>
          <w:tcPr>
            <w:tcW w:w="520" w:type="dxa"/>
            <w:vAlign w:val="bottom"/>
            <w:shd w:val="clear" w:color="auto" w:fill="E5E5E5"/>
          </w:tcPr>
          <w:p>
            <w:pPr>
              <w:spacing w:after="0"/>
              <w:rPr>
                <w:sz w:val="15"/>
                <w:szCs w:val="15"/>
                <w:color w:val="auto"/>
              </w:rPr>
            </w:pPr>
          </w:p>
        </w:tc>
        <w:tc>
          <w:tcPr>
            <w:tcW w:w="100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$985</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$1,096</w:t>
            </w:r>
          </w:p>
        </w:tc>
      </w:tr>
      <w:tr>
        <w:trPr>
          <w:trHeight w:val="189"/>
        </w:trPr>
        <w:tc>
          <w:tcPr>
            <w:tcW w:w="6720" w:type="dxa"/>
            <w:vAlign w:val="bottom"/>
            <w:tcBorders>
              <w:bottom w:val="single" w:sz="8" w:color="828282"/>
            </w:tcBorders>
          </w:tcPr>
          <w:p>
            <w:pPr>
              <w:ind w:left="140"/>
              <w:spacing w:after="0"/>
              <w:rPr>
                <w:sz w:val="20"/>
                <w:szCs w:val="20"/>
                <w:color w:val="auto"/>
              </w:rPr>
            </w:pPr>
            <w:r>
              <w:rPr>
                <w:rFonts w:ascii="Arial" w:cs="Arial" w:eastAsia="Arial" w:hAnsi="Arial"/>
                <w:sz w:val="14"/>
                <w:szCs w:val="14"/>
                <w:color w:val="auto"/>
              </w:rPr>
              <w:t>Restricted cash (a)</w:t>
            </w:r>
          </w:p>
        </w:tc>
        <w:tc>
          <w:tcPr>
            <w:tcW w:w="112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111</w:t>
            </w:r>
          </w:p>
        </w:tc>
        <w:tc>
          <w:tcPr>
            <w:tcW w:w="440" w:type="dxa"/>
            <w:vAlign w:val="bottom"/>
            <w:tcBorders>
              <w:bottom w:val="single" w:sz="8" w:color="828282"/>
            </w:tcBorders>
          </w:tcPr>
          <w:p>
            <w:pPr>
              <w:spacing w:after="0"/>
              <w:rPr>
                <w:sz w:val="16"/>
                <w:szCs w:val="16"/>
                <w:color w:val="auto"/>
              </w:rPr>
            </w:pPr>
          </w:p>
        </w:tc>
        <w:tc>
          <w:tcPr>
            <w:tcW w:w="70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201</w:t>
            </w:r>
          </w:p>
        </w:tc>
        <w:tc>
          <w:tcPr>
            <w:tcW w:w="520" w:type="dxa"/>
            <w:vAlign w:val="bottom"/>
            <w:tcBorders>
              <w:bottom w:val="single" w:sz="8" w:color="828282"/>
            </w:tcBorders>
          </w:tcPr>
          <w:p>
            <w:pPr>
              <w:spacing w:after="0"/>
              <w:rPr>
                <w:sz w:val="16"/>
                <w:szCs w:val="16"/>
                <w:color w:val="auto"/>
              </w:rPr>
            </w:pPr>
          </w:p>
        </w:tc>
        <w:tc>
          <w:tcPr>
            <w:tcW w:w="1000" w:type="dxa"/>
            <w:vAlign w:val="bottom"/>
            <w:tcBorders>
              <w:bottom w:val="single" w:sz="8" w:color="828282"/>
            </w:tcBorders>
          </w:tcPr>
          <w:p>
            <w:pPr>
              <w:jc w:val="right"/>
              <w:ind w:right="4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720" w:type="dxa"/>
            <w:vAlign w:val="bottom"/>
            <w:tcBorders>
              <w:bottom w:val="single" w:sz="8" w:color="828282"/>
            </w:tcBorders>
            <w:shd w:val="clear" w:color="auto" w:fill="E5E5E5"/>
          </w:tcPr>
          <w:p>
            <w:pPr>
              <w:ind w:left="20"/>
              <w:spacing w:after="0"/>
              <w:rPr>
                <w:sz w:val="20"/>
                <w:szCs w:val="20"/>
                <w:color w:val="auto"/>
              </w:rPr>
            </w:pPr>
            <w:r>
              <w:rPr>
                <w:rFonts w:ascii="Arial" w:cs="Arial" w:eastAsia="Arial" w:hAnsi="Arial"/>
                <w:sz w:val="14"/>
                <w:szCs w:val="14"/>
                <w:color w:val="auto"/>
              </w:rPr>
              <w:t>Total cash, temporary cash investments and restricted cash</w:t>
            </w:r>
          </w:p>
        </w:tc>
        <w:tc>
          <w:tcPr>
            <w:tcW w:w="112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$1,178</w:t>
            </w:r>
          </w:p>
        </w:tc>
        <w:tc>
          <w:tcPr>
            <w:tcW w:w="440" w:type="dxa"/>
            <w:vAlign w:val="bottom"/>
            <w:tcBorders>
              <w:bottom w:val="single" w:sz="8" w:color="8C8272"/>
            </w:tcBorders>
            <w:shd w:val="clear" w:color="auto" w:fill="E5E5E5"/>
          </w:tcPr>
          <w:p>
            <w:pPr>
              <w:spacing w:after="0"/>
              <w:rPr>
                <w:sz w:val="15"/>
                <w:szCs w:val="15"/>
                <w:color w:val="auto"/>
              </w:rPr>
            </w:pPr>
          </w:p>
        </w:tc>
        <w:tc>
          <w:tcPr>
            <w:tcW w:w="7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$1,345</w:t>
            </w:r>
          </w:p>
        </w:tc>
        <w:tc>
          <w:tcPr>
            <w:tcW w:w="520" w:type="dxa"/>
            <w:vAlign w:val="bottom"/>
            <w:tcBorders>
              <w:bottom w:val="single" w:sz="8" w:color="828282"/>
            </w:tcBorders>
            <w:shd w:val="clear" w:color="auto" w:fill="E5E5E5"/>
          </w:tcPr>
          <w:p>
            <w:pPr>
              <w:spacing w:after="0"/>
              <w:rPr>
                <w:sz w:val="15"/>
                <w:szCs w:val="15"/>
                <w:color w:val="auto"/>
              </w:rPr>
            </w:pPr>
          </w:p>
        </w:tc>
        <w:tc>
          <w:tcPr>
            <w:tcW w:w="1000" w:type="dxa"/>
            <w:vAlign w:val="bottom"/>
            <w:tcBorders>
              <w:bottom w:val="single" w:sz="8" w:color="828282"/>
            </w:tcBorders>
            <w:shd w:val="clear" w:color="auto" w:fill="E5E5E5"/>
          </w:tcPr>
          <w:p>
            <w:pPr>
              <w:jc w:val="right"/>
              <w:ind w:right="368"/>
              <w:spacing w:after="0"/>
              <w:rPr>
                <w:sz w:val="20"/>
                <w:szCs w:val="20"/>
                <w:color w:val="auto"/>
              </w:rPr>
            </w:pPr>
            <w:r>
              <w:rPr>
                <w:rFonts w:ascii="Arial" w:cs="Arial" w:eastAsia="Arial" w:hAnsi="Arial"/>
                <w:sz w:val="14"/>
                <w:szCs w:val="14"/>
                <w:color w:val="auto"/>
              </w:rPr>
              <w:t>$985</w:t>
            </w:r>
          </w:p>
        </w:tc>
        <w:tc>
          <w:tcPr>
            <w:tcW w:w="70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$1,096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-128270</wp:posOffset>
            </wp:positionV>
            <wp:extent cx="88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-102235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-85090</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-67945</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-50800</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-33655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-16510</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-231140</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-213995</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-196215</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-179070</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-162560</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-145415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-376555</wp:posOffset>
            </wp:positionV>
            <wp:extent cx="88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-350520</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-334010</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-316865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-299720</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-281940</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-264795</wp:posOffset>
            </wp:positionV>
            <wp:extent cx="889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-504825</wp:posOffset>
            </wp:positionV>
            <wp:extent cx="88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-479425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-462280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-445135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-427990</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-410845</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-393700</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79" w:lineRule="exact"/>
        <w:rPr>
          <w:sz w:val="20"/>
          <w:szCs w:val="20"/>
          <w:color w:val="auto"/>
        </w:rPr>
      </w:pPr>
    </w:p>
    <w:p>
      <w:pPr>
        <w:ind w:left="340" w:right="40" w:hanging="332"/>
        <w:spacing w:after="0" w:line="244"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Restricted cash included cash of the Clean Energy Businesses' renewable electric production project subsidiaries ($111 million and $192 million at June 30, 2021 and 2020, respectively) that, under the related project debt agreements, either is restricted until the various maturity dates of the project debt to being used for normal operating expenses and capital expenditures, debt service, and required reserves or was restricted as a result of the PG&amp;E bankruptcy. During the pendency of the PG&amp;E bankruptcy, cash was not distributed from the related projects to the Clean Energy Businesses. In July 2020, PG&amp;E’s plan of reorganization became effective. In July 2020, the Clean Energy Businesses received previously restricted distributions and have resumed receiving distributions for all projects. At June 30, 2020, restricted cash included cash deposits held by the Clean Energy Businesses’ battery storage business ($9 million).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Note B – Regulatory Matters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O&amp;R New York – Electric</w:t>
      </w:r>
    </w:p>
    <w:p>
      <w:pPr>
        <w:spacing w:after="0" w:line="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March 2021, O&amp;R filed a preliminary update to its January 2021 request to the NYSPSC for an electric rate increase effective January 1, 2022. The company increased its requested January 2022 rate increase by $3.3 million to $27.8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O&amp;R New York – Gas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 March 2021, O&amp;R filed a preliminary update to its January 2021 request to the NYSPSC for a gas rate increase effective January 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decreased its requested January 2022 rate increase by $8.6 million to $1.2 million.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Rockland Electric Company (RECO)</w:t>
      </w:r>
    </w:p>
    <w:p>
      <w:pPr>
        <w:spacing w:after="0" w:line="3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May 2021, RECO filed a request with the New Jersey Board of Public Utilities for an electric rate increase of $16.9 million, effective February 2022. The filing reflected a return on common equity of 10.00 percent and a common equity ratio of 49.25 percent. RECO also seeks an increase in its annual storm allowance of $1 million, recovery of deferred costs associated with Tropical Storm Isaias, and the collection of various deferred COVID-19 related costs. In July 2021, RECO filed an update to the request it filed in May 2021. The company decreased its requested February 2022 rate increase to $16.1 million and reduced the common equity ratio to 48.51 percent. The updated filing continues to reflect a return on common equity of 10.00 percent.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Regulatory Matters</w:t>
      </w:r>
    </w:p>
    <w:p>
      <w:pPr>
        <w:spacing w:after="0" w:line="3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Governors, public utility commissions and other regulatory agencies in the states in which the Utilities operate have issued orders related to the COVID-19 pandemic that impact the Utilities as described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State Regulation</w:t>
      </w:r>
    </w:p>
    <w:p>
      <w:pPr>
        <w:spacing w:after="0" w:line="15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 March 2020, New York State Governor Cuomo declared a State Disaster Emergency for the State of New York due to the COVID-19 pandemic and signed the "New York State on PAUSE" executive order that temporarily closed all non-essential businesses statewide. The Governor has since lifted these closures over time and ended the emergency declaration in June 2021. As a result of the emergency declaration, and due to economic conditions, the NYSPSC and the Utilities have worked to mitigate the potential impact of the COVID-19 pandemic on the Utilities, their customers and other stakeholders.</w:t>
      </w:r>
    </w:p>
    <w:p>
      <w:pPr>
        <w:spacing w:after="0" w:line="22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In March 2020, the Utilities began suspending service disconnections, certain collection notices, final bill collection agency activity, new late payment charges and certain other fees for all customers. The Utilities also began providing payment extensions for all customers that were scheduled to be disconnected prior to the start of the COVID-19 pandemic. In June 2020, the state of New York enacted a law prohibiting New York utilities, </w:t>
      </w:r>
      <w:r>
        <w:rPr>
          <w:rFonts w:ascii="Arial" w:cs="Arial" w:eastAsia="Arial" w:hAnsi="Arial"/>
          <w:sz w:val="18"/>
          <w:szCs w:val="18"/>
          <w:color w:val="242424"/>
        </w:rPr>
        <w:t>including CECONY and O&amp;R, from disconnecting residential customers</w:t>
      </w:r>
      <w:r>
        <w:rPr>
          <w:rFonts w:ascii="Arial" w:cs="Arial" w:eastAsia="Arial" w:hAnsi="Arial"/>
          <w:sz w:val="18"/>
          <w:szCs w:val="18"/>
          <w:color w:val="auto"/>
        </w:rPr>
        <w:t xml:space="preserve">, and starting in May 2021 small business customers, </w:t>
      </w:r>
      <w:r>
        <w:rPr>
          <w:rFonts w:ascii="Arial" w:cs="Arial" w:eastAsia="Arial" w:hAnsi="Arial"/>
          <w:sz w:val="18"/>
          <w:szCs w:val="18"/>
          <w:color w:val="242424"/>
        </w:rPr>
        <w:t>during the COVID-19 state of emergency, which ended in June 2021. In addition, such prohibitions will apply for an additional 180</w:t>
      </w:r>
      <w:r>
        <w:rPr>
          <w:rFonts w:ascii="Arial" w:cs="Arial" w:eastAsia="Arial" w:hAnsi="Arial"/>
          <w:sz w:val="18"/>
          <w:szCs w:val="18"/>
          <w:color w:val="auto"/>
        </w:rPr>
        <w:t xml:space="preserve"> </w:t>
      </w:r>
      <w:r>
        <w:rPr>
          <w:rFonts w:ascii="Arial" w:cs="Arial" w:eastAsia="Arial" w:hAnsi="Arial"/>
          <w:sz w:val="18"/>
          <w:szCs w:val="18"/>
          <w:color w:val="242424"/>
        </w:rPr>
        <w:t xml:space="preserve">days after the state of emergency ends (December 21, 2021) for residential and small business customers who have experienced a change in financial circumstances due to the COVID-19 pandemic. </w:t>
      </w:r>
      <w:r>
        <w:rPr>
          <w:rFonts w:ascii="Arial" w:cs="Arial" w:eastAsia="Arial" w:hAnsi="Arial"/>
          <w:sz w:val="18"/>
          <w:szCs w:val="18"/>
          <w:color w:val="000000"/>
        </w:rPr>
        <w:t>For the three and six months ended June 30, 2021, late payment charges and</w:t>
      </w:r>
      <w:r>
        <w:rPr>
          <w:rFonts w:ascii="Arial" w:cs="Arial" w:eastAsia="Arial" w:hAnsi="Arial"/>
          <w:sz w:val="18"/>
          <w:szCs w:val="18"/>
          <w:color w:val="242424"/>
        </w:rPr>
        <w:t xml:space="preserve"> </w:t>
      </w:r>
      <w:r>
        <w:rPr>
          <w:rFonts w:ascii="Arial" w:cs="Arial" w:eastAsia="Arial" w:hAnsi="Arial"/>
          <w:sz w:val="18"/>
          <w:szCs w:val="18"/>
          <w:color w:val="000000"/>
        </w:rPr>
        <w:t xml:space="preserve">fees that were not billed were approximately $ 18 million and $35 million lower than the amounts that were approved to be collected pursuant to CECONY's rate plans, respectively, and $ 1 million and $2 million lower than the amounts that were approved to be collected </w:t>
      </w:r>
      <w:r>
        <w:rPr>
          <w:rFonts w:ascii="Arial" w:cs="Arial" w:eastAsia="Arial" w:hAnsi="Arial"/>
          <w:sz w:val="18"/>
          <w:szCs w:val="18"/>
          <w:color w:val="242424"/>
        </w:rPr>
        <w:t>pursuant to</w:t>
      </w:r>
      <w:r>
        <w:rPr>
          <w:rFonts w:ascii="Arial" w:cs="Arial" w:eastAsia="Arial" w:hAnsi="Arial"/>
          <w:sz w:val="18"/>
          <w:szCs w:val="18"/>
          <w:color w:val="000000"/>
        </w:rPr>
        <w:t xml:space="preserve"> </w:t>
      </w:r>
      <w:r>
        <w:rPr>
          <w:rFonts w:ascii="Arial" w:cs="Arial" w:eastAsia="Arial" w:hAnsi="Arial"/>
          <w:sz w:val="18"/>
          <w:szCs w:val="18"/>
          <w:color w:val="242424"/>
        </w:rPr>
        <w:t xml:space="preserve">O&amp;R's rate plans, respectively (see Note K). In April 2021, CECONY filed a petition with the NYSPSC to </w:t>
      </w:r>
      <w:r>
        <w:rPr>
          <w:rFonts w:ascii="Arial" w:cs="Arial" w:eastAsia="Arial" w:hAnsi="Arial"/>
          <w:sz w:val="18"/>
          <w:szCs w:val="18"/>
          <w:color w:val="000000"/>
        </w:rPr>
        <w:t>timely establish a surcharge</w:t>
      </w:r>
      <w:r>
        <w:rPr>
          <w:rFonts w:ascii="Arial" w:cs="Arial" w:eastAsia="Arial" w:hAnsi="Arial"/>
          <w:sz w:val="18"/>
          <w:szCs w:val="18"/>
          <w:color w:val="242424"/>
        </w:rPr>
        <w:t xml:space="preserve"> </w:t>
      </w:r>
      <w:r>
        <w:rPr>
          <w:rFonts w:ascii="Arial" w:cs="Arial" w:eastAsia="Arial" w:hAnsi="Arial"/>
          <w:sz w:val="18"/>
          <w:szCs w:val="18"/>
          <w:color w:val="000000"/>
        </w:rPr>
        <w:t>recovery mechanism to collect $52 million of late payment charges and fees, offset for related savings, for the year ended December 31, 2020 to begin in September 2021 and end in December 2022. The petition also requested a surcharge recovery or surcredit mechanism for any fee deferrals for 2021 and 2022 starting in January of the subsequent year over a twelve-month period, respectively. Public comments in response to the petition are due in August 2021.</w:t>
      </w:r>
    </w:p>
    <w:p>
      <w:pPr>
        <w:spacing w:after="0" w:line="227"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The Utilities’ New York rate plans allow them to defer costs resulting from a change in legislation, regulation and related actions that have taken effect during the term of the rate plans once the costs exceed a specified threshold. The total reserve increases to the allowance for uncollectible accounts from January 1, 2020 through June 30, 2021 reflecting the impact of the COVID-19 pandemic for CECONY electric and gas operations and O&amp;R electric and gas operations were $198 million and $7 million, respectively, and were deferred pursuant to the legislative, regulatory and related actions provisions of the rate plans as a result of the New York State on PAUSE and related executive orders, that have since been lifted, as described above. The Utilities’ New York rate plans also provide for an allowance for write-offs of customer accounts receivable balances. The above amounts deferred pursuant to the legislative, regulatory and related actions provisions were reduced by the amount that the actual write-offs of customer accounts receivable balances were below the allowance reflected in rates which differences were $15 million and $3 million for CECONY and O&amp;R, respectively, from March 1, 2020 through June 30, 2021.</w:t>
      </w:r>
    </w:p>
    <w:p>
      <w:pPr>
        <w:spacing w:after="0" w:line="23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June 2020, the NYSPSC directed CECONY to implement a summer cooling credit program to help mitigate the cost of staying home and operating air conditioning for health-vulnerable low-income customers due to the limited availability of public cooling facilities as a result of the COVID-19 social distancing measures. The $63.4 million cost of the program is being recovered over a five-year period that began January 2021.</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2" w:name="page23"/>
    <w:bookmarkEnd w:id="22"/>
    <w:p>
      <w:pPr>
        <w:ind w:right="20"/>
        <w:spacing w:after="0" w:line="222" w:lineRule="auto"/>
        <w:rPr>
          <w:sz w:val="20"/>
          <w:szCs w:val="20"/>
          <w:color w:val="auto"/>
        </w:rPr>
      </w:pPr>
      <w:r>
        <w:rPr>
          <w:rFonts w:ascii="Arial" w:cs="Arial" w:eastAsia="Arial" w:hAnsi="Arial"/>
          <w:sz w:val="18"/>
          <w:szCs w:val="18"/>
          <w:color w:val="auto"/>
        </w:rPr>
        <w:t>In June 2020, the NYSPSC established a generic proceeding on the impacts of the COVID-19 pandemic and sought comment on a variety of COVID-19 related issues. In July 2020, the Utilities submitted joint comments with other large utilities in New York State that included a formal request to defer all COVID-19 related costs and for a surcharge mechanism to collect such deferrals based upon the individual utility's need. In January 2021, the New York State Department of Public Service (NYSDPS) provided guidance to New York utilities that no additional mechanisms are required because there are already established mechanisms for utility recovery of unexpected material expenses through rate plan change in legislation, regulation and related actions provisions of their respective rate plans and the filing of individual deferral petitions. The guidance further provided that utilities deferring COVID-19 related costs pursuant to the provisions that allow deferral of costs resulting from a change in legislation, regulation and related actions must comply with the provisions of their rate plans, be able to demonstrate the nexus between the changes in law or regulation and the specific revenue and expense items, and consider any offsetting cost savings due to the pandemic.</w:t>
      </w:r>
    </w:p>
    <w:p>
      <w:pPr>
        <w:spacing w:after="0" w:line="23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As of December 31, 2020, CECONY deferred, for New York City residential customers, $54.9 million of higher summer generation capacity supply costs. CECONY expects to recover such costs from customers by October 2021.</w:t>
      </w:r>
    </w:p>
    <w:p>
      <w:pPr>
        <w:spacing w:after="0" w:line="22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In April 2021, New York State passed a law that creates a program that allows eligible residential renters in New York State who require assistance with rent and utility bills to have up to twelve months of electric and gas utility bill arrears forgiven, provided that such arrears were accrued on or after March 13, 2020. The program will be administered by the State Office of Temporary Disability Assistance in coordination with the NYSDPS. Under the program, CECONY and O&amp;R would qualify for a refundable tax credit for New York State gross-receipts tax equal to the amount of arrears waived by the Utilities in the year that the arrears are waived and certified by the NYSPSC.</w:t>
      </w:r>
    </w:p>
    <w:p>
      <w:pPr>
        <w:spacing w:after="0" w:line="3"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In May 2021, CECONY and O&amp;R, along with other large New York utilities, submitted joint comments to the NYSDPS' February 2021 report on New York State’s Energy Affordability Policy. The report recommends, among other things, that residential and commercial customers’ late payment fees and interest on deferred payment agreements be waived until two years after the expiration of the New York State moratorium on utility terminations (the moratorium will expire on December 21, 2021) and each utility develop an arrears management program to mitigate the financial burdens of the COVID-19 pandemic on New York households and that program costs be shared, perhaps</w:t>
      </w:r>
    </w:p>
    <w:p>
      <w:pPr>
        <w:spacing w:after="0" w:line="16" w:lineRule="exact"/>
        <w:rPr>
          <w:sz w:val="20"/>
          <w:szCs w:val="20"/>
          <w:color w:val="auto"/>
        </w:rPr>
      </w:pPr>
    </w:p>
    <w:p>
      <w:pPr>
        <w:ind w:right="320"/>
        <w:spacing w:after="0" w:line="229" w:lineRule="auto"/>
        <w:rPr>
          <w:sz w:val="20"/>
          <w:szCs w:val="20"/>
          <w:color w:val="auto"/>
        </w:rPr>
      </w:pPr>
      <w:r>
        <w:rPr>
          <w:rFonts w:ascii="Arial" w:cs="Arial" w:eastAsia="Arial" w:hAnsi="Arial"/>
          <w:sz w:val="18"/>
          <w:szCs w:val="18"/>
          <w:color w:val="auto"/>
        </w:rPr>
        <w:t>equally, between shareholders and customers. The May 2021 joint comments stated that it is not necessary for the NYSPSC to adopt the report’s COVID-19 related recommendations because New York State already passed laws that address the issues in the report, as described above.</w:t>
      </w:r>
    </w:p>
    <w:p>
      <w:pPr>
        <w:spacing w:after="0" w:line="23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Utilities’ rate plans have revenue decoupling mechanisms in their New York electric and gas businesses that largely reconcile actual energy delivery revenues to the authorized delivery revenues approved by the NYSPSC per month and accumulate the deferred balances semi-annually under CECONY's electric rate plan (January through June and July through December, respectively) and annually under CECONY's gas rate plan and O&amp;R's New York electric and gas rate plans (January through December). Differences are accrued with interest each month for CECONY's and O&amp;R's New York electric customers and after the annual deferral period ends for CECONY's and O&amp;R's New York gas customers for refund to, or recovery from customers, as applicable. Generally, the refund to or recovery from customers begins August and February of each year over an ensuing six-month period for CECONY's electric customers and February of each year over an ensuing twelve-month period for CECONY's gas and O&amp;R's New York electric and gas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Jersey State Regulation</w:t>
      </w:r>
    </w:p>
    <w:p>
      <w:pPr>
        <w:spacing w:after="0" w:line="18"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In March 2020, New Jersey Governor Murphy declared a Public Health Emergency and State of Emergency for the State of New Jersey. In June 2021, the Governor ended the emergency declaration. As a result of the emergency declaration, and due to economic conditions, the NJBPU and RECO have worked to mitigate the potential impact of the COVID-19 pandemic on RECO, its customers and other stakeholders. In March 2020, RECO began suspending late payment charges, terminations for non-payment, and no access fees during the COVID-19 pandemic. The suspension of these fees continued through June 30, 2021 and are not material.</w:t>
      </w:r>
    </w:p>
    <w:p>
      <w:pPr>
        <w:spacing w:after="0" w:line="231"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In July 2020, the NJBPU authorized RECO and other New Jersey utilities to create a COVID-19-related regulatory asset by deferring prudently incurred incremental costs related to the COVID-19 pandemic beginning on March 9, 2020, and through September 30, 2021. RECO deferred net incremental COVID-19 related costs of $0.9 million through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Other Regulatory Matters</w:t>
      </w:r>
    </w:p>
    <w:p>
      <w:pPr>
        <w:spacing w:after="0" w:line="3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August 2018, the NYSPSC ordered CECONY to begin on January 1, 2019 to credit the company's electric and gas customers, and to begin on October 1, 2018 to credit its steam customers, with the net benefits of the federal Tax Cuts and Jobs Act of 2017 (TCJA) as measured based on amounts reflected in its rate plans prior to the enactment of the TCJA in December 2017. The net benefits include the revenue requirement impact of the reduction in the corporate federal income tax rate to 21 percent, the elimination for utilities of bonus depreciation and the amortization of excess deferred federal income taxes.</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CECONY, under its electric rate plan that was approved in January 2020, is amortizing its TCJA net benefits prior to January 1, 2019 allocable to its electric customers ($ 377 million) over a three-year period, the “protected” portion of its net regulatory liability for future income taxes related to certain accelerated tax depreciation benefits allocable to its electric customers ($1,663 million) over the remaining lives of the related assets and the remainder, or “unprotected” portion of the net regulatory liability allocable to its electric customers ($784 million) over a five-year period. CECONY, under its gas rate plan that was approved in January 2020, is amortizing its remaining TCJA net benefits prior to January 1, 2019 allocable to its gas customers ($63 million) over a two-year period, the protected portion of its net regulatory liability for future income taxes allocable to its gas customers ($725 million) over the remaining lives of the related assets and the unprotected portion of the net regulatory liability allocable to its gas customers ($107 million) over a five-year period.</w:t>
      </w:r>
    </w:p>
    <w:p>
      <w:pPr>
        <w:spacing w:after="0" w:line="151"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CECONY's net benefits prior to October 1, 2018 allocable to the company’s steam customers ($15 million) are being amortized over a three-year period. CECONY’s net regulatory liability for future income taxes, including both the protected and unprotected portions, allocable to the company’s steam customers ($ 185 million) is being amortized over the remaining lives of the related assets (with the amortization period for the unprotected portion subject to review in its next steam rate proceeding).</w:t>
      </w:r>
    </w:p>
    <w:p>
      <w:pPr>
        <w:spacing w:after="0" w:line="2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O&amp;R, under its current electric and gas rate plans, has reflected its TCJA net benefits in its electric and gas rates beginning as of January 1, 2019. Under the rate plans, O&amp;R is amortizing its net benefits prior to January 1, 2019 ($22 million) over a three-year period, the protected portion of its net regulatory liability for future income taxes ($123 million) over the remaining lives of the related assets and the unprotected portion ($30 million) over a fifteen-year period.</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January 2018, the NYSPSC issued an order initiating a focused operations audit of the income tax accounting of certain utilities, including CECONY and O&amp;R. The Utilities are unable to estimate the amount or range of their possible loss related to this matter. At June 30, 2021, the Utilities had not accrued a liability related to this matter.</w:t>
      </w:r>
    </w:p>
    <w:p>
      <w:pPr>
        <w:spacing w:after="0" w:line="22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October 2020, the NYSPSC issued an order instituting a proceeding to consider requiring New York’s large, investor-owned utilities, including CECONY and O&amp;R, to annually disclose what risks climate change poses to their companies, investors and customers going forward. The order notes that some holding companies, including Con Edison, already disclose climate change risks at the holding company level, but states that the NYSPSC believes that climate-related risk disclosures should be issued specific to the operating companies in New York, such as CECONY and O&amp;R, and that such climate-related risk disclosures should be included annually with the utilities’ financial reports. In December 2020, CECONY and O&amp;R, along with other large New York utilities, filed comments supporting climate change risk disclosures in annual reports filed with the NYSPSC and recommended the use of an industry-specific template.</w:t>
      </w:r>
    </w:p>
    <w:p>
      <w:pPr>
        <w:spacing w:after="0" w:line="21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May 2020, the president of the United States issued the "Securing the United States Bulk-Power System" executive order. The executive order declares threats to the bulk-power system by foreign adversaries constitute a national emergency and prohibits the acquisition, importation, transfer or installation of certain bulk-power system electric equipment that is sourced from foreign adversaries. In January 2021, the president of the United States suspended the May 2020 executive order for 90 days. In April 2021, the executive order was reinstated (and expired shortly thereafter) and the Department of Energy (DOE) subsequently issued a request for information to assist the DOE in developing additional orders and/or regulations to secure the United States’ critical electric infrastructure. In July 2021, the president of the United States ordered the Department of Homeland Security to issue preliminary cybersecurity goals for critical infrastructure control systems by September 2021, with final goals to be issued by September 2022. The Companies are unable to predict the impact on them of any additional orders or regulations that may be adopted regarding critical infrastructure.</w:t>
      </w:r>
    </w:p>
    <w:p>
      <w:pPr>
        <w:spacing w:after="0" w:line="221"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In July 2021, the NYSPSC approved a settlement agreement among CECONY, O&amp;R and the NYSDPS that fully resolves all issues and allegations that have been raised or could have been raised by the NYSPSC against CECONY and O&amp;R with respect to: (1) the July 2018 rupture of a CECONY steam main located on Fifth Avenue</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4" w:name="page25"/>
    <w:bookmarkEnd w:id="24"/>
    <w:p>
      <w:pPr>
        <w:spacing w:after="0" w:line="221" w:lineRule="auto"/>
        <w:rPr>
          <w:sz w:val="20"/>
          <w:szCs w:val="20"/>
          <w:color w:val="auto"/>
        </w:rPr>
      </w:pPr>
      <w:r>
        <w:rPr>
          <w:rFonts w:ascii="Arial" w:cs="Arial" w:eastAsia="Arial" w:hAnsi="Arial"/>
          <w:sz w:val="18"/>
          <w:szCs w:val="18"/>
          <w:color w:val="auto"/>
        </w:rPr>
        <w:t>and 21st Street in Manhattan (the “2018 Steam Incident”); (2) the July 2019 electric service interruptions to approximately 72,000 CECONY customers on the west side of Manhattan and to approximately 30,000 CECONY customers primarily in the Flatbush area of Brooklyn (the “2019 Manhattan and Brooklyn Outages”); (3) the August 2020 electric service interruptions to approximately 330,000 CECONY customers and approximately 200,000 O&amp;R customers following Tropical Storm Isaias (the “Tropical Storm Isaias Outages”) and (4) the August 2020 electric service interruptions to approximately 190,000 customers resulting from faults at CECONY’s Rainey substation following Tropical Storm Isaias (the “Rainey Outages”). Pursuant to the settlement agreement, CECONY and O&amp;R agreed to a total settlement amount of $75.1 million and $7.0 million, respectively. CECONY and O&amp;R agreed to forgo recovery from customers of $25 million and $2.5 million, respectively, associated with the return on existing storm hardening assets beginning with the next rate plan for each utility (over a period of 35 years). CECONY and O&amp;R also agreed to incur ongoing operations and maintenance costs of up to $15.8 million and $2.9 million, respectively, for, among other things, costs to maintain a certain level of contractor and vehicle storm emergency support and storm preparation audits. For CECONY, the settlement agreement includes previously incurred or accrued costs of $34.3 million, including negative revenue adjustments of $5 million for the Rainey Outages and $15 million for the 2019 Manhattan and Brooklyn Outages and $ 14.3 million in costs to reimburse customers for food and medicine spoilage and other previously incurred expenses related to Tropical Storm Isaias and the 2018 Steam Incident. For O&amp;R, the settlement agreement includes previously incurred costs of $1.6 million to reimburse customers for food and medicine spoilage and other expenses related to the Tropical Storm Isaias Outages.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relating to the 2018 Steam Incident, 2019 Manhattan and Brooklyn Outages and Tropical Storm Isaias Outages follow.</w:t>
      </w:r>
    </w:p>
    <w:p>
      <w:pPr>
        <w:spacing w:after="0" w:line="203"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i w:val="1"/>
          <w:iCs w:val="1"/>
          <w:color w:val="auto"/>
        </w:rPr>
        <w:t xml:space="preserve">2018 Steam Incident: </w:t>
      </w:r>
      <w:r>
        <w:rPr>
          <w:rFonts w:ascii="Arial" w:cs="Arial" w:eastAsia="Arial" w:hAnsi="Arial"/>
          <w:sz w:val="18"/>
          <w:szCs w:val="18"/>
          <w:color w:val="auto"/>
        </w:rPr>
        <w:t>In July 2018, the NYSPSC commenced an investigation into the rupture of a CECONY steam main located on Fifth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Avenue and 21st Street in Manhattan. Debris from the incident included dirt and mud containing asbestos. The response to the incident required the closing of buildings and streets for various periods. As of June 30, 2021, with respect to the incident, the company incurred operating costs of $17 million for property damage, clean-up and other response costs and invested $9 million in capital and retirement costs. During the second quarter of 2020, the company accrued a $3 million liability related to this matter. As described above, in July 2021, CECONY entered into a settlement agreement that fully resolves all issues and allegations with respect to this matter.</w:t>
      </w:r>
    </w:p>
    <w:p>
      <w:pPr>
        <w:spacing w:after="0" w:line="21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i w:val="1"/>
          <w:iCs w:val="1"/>
          <w:color w:val="auto"/>
        </w:rPr>
        <w:t xml:space="preserve">2019 Manhattan and Brooklyn Outages: </w:t>
      </w:r>
      <w:r>
        <w:rPr>
          <w:rFonts w:ascii="Arial" w:cs="Arial" w:eastAsia="Arial" w:hAnsi="Arial"/>
          <w:sz w:val="18"/>
          <w:szCs w:val="18"/>
          <w:color w:val="auto"/>
        </w:rPr>
        <w:t>In July 2019, electric service was interrupted to approximately 72,000 CECONY customers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west side of Manhattan. Also in July 2019, electric service was interrupted to approximately 30,000 CECONY customers primarily in the Flatbush area of Brooklyn. In November 2020, the NYSPSC issued an order in its proceedings investigating these July 2019 power outages ordering CECONY to show cause why the NYSPSC should not commence a review of the prudency of CECONY’s actions and/or omissions prior to, during, and after the July 2019 outages in Manhattan and Brooklyn, and pursue civil or administrative penalties in the amount of up to $24.8 million for CECONY’s alleged failure to comply with certain requirements. The order further indicated that should the NYSPSC confirm some or all of the apparent violations identified in the order or other orders issued by the NYSPSC in the future in connection with this proceeding, and should such confirmed violations be classified as findings of repeated violations of the Public Service Law or rules or regulations adopted pursuant thereto that demonstrate a failure of CECONY to continue to provide safe and adequate service, the NYSPSC would be authorized to commence a proceeding under Public Service Law Section 68(2) to revoke or modify CECONY’s certificate as it relates to its service territory or any portion thereof.</w:t>
      </w:r>
    </w:p>
    <w:p>
      <w:pPr>
        <w:spacing w:after="0" w:line="221" w:lineRule="exact"/>
        <w:rPr>
          <w:sz w:val="20"/>
          <w:szCs w:val="20"/>
          <w:color w:val="auto"/>
        </w:rPr>
      </w:pPr>
    </w:p>
    <w:p>
      <w:pPr>
        <w:ind w:right="180"/>
        <w:spacing w:after="0" w:line="222" w:lineRule="auto"/>
        <w:rPr>
          <w:sz w:val="20"/>
          <w:szCs w:val="20"/>
          <w:color w:val="auto"/>
        </w:rPr>
      </w:pPr>
      <w:r>
        <w:rPr>
          <w:rFonts w:ascii="Arial" w:cs="Arial" w:eastAsia="Arial" w:hAnsi="Arial"/>
          <w:sz w:val="18"/>
          <w:szCs w:val="18"/>
          <w:color w:val="auto"/>
        </w:rPr>
        <w:t>In December 2020, CECONY filed a response to the NYSPSC order demonstrating why the NYSPSC should not commence a penalty or prudence action against CECONY. CECONY stated that the NYSPSC order misapplied Section 25-a of the Public Service Law by ignoring the reasonable compliance standard under the statute and instead, was imposing a strict liability standard. For both outages, CECONY presented evidence that it either had complied or reasonably complied with NYSPSC requirements. With respect to the Manhattan outage, CECONY stated that a prudency proceeding was not justified because CECONY’s actions with respect to the Manhattan outage were reasonable based on the information the company had at the time. With respect to the Brooklyn outage, the company stated that the order failed to allege that improper company actions caused the outage. During 2019, CECONY recorded negative revenue adjustments associated with reliability performance provisions of $ 15 million in aggregate primarily related to these outages. As described above, in July 2021, CECONY entered into a settlement agreement that fully resolves all issues and allegations with respect to this matter.</w:t>
      </w:r>
    </w:p>
    <w:p>
      <w:pPr>
        <w:spacing w:after="0" w:line="199" w:lineRule="exact"/>
        <w:rPr>
          <w:sz w:val="20"/>
          <w:szCs w:val="20"/>
          <w:color w:val="auto"/>
        </w:rPr>
      </w:pPr>
    </w:p>
    <w:p>
      <w:pPr>
        <w:ind w:right="100"/>
        <w:spacing w:after="0" w:line="230" w:lineRule="auto"/>
        <w:rPr>
          <w:sz w:val="20"/>
          <w:szCs w:val="20"/>
          <w:color w:val="auto"/>
        </w:rPr>
      </w:pPr>
      <w:r>
        <w:rPr>
          <w:rFonts w:ascii="Arial" w:cs="Arial" w:eastAsia="Arial" w:hAnsi="Arial"/>
          <w:sz w:val="18"/>
          <w:szCs w:val="18"/>
          <w:b w:val="1"/>
          <w:bCs w:val="1"/>
          <w:i w:val="1"/>
          <w:iCs w:val="1"/>
          <w:color w:val="auto"/>
        </w:rPr>
        <w:t xml:space="preserve">Tropical Storm Isaias Outages: </w:t>
      </w:r>
      <w:r>
        <w:rPr>
          <w:rFonts w:ascii="Arial" w:cs="Arial" w:eastAsia="Arial" w:hAnsi="Arial"/>
          <w:sz w:val="18"/>
          <w:szCs w:val="18"/>
          <w:color w:val="auto"/>
        </w:rPr>
        <w:t>In August 2020, Tropical Storm Isaias caused significant damage to the Utilities’ electric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and interrupted service to approximately 330,000 CECONY electric customers and approximately 200,000 O&amp;R electric customers. As of June 30, 2021, CECONY incurred costs for Tropical Storm Isaias of $174 million (including $84 million of operation and maintenance expenses charged against a storm reserve pursuant to its electric rate plan, $63 million of capital expenditures and $27 million (including $7.5 million</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ind w:right="20"/>
        <w:spacing w:after="0" w:line="222" w:lineRule="auto"/>
        <w:rPr>
          <w:sz w:val="20"/>
          <w:szCs w:val="20"/>
          <w:color w:val="auto"/>
        </w:rPr>
      </w:pPr>
      <w:r>
        <w:rPr>
          <w:rFonts w:ascii="Arial" w:cs="Arial" w:eastAsia="Arial" w:hAnsi="Arial"/>
          <w:sz w:val="18"/>
          <w:szCs w:val="18"/>
          <w:color w:val="auto"/>
        </w:rPr>
        <w:t>for food and medicine spoilage claims) of operation and maintenance expenses). As of June 30, 2021, O&amp;R incurred costs for Tropical Storm Isaias of $26.5 million (including $19.2 million of operation and maintenance expenses charged against a storm reserve pursuant to its New York electric rate plan, $5.7 million of capital expenditures and $1.6 million for food and medicine spoilage claims). As of June 30, 2021, RECO incurred costs for Tropical Storm Isaias of $10.8 million (including $7.5 million of operation and maintenance expenses charged against a storm reserve pursuant to its rate plan, $2 million of capital expenditures and $1.3 million for food and medicine spoilage claims). The Utilities’ electric rate plans provide for recovery of operating costs and capital expenditures under different provisions. The Utilities’ incremental operating costs attributable to storms are to be deferred for recovery as a regulatory asset under their electric rate plans, while capital expenditures, up to specified levels, are reflected in rates under their electric rate plans. The provisions of the Utilities’ New York electric rate plans that impose negative revenue adjustments for operating performance provide for exceptions for major storms and catastrophic events beyond the control of the companies, including natural disasters such as hurricanes and floods.</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November 2020, the NYSPSC issued an order in its proceedings investigating the New York utilities’ preparation for and response to Tropical Storm Isaias that ordered the Utilities to show cause why (i) civil penalties or appropriate injunctive relief should not be imposed against CECONY (in the amount of up to $ 102.3 million relating to 33 alleged violations) and against O&amp;R (in the amount of up to $ 19 million relating to 38 alleged violations) to remedy such noncompliance, and (ii) a prudence proceeding should not be commenced against the Utilities for potentially imprudent expenditures of ratepayer funds related to the matter. The order stated that given the continuing nature of the investigation of this matter by the New York State Department of Public Service (NYSDPS), the NYSPSC may amend the order to include any subsequently determined apparent violations identified by the NYSDPS. In addition, the order indicated that should the NYSPSC confirm some or all of the apparent violations identified in the order or other orders issued by the NYSPSC in the future in connection with this proceeding, and should such respective confirmed violations be classified as findings of repeated violations of the Public Service Law or rules or regulations adopted pursuant thereto that demonstrate a failure of CECONY and/or O&amp;R to continue to provide safe and adequate service, the NYSPSC would be authorized to commence a proceeding under Public Service Law Section 68(2) to revoke or modify CECONY’s and/or O&amp;R’s certificate as it relates to its service territory or any portion thereof.</w:t>
      </w:r>
    </w:p>
    <w:p>
      <w:pPr>
        <w:spacing w:after="0" w:line="224"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In December 2020, CECONY and O&amp;R filed responses to the NYSPSC order demonstrating why the NYSPSC should not commence penalty or prudence actions against them. The Utilities stated that the NYSPSC orders misapplied Section 25-a of the Public Service Law by ignoring the reasonable compliance standard under the statute and instead, was imposing a strict liability standard. CECONY and O&amp;R also presented evidence that the order either misrepresented the applicable requirements or ignored that the Utilities were acting pursuant to practices approved by the NYSPSC. Finally, CECONY and O&amp;R stated that there was no basis to commence a prudence proceeding because the Utilities acted reasonably based on the information available and the circumstances at the time. As described above, in July 2021, CECONY and O&amp;R entered into a settlement agreement that fully resolves all issues and allegations with respect to this matter.</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Regulatory Assets and Liabilities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Regulatory assets and liabilities at June 30, 2021 and December 31, 2020 were comprised of the following items: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Borders>
              <w:bottom w:val="single" w:sz="8" w:color="8C8272"/>
            </w:tcBorders>
          </w:tcPr>
          <w:p>
            <w:pPr>
              <w:spacing w:after="0"/>
              <w:rPr>
                <w:sz w:val="16"/>
                <w:szCs w:val="16"/>
                <w:color w:val="auto"/>
              </w:rPr>
            </w:pPr>
          </w:p>
        </w:tc>
        <w:tc>
          <w:tcPr>
            <w:tcW w:w="28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Con Edison</w:t>
            </w:r>
          </w:p>
        </w:tc>
        <w:tc>
          <w:tcPr>
            <w:tcW w:w="820" w:type="dxa"/>
            <w:vAlign w:val="bottom"/>
            <w:tcBorders>
              <w:bottom w:val="single" w:sz="8" w:color="8C8272"/>
            </w:tcBorders>
          </w:tcPr>
          <w:p>
            <w:pPr>
              <w:spacing w:after="0"/>
              <w:rPr>
                <w:sz w:val="16"/>
                <w:szCs w:val="16"/>
                <w:color w:val="auto"/>
              </w:rPr>
            </w:pPr>
          </w:p>
        </w:tc>
        <w:tc>
          <w:tcPr>
            <w:tcW w:w="13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CECONY</w:t>
            </w:r>
          </w:p>
        </w:tc>
        <w:tc>
          <w:tcPr>
            <w:tcW w:w="520" w:type="dxa"/>
            <w:vAlign w:val="bottom"/>
            <w:tcBorders>
              <w:bottom w:val="single" w:sz="8" w:color="8C8272"/>
            </w:tcBorders>
          </w:tcPr>
          <w:p>
            <w:pPr>
              <w:spacing w:after="0"/>
              <w:rPr>
                <w:sz w:val="16"/>
                <w:szCs w:val="16"/>
                <w:color w:val="auto"/>
              </w:rPr>
            </w:pPr>
          </w:p>
        </w:tc>
      </w:tr>
      <w:tr>
        <w:trPr>
          <w:trHeight w:val="183"/>
        </w:trPr>
        <w:tc>
          <w:tcPr>
            <w:tcW w:w="554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2800" w:type="dxa"/>
            <w:vAlign w:val="bottom"/>
            <w:tcBorders>
              <w:bottom w:val="single" w:sz="8" w:color="8C8272"/>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8C8272"/>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360" w:type="dxa"/>
            <w:vAlign w:val="bottom"/>
            <w:tcBorders>
              <w:bottom w:val="single" w:sz="8" w:color="8C8272"/>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5540" w:type="dxa"/>
            <w:vAlign w:val="bottom"/>
            <w:shd w:val="clear" w:color="auto" w:fill="E0E0E0"/>
          </w:tcPr>
          <w:p>
            <w:pPr>
              <w:ind w:left="20"/>
              <w:spacing w:after="0"/>
              <w:rPr>
                <w:sz w:val="20"/>
                <w:szCs w:val="20"/>
                <w:color w:val="auto"/>
              </w:rPr>
            </w:pPr>
            <w:r>
              <w:rPr>
                <w:rFonts w:ascii="Arial" w:cs="Arial" w:eastAsia="Arial" w:hAnsi="Arial"/>
                <w:sz w:val="14"/>
                <w:szCs w:val="14"/>
                <w:color w:val="auto"/>
              </w:rPr>
              <w:t>Regulatory assets</w:t>
            </w:r>
          </w:p>
        </w:tc>
        <w:tc>
          <w:tcPr>
            <w:tcW w:w="2800" w:type="dxa"/>
            <w:vAlign w:val="bottom"/>
            <w:shd w:val="clear" w:color="auto" w:fill="E0E0E0"/>
          </w:tcPr>
          <w:p>
            <w:pPr>
              <w:spacing w:after="0"/>
              <w:rPr>
                <w:sz w:val="15"/>
                <w:szCs w:val="15"/>
                <w:color w:val="auto"/>
              </w:rPr>
            </w:pPr>
          </w:p>
        </w:tc>
        <w:tc>
          <w:tcPr>
            <w:tcW w:w="820" w:type="dxa"/>
            <w:vAlign w:val="bottom"/>
            <w:shd w:val="clear" w:color="auto" w:fill="E0E0E0"/>
          </w:tcPr>
          <w:p>
            <w:pPr>
              <w:spacing w:after="0"/>
              <w:rPr>
                <w:sz w:val="15"/>
                <w:szCs w:val="15"/>
                <w:color w:val="auto"/>
              </w:rPr>
            </w:pPr>
          </w:p>
        </w:tc>
        <w:tc>
          <w:tcPr>
            <w:tcW w:w="136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Unrecognized pension and other postretirement costs</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$2,750</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$3,241</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$2,607</w:t>
            </w:r>
          </w:p>
        </w:tc>
        <w:tc>
          <w:tcPr>
            <w:tcW w:w="520" w:type="dxa"/>
            <w:vAlign w:val="bottom"/>
          </w:tcPr>
          <w:p>
            <w:pPr>
              <w:jc w:val="right"/>
              <w:spacing w:after="0"/>
              <w:rPr>
                <w:sz w:val="20"/>
                <w:szCs w:val="20"/>
                <w:color w:val="auto"/>
              </w:rPr>
            </w:pPr>
            <w:r>
              <w:rPr>
                <w:rFonts w:ascii="Arial" w:cs="Arial" w:eastAsia="Arial" w:hAnsi="Arial"/>
                <w:sz w:val="14"/>
                <w:szCs w:val="14"/>
                <w:color w:val="auto"/>
              </w:rPr>
              <w:t>$3,065</w:t>
            </w:r>
          </w:p>
        </w:tc>
      </w:tr>
      <w:tr>
        <w:trPr>
          <w:trHeight w:val="189"/>
        </w:trPr>
        <w:tc>
          <w:tcPr>
            <w:tcW w:w="5540" w:type="dxa"/>
            <w:vAlign w:val="bottom"/>
            <w:shd w:val="clear" w:color="auto" w:fill="E0E0E0"/>
          </w:tcPr>
          <w:p>
            <w:pPr>
              <w:ind w:left="140"/>
              <w:spacing w:after="0"/>
              <w:rPr>
                <w:sz w:val="20"/>
                <w:szCs w:val="20"/>
                <w:color w:val="auto"/>
              </w:rPr>
            </w:pPr>
            <w:r>
              <w:rPr>
                <w:rFonts w:ascii="Arial" w:cs="Arial" w:eastAsia="Arial" w:hAnsi="Arial"/>
                <w:sz w:val="14"/>
                <w:szCs w:val="14"/>
                <w:color w:val="auto"/>
              </w:rPr>
              <w:t>Environmental remediation costs</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852</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865</w:t>
            </w:r>
          </w:p>
        </w:tc>
        <w:tc>
          <w:tcPr>
            <w:tcW w:w="1360" w:type="dxa"/>
            <w:vAlign w:val="bottom"/>
            <w:shd w:val="clear" w:color="auto" w:fill="E0E0E0"/>
          </w:tcPr>
          <w:p>
            <w:pPr>
              <w:jc w:val="right"/>
              <w:ind w:right="488"/>
              <w:spacing w:after="0"/>
              <w:rPr>
                <w:sz w:val="20"/>
                <w:szCs w:val="20"/>
                <w:color w:val="auto"/>
              </w:rPr>
            </w:pPr>
            <w:r>
              <w:rPr>
                <w:rFonts w:ascii="Arial" w:cs="Arial" w:eastAsia="Arial" w:hAnsi="Arial"/>
                <w:sz w:val="14"/>
                <w:szCs w:val="14"/>
                <w:color w:val="auto"/>
              </w:rPr>
              <w:t>783</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791</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Pension and other postretirement benefits deferrals</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395</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315</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344</w:t>
            </w:r>
          </w:p>
        </w:tc>
        <w:tc>
          <w:tcPr>
            <w:tcW w:w="52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189"/>
        </w:trPr>
        <w:tc>
          <w:tcPr>
            <w:tcW w:w="5540" w:type="dxa"/>
            <w:vAlign w:val="bottom"/>
            <w:shd w:val="clear" w:color="auto" w:fill="E0E0E0"/>
          </w:tcPr>
          <w:p>
            <w:pPr>
              <w:ind w:left="140"/>
              <w:spacing w:after="0"/>
              <w:rPr>
                <w:sz w:val="20"/>
                <w:szCs w:val="20"/>
                <w:color w:val="auto"/>
              </w:rPr>
            </w:pPr>
            <w:r>
              <w:rPr>
                <w:rFonts w:ascii="Arial" w:cs="Arial" w:eastAsia="Arial" w:hAnsi="Arial"/>
                <w:sz w:val="14"/>
                <w:szCs w:val="14"/>
                <w:color w:val="auto"/>
              </w:rPr>
              <w:t>Revenue taxes</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373</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356</w:t>
            </w:r>
          </w:p>
        </w:tc>
        <w:tc>
          <w:tcPr>
            <w:tcW w:w="1360" w:type="dxa"/>
            <w:vAlign w:val="bottom"/>
            <w:shd w:val="clear" w:color="auto" w:fill="E0E0E0"/>
          </w:tcPr>
          <w:p>
            <w:pPr>
              <w:jc w:val="right"/>
              <w:ind w:right="488"/>
              <w:spacing w:after="0"/>
              <w:rPr>
                <w:sz w:val="20"/>
                <w:szCs w:val="20"/>
                <w:color w:val="auto"/>
              </w:rPr>
            </w:pPr>
            <w:r>
              <w:rPr>
                <w:rFonts w:ascii="Arial" w:cs="Arial" w:eastAsia="Arial" w:hAnsi="Arial"/>
                <w:sz w:val="14"/>
                <w:szCs w:val="14"/>
                <w:color w:val="auto"/>
              </w:rPr>
              <w:t>357</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342</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Property tax reconciliation</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246</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241</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246</w:t>
            </w:r>
          </w:p>
        </w:tc>
        <w:tc>
          <w:tcPr>
            <w:tcW w:w="52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189"/>
        </w:trPr>
        <w:tc>
          <w:tcPr>
            <w:tcW w:w="5540" w:type="dxa"/>
            <w:vAlign w:val="bottom"/>
            <w:shd w:val="clear" w:color="auto" w:fill="E0E0E0"/>
          </w:tcPr>
          <w:p>
            <w:pPr>
              <w:ind w:left="140"/>
              <w:spacing w:after="0"/>
              <w:rPr>
                <w:sz w:val="20"/>
                <w:szCs w:val="20"/>
                <w:color w:val="auto"/>
              </w:rPr>
            </w:pPr>
            <w:r>
              <w:rPr>
                <w:rFonts w:ascii="Arial" w:cs="Arial" w:eastAsia="Arial" w:hAnsi="Arial"/>
                <w:sz w:val="14"/>
                <w:szCs w:val="14"/>
                <w:color w:val="auto"/>
              </w:rPr>
              <w:t>COVID-19 pandemic deferrals</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239</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115</w:t>
            </w:r>
          </w:p>
        </w:tc>
        <w:tc>
          <w:tcPr>
            <w:tcW w:w="1360" w:type="dxa"/>
            <w:vAlign w:val="bottom"/>
            <w:shd w:val="clear" w:color="auto" w:fill="E0E0E0"/>
          </w:tcPr>
          <w:p>
            <w:pPr>
              <w:jc w:val="right"/>
              <w:ind w:right="488"/>
              <w:spacing w:after="0"/>
              <w:rPr>
                <w:sz w:val="20"/>
                <w:szCs w:val="20"/>
                <w:color w:val="auto"/>
              </w:rPr>
            </w:pPr>
            <w:r>
              <w:rPr>
                <w:rFonts w:ascii="Arial" w:cs="Arial" w:eastAsia="Arial" w:hAnsi="Arial"/>
                <w:sz w:val="14"/>
                <w:szCs w:val="14"/>
                <w:color w:val="auto"/>
              </w:rPr>
              <w:t>234</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113</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Deferred storm costs</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225</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195</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112</w:t>
            </w:r>
          </w:p>
        </w:tc>
        <w:tc>
          <w:tcPr>
            <w:tcW w:w="52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189"/>
        </w:trPr>
        <w:tc>
          <w:tcPr>
            <w:tcW w:w="5540" w:type="dxa"/>
            <w:vAlign w:val="bottom"/>
            <w:shd w:val="clear" w:color="auto" w:fill="E0E0E0"/>
          </w:tcPr>
          <w:p>
            <w:pPr>
              <w:ind w:left="140"/>
              <w:spacing w:after="0"/>
              <w:rPr>
                <w:sz w:val="20"/>
                <w:szCs w:val="20"/>
                <w:color w:val="auto"/>
              </w:rPr>
            </w:pPr>
            <w:r>
              <w:rPr>
                <w:rFonts w:ascii="Arial" w:cs="Arial" w:eastAsia="Arial" w:hAnsi="Arial"/>
                <w:sz w:val="14"/>
                <w:szCs w:val="14"/>
                <w:color w:val="auto"/>
              </w:rPr>
              <w:t>MTA power reliability deferral</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164</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188</w:t>
            </w:r>
          </w:p>
        </w:tc>
        <w:tc>
          <w:tcPr>
            <w:tcW w:w="1360" w:type="dxa"/>
            <w:vAlign w:val="bottom"/>
            <w:shd w:val="clear" w:color="auto" w:fill="E0E0E0"/>
          </w:tcPr>
          <w:p>
            <w:pPr>
              <w:jc w:val="right"/>
              <w:ind w:right="488"/>
              <w:spacing w:after="0"/>
              <w:rPr>
                <w:sz w:val="20"/>
                <w:szCs w:val="20"/>
                <w:color w:val="auto"/>
              </w:rPr>
            </w:pPr>
            <w:r>
              <w:rPr>
                <w:rFonts w:ascii="Arial" w:cs="Arial" w:eastAsia="Arial" w:hAnsi="Arial"/>
                <w:sz w:val="14"/>
                <w:szCs w:val="14"/>
                <w:color w:val="auto"/>
              </w:rPr>
              <w:t>164</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188</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System peak reduction and energy efficiency programs</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88</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124</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88</w:t>
            </w:r>
          </w:p>
        </w:tc>
        <w:tc>
          <w:tcPr>
            <w:tcW w:w="52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189"/>
        </w:trPr>
        <w:tc>
          <w:tcPr>
            <w:tcW w:w="5540" w:type="dxa"/>
            <w:vAlign w:val="bottom"/>
            <w:shd w:val="clear" w:color="auto" w:fill="E0E0E0"/>
          </w:tcPr>
          <w:p>
            <w:pPr>
              <w:ind w:left="140"/>
              <w:spacing w:after="0"/>
              <w:rPr>
                <w:sz w:val="20"/>
                <w:szCs w:val="20"/>
                <w:color w:val="auto"/>
              </w:rPr>
            </w:pPr>
            <w:r>
              <w:rPr>
                <w:rFonts w:ascii="Arial" w:cs="Arial" w:eastAsia="Arial" w:hAnsi="Arial"/>
                <w:sz w:val="14"/>
                <w:szCs w:val="14"/>
                <w:color w:val="auto"/>
              </w:rPr>
              <w:t>Deferred derivative losses</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75</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120</w:t>
            </w:r>
          </w:p>
        </w:tc>
        <w:tc>
          <w:tcPr>
            <w:tcW w:w="1360" w:type="dxa"/>
            <w:vAlign w:val="bottom"/>
            <w:shd w:val="clear" w:color="auto" w:fill="E0E0E0"/>
          </w:tcPr>
          <w:p>
            <w:pPr>
              <w:jc w:val="right"/>
              <w:ind w:right="488"/>
              <w:spacing w:after="0"/>
              <w:rPr>
                <w:sz w:val="20"/>
                <w:szCs w:val="20"/>
                <w:color w:val="auto"/>
              </w:rPr>
            </w:pPr>
            <w:r>
              <w:rPr>
                <w:rFonts w:ascii="Arial" w:cs="Arial" w:eastAsia="Arial" w:hAnsi="Arial"/>
                <w:sz w:val="14"/>
                <w:szCs w:val="14"/>
                <w:color w:val="auto"/>
              </w:rPr>
              <w:t>69</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111</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Municipal infrastructure support costs</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52</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62</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52</w:t>
            </w:r>
          </w:p>
        </w:tc>
        <w:tc>
          <w:tcPr>
            <w:tcW w:w="52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89"/>
        </w:trPr>
        <w:tc>
          <w:tcPr>
            <w:tcW w:w="5540" w:type="dxa"/>
            <w:vAlign w:val="bottom"/>
            <w:shd w:val="clear" w:color="auto" w:fill="E0E0E0"/>
          </w:tcPr>
          <w:p>
            <w:pPr>
              <w:ind w:left="140"/>
              <w:spacing w:after="0"/>
              <w:rPr>
                <w:sz w:val="20"/>
                <w:szCs w:val="20"/>
                <w:color w:val="auto"/>
              </w:rPr>
            </w:pPr>
            <w:r>
              <w:rPr>
                <w:rFonts w:ascii="Arial" w:cs="Arial" w:eastAsia="Arial" w:hAnsi="Arial"/>
                <w:sz w:val="14"/>
                <w:szCs w:val="14"/>
                <w:color w:val="auto"/>
              </w:rPr>
              <w:t>Brooklyn Queens demand management program</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35</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36</w:t>
            </w:r>
          </w:p>
        </w:tc>
        <w:tc>
          <w:tcPr>
            <w:tcW w:w="1360" w:type="dxa"/>
            <w:vAlign w:val="bottom"/>
            <w:shd w:val="clear" w:color="auto" w:fill="E0E0E0"/>
          </w:tcPr>
          <w:p>
            <w:pPr>
              <w:jc w:val="right"/>
              <w:ind w:right="488"/>
              <w:spacing w:after="0"/>
              <w:rPr>
                <w:sz w:val="20"/>
                <w:szCs w:val="20"/>
                <w:color w:val="auto"/>
              </w:rPr>
            </w:pPr>
            <w:r>
              <w:rPr>
                <w:rFonts w:ascii="Arial" w:cs="Arial" w:eastAsia="Arial" w:hAnsi="Arial"/>
                <w:sz w:val="14"/>
                <w:szCs w:val="14"/>
                <w:color w:val="auto"/>
              </w:rPr>
              <w:t>35</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36</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Meadowlands heater odorization project</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31</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32</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31</w:t>
            </w:r>
          </w:p>
        </w:tc>
        <w:tc>
          <w:tcPr>
            <w:tcW w:w="5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89"/>
        </w:trPr>
        <w:tc>
          <w:tcPr>
            <w:tcW w:w="5540" w:type="dxa"/>
            <w:vAlign w:val="bottom"/>
            <w:shd w:val="clear" w:color="auto" w:fill="E0E0E0"/>
          </w:tcPr>
          <w:p>
            <w:pPr>
              <w:ind w:left="140"/>
              <w:spacing w:after="0"/>
              <w:rPr>
                <w:sz w:val="20"/>
                <w:szCs w:val="20"/>
                <w:color w:val="auto"/>
              </w:rPr>
            </w:pPr>
            <w:r>
              <w:rPr>
                <w:rFonts w:ascii="Arial" w:cs="Arial" w:eastAsia="Arial" w:hAnsi="Arial"/>
                <w:sz w:val="14"/>
                <w:szCs w:val="14"/>
                <w:color w:val="auto"/>
              </w:rPr>
              <w:t>Preferred stock redemption</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21</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21</w:t>
            </w:r>
          </w:p>
        </w:tc>
        <w:tc>
          <w:tcPr>
            <w:tcW w:w="1360" w:type="dxa"/>
            <w:vAlign w:val="bottom"/>
            <w:shd w:val="clear" w:color="auto" w:fill="E0E0E0"/>
          </w:tcPr>
          <w:p>
            <w:pPr>
              <w:jc w:val="right"/>
              <w:ind w:right="488"/>
              <w:spacing w:after="0"/>
              <w:rPr>
                <w:sz w:val="20"/>
                <w:szCs w:val="20"/>
                <w:color w:val="auto"/>
              </w:rPr>
            </w:pPr>
            <w:r>
              <w:rPr>
                <w:rFonts w:ascii="Arial" w:cs="Arial" w:eastAsia="Arial" w:hAnsi="Arial"/>
                <w:sz w:val="14"/>
                <w:szCs w:val="14"/>
                <w:color w:val="auto"/>
              </w:rPr>
              <w:t>21</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21</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Non-wire alternative projects</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19</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18</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19</w:t>
            </w:r>
          </w:p>
        </w:tc>
        <w:tc>
          <w:tcPr>
            <w:tcW w:w="5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89"/>
        </w:trPr>
        <w:tc>
          <w:tcPr>
            <w:tcW w:w="5540" w:type="dxa"/>
            <w:vAlign w:val="bottom"/>
            <w:shd w:val="clear" w:color="auto" w:fill="E0E0E0"/>
          </w:tcPr>
          <w:p>
            <w:pPr>
              <w:ind w:left="140"/>
              <w:spacing w:after="0"/>
              <w:rPr>
                <w:sz w:val="20"/>
                <w:szCs w:val="20"/>
                <w:color w:val="auto"/>
              </w:rPr>
            </w:pPr>
            <w:r>
              <w:rPr>
                <w:rFonts w:ascii="Arial" w:cs="Arial" w:eastAsia="Arial" w:hAnsi="Arial"/>
                <w:sz w:val="14"/>
                <w:szCs w:val="14"/>
                <w:color w:val="auto"/>
              </w:rPr>
              <w:t>Unamortized loss on reacquired debt</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18</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21</w:t>
            </w:r>
          </w:p>
        </w:tc>
        <w:tc>
          <w:tcPr>
            <w:tcW w:w="1360" w:type="dxa"/>
            <w:vAlign w:val="bottom"/>
            <w:shd w:val="clear" w:color="auto" w:fill="E0E0E0"/>
          </w:tcPr>
          <w:p>
            <w:pPr>
              <w:jc w:val="right"/>
              <w:ind w:right="488"/>
              <w:spacing w:after="0"/>
              <w:rPr>
                <w:sz w:val="20"/>
                <w:szCs w:val="20"/>
                <w:color w:val="auto"/>
              </w:rPr>
            </w:pPr>
            <w:r>
              <w:rPr>
                <w:rFonts w:ascii="Arial" w:cs="Arial" w:eastAsia="Arial" w:hAnsi="Arial"/>
                <w:sz w:val="14"/>
                <w:szCs w:val="14"/>
                <w:color w:val="auto"/>
              </w:rPr>
              <w:t>16</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19</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Recoverable REV demonstration project costs</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18</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20</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16</w:t>
            </w:r>
          </w:p>
        </w:tc>
        <w:tc>
          <w:tcPr>
            <w:tcW w:w="5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89"/>
        </w:trPr>
        <w:tc>
          <w:tcPr>
            <w:tcW w:w="5540" w:type="dxa"/>
            <w:vAlign w:val="bottom"/>
            <w:shd w:val="clear" w:color="auto" w:fill="E0E0E0"/>
          </w:tcPr>
          <w:p>
            <w:pPr>
              <w:ind w:left="140"/>
              <w:spacing w:after="0"/>
              <w:rPr>
                <w:sz w:val="20"/>
                <w:szCs w:val="20"/>
                <w:color w:val="auto"/>
              </w:rPr>
            </w:pPr>
            <w:r>
              <w:rPr>
                <w:rFonts w:ascii="Arial" w:cs="Arial" w:eastAsia="Arial" w:hAnsi="Arial"/>
                <w:sz w:val="14"/>
                <w:szCs w:val="14"/>
                <w:color w:val="auto"/>
              </w:rPr>
              <w:t>Gate station upgrade project</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16</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25</w:t>
            </w:r>
          </w:p>
        </w:tc>
        <w:tc>
          <w:tcPr>
            <w:tcW w:w="1360" w:type="dxa"/>
            <w:vAlign w:val="bottom"/>
            <w:shd w:val="clear" w:color="auto" w:fill="E0E0E0"/>
          </w:tcPr>
          <w:p>
            <w:pPr>
              <w:jc w:val="right"/>
              <w:ind w:right="488"/>
              <w:spacing w:after="0"/>
              <w:rPr>
                <w:sz w:val="20"/>
                <w:szCs w:val="20"/>
                <w:color w:val="auto"/>
              </w:rPr>
            </w:pPr>
            <w:r>
              <w:rPr>
                <w:rFonts w:ascii="Arial" w:cs="Arial" w:eastAsia="Arial" w:hAnsi="Arial"/>
                <w:sz w:val="14"/>
                <w:szCs w:val="14"/>
                <w:color w:val="auto"/>
              </w:rPr>
              <w:t>16</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25</w:t>
            </w:r>
          </w:p>
        </w:tc>
      </w:tr>
      <w:tr>
        <w:trPr>
          <w:trHeight w:val="189"/>
        </w:trPr>
        <w:tc>
          <w:tcPr>
            <w:tcW w:w="5540" w:type="dxa"/>
            <w:vAlign w:val="bottom"/>
            <w:tcBorders>
              <w:bottom w:val="single" w:sz="8" w:color="8C8272"/>
            </w:tcBorders>
          </w:tcPr>
          <w:p>
            <w:pPr>
              <w:ind w:left="140"/>
              <w:spacing w:after="0"/>
              <w:rPr>
                <w:sz w:val="20"/>
                <w:szCs w:val="20"/>
                <w:color w:val="auto"/>
              </w:rPr>
            </w:pPr>
            <w:r>
              <w:rPr>
                <w:rFonts w:ascii="Arial" w:cs="Arial" w:eastAsia="Arial" w:hAnsi="Arial"/>
                <w:sz w:val="14"/>
                <w:szCs w:val="14"/>
                <w:color w:val="auto"/>
              </w:rPr>
              <w:t>Other</w:t>
            </w:r>
          </w:p>
        </w:tc>
        <w:tc>
          <w:tcPr>
            <w:tcW w:w="2800" w:type="dxa"/>
            <w:vAlign w:val="bottom"/>
            <w:tcBorders>
              <w:bottom w:val="single" w:sz="8" w:color="8C8272"/>
            </w:tcBorders>
          </w:tcPr>
          <w:p>
            <w:pPr>
              <w:jc w:val="right"/>
              <w:ind w:right="528"/>
              <w:spacing w:after="0"/>
              <w:rPr>
                <w:sz w:val="20"/>
                <w:szCs w:val="20"/>
                <w:color w:val="auto"/>
              </w:rPr>
            </w:pPr>
            <w:r>
              <w:rPr>
                <w:rFonts w:ascii="Arial" w:cs="Arial" w:eastAsia="Arial" w:hAnsi="Arial"/>
                <w:sz w:val="14"/>
                <w:szCs w:val="14"/>
                <w:color w:val="auto"/>
              </w:rPr>
              <w:t>272</w:t>
            </w:r>
          </w:p>
        </w:tc>
        <w:tc>
          <w:tcPr>
            <w:tcW w:w="820" w:type="dxa"/>
            <w:vAlign w:val="bottom"/>
            <w:tcBorders>
              <w:bottom w:val="single" w:sz="8" w:color="8C8272"/>
            </w:tcBorders>
          </w:tcPr>
          <w:p>
            <w:pPr>
              <w:jc w:val="right"/>
              <w:ind w:right="288"/>
              <w:spacing w:after="0"/>
              <w:rPr>
                <w:sz w:val="20"/>
                <w:szCs w:val="20"/>
                <w:color w:val="auto"/>
              </w:rPr>
            </w:pPr>
            <w:r>
              <w:rPr>
                <w:rFonts w:ascii="Arial" w:cs="Arial" w:eastAsia="Arial" w:hAnsi="Arial"/>
                <w:sz w:val="14"/>
                <w:szCs w:val="14"/>
                <w:color w:val="auto"/>
              </w:rPr>
              <w:t>200</w:t>
            </w:r>
          </w:p>
        </w:tc>
        <w:tc>
          <w:tcPr>
            <w:tcW w:w="1360" w:type="dxa"/>
            <w:vAlign w:val="bottom"/>
            <w:tcBorders>
              <w:bottom w:val="single" w:sz="8" w:color="8C8272"/>
            </w:tcBorders>
          </w:tcPr>
          <w:p>
            <w:pPr>
              <w:jc w:val="right"/>
              <w:ind w:right="488"/>
              <w:spacing w:after="0"/>
              <w:rPr>
                <w:sz w:val="20"/>
                <w:szCs w:val="20"/>
                <w:color w:val="auto"/>
              </w:rPr>
            </w:pPr>
            <w:r>
              <w:rPr>
                <w:rFonts w:ascii="Arial" w:cs="Arial" w:eastAsia="Arial" w:hAnsi="Arial"/>
                <w:sz w:val="14"/>
                <w:szCs w:val="14"/>
                <w:color w:val="auto"/>
              </w:rPr>
              <w:t>262</w:t>
            </w:r>
          </w:p>
        </w:tc>
        <w:tc>
          <w:tcPr>
            <w:tcW w:w="5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186</w:t>
            </w:r>
          </w:p>
        </w:tc>
      </w:tr>
      <w:tr>
        <w:trPr>
          <w:trHeight w:val="183"/>
        </w:trPr>
        <w:tc>
          <w:tcPr>
            <w:tcW w:w="5540" w:type="dxa"/>
            <w:vAlign w:val="bottom"/>
            <w:shd w:val="clear" w:color="auto" w:fill="E0E0E0"/>
          </w:tcPr>
          <w:p>
            <w:pPr>
              <w:ind w:left="20"/>
              <w:spacing w:after="0"/>
              <w:rPr>
                <w:sz w:val="20"/>
                <w:szCs w:val="20"/>
                <w:color w:val="auto"/>
              </w:rPr>
            </w:pPr>
            <w:r>
              <w:rPr>
                <w:rFonts w:ascii="Arial" w:cs="Arial" w:eastAsia="Arial" w:hAnsi="Arial"/>
                <w:sz w:val="14"/>
                <w:szCs w:val="14"/>
                <w:color w:val="auto"/>
              </w:rPr>
              <w:t>Regulatory assets – noncurrent</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5,889</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6,195</w:t>
            </w:r>
          </w:p>
        </w:tc>
        <w:tc>
          <w:tcPr>
            <w:tcW w:w="1360" w:type="dxa"/>
            <w:vAlign w:val="bottom"/>
            <w:shd w:val="clear" w:color="auto" w:fill="E0E0E0"/>
          </w:tcPr>
          <w:p>
            <w:pPr>
              <w:jc w:val="right"/>
              <w:ind w:right="488"/>
              <w:spacing w:after="0"/>
              <w:rPr>
                <w:sz w:val="20"/>
                <w:szCs w:val="20"/>
                <w:color w:val="auto"/>
              </w:rPr>
            </w:pPr>
            <w:r>
              <w:rPr>
                <w:rFonts w:ascii="Arial" w:cs="Arial" w:eastAsia="Arial" w:hAnsi="Arial"/>
                <w:sz w:val="14"/>
                <w:szCs w:val="14"/>
                <w:color w:val="auto"/>
              </w:rPr>
              <w:t>5,472</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5,745</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Deferred derivative losses</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161</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190</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152</w:t>
            </w:r>
          </w:p>
        </w:tc>
        <w:tc>
          <w:tcPr>
            <w:tcW w:w="52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189"/>
        </w:trPr>
        <w:tc>
          <w:tcPr>
            <w:tcW w:w="5540" w:type="dxa"/>
            <w:vAlign w:val="bottom"/>
            <w:tcBorders>
              <w:bottom w:val="single" w:sz="8" w:color="8C8272"/>
            </w:tcBorders>
            <w:shd w:val="clear" w:color="auto" w:fill="E0E0E0"/>
          </w:tcPr>
          <w:p>
            <w:pPr>
              <w:ind w:left="140"/>
              <w:spacing w:after="0"/>
              <w:rPr>
                <w:sz w:val="20"/>
                <w:szCs w:val="20"/>
                <w:color w:val="auto"/>
              </w:rPr>
            </w:pPr>
            <w:r>
              <w:rPr>
                <w:rFonts w:ascii="Arial" w:cs="Arial" w:eastAsia="Arial" w:hAnsi="Arial"/>
                <w:sz w:val="14"/>
                <w:szCs w:val="14"/>
                <w:color w:val="auto"/>
              </w:rPr>
              <w:t>Recoverable energy costs</w:t>
            </w:r>
          </w:p>
        </w:tc>
        <w:tc>
          <w:tcPr>
            <w:tcW w:w="2800" w:type="dxa"/>
            <w:vAlign w:val="bottom"/>
            <w:tcBorders>
              <w:bottom w:val="single" w:sz="8" w:color="8C8272"/>
            </w:tcBorders>
            <w:shd w:val="clear" w:color="auto" w:fill="E0E0E0"/>
          </w:tcPr>
          <w:p>
            <w:pPr>
              <w:jc w:val="right"/>
              <w:ind w:right="528"/>
              <w:spacing w:after="0"/>
              <w:rPr>
                <w:sz w:val="20"/>
                <w:szCs w:val="20"/>
                <w:color w:val="auto"/>
              </w:rPr>
            </w:pPr>
            <w:r>
              <w:rPr>
                <w:rFonts w:ascii="Arial" w:cs="Arial" w:eastAsia="Arial" w:hAnsi="Arial"/>
                <w:sz w:val="14"/>
                <w:szCs w:val="14"/>
                <w:color w:val="auto"/>
              </w:rPr>
              <w:t>23</w:t>
            </w:r>
          </w:p>
        </w:tc>
        <w:tc>
          <w:tcPr>
            <w:tcW w:w="820" w:type="dxa"/>
            <w:vAlign w:val="bottom"/>
            <w:tcBorders>
              <w:bottom w:val="single" w:sz="8" w:color="8C8272"/>
            </w:tcBorders>
            <w:shd w:val="clear" w:color="auto" w:fill="E0E0E0"/>
          </w:tcPr>
          <w:p>
            <w:pPr>
              <w:jc w:val="right"/>
              <w:ind w:right="348"/>
              <w:spacing w:after="0"/>
              <w:rPr>
                <w:sz w:val="20"/>
                <w:szCs w:val="20"/>
                <w:color w:val="auto"/>
              </w:rPr>
            </w:pPr>
            <w:r>
              <w:rPr>
                <w:rFonts w:ascii="Arial" w:cs="Arial" w:eastAsia="Arial" w:hAnsi="Arial"/>
                <w:sz w:val="14"/>
                <w:szCs w:val="14"/>
                <w:color w:val="auto"/>
              </w:rPr>
              <w:t>76</w:t>
            </w:r>
          </w:p>
        </w:tc>
        <w:tc>
          <w:tcPr>
            <w:tcW w:w="1360" w:type="dxa"/>
            <w:vAlign w:val="bottom"/>
            <w:tcBorders>
              <w:bottom w:val="single" w:sz="8" w:color="8C8272"/>
            </w:tcBorders>
            <w:shd w:val="clear" w:color="auto" w:fill="E0E0E0"/>
          </w:tcPr>
          <w:p>
            <w:pPr>
              <w:jc w:val="right"/>
              <w:ind w:right="528"/>
              <w:spacing w:after="0"/>
              <w:rPr>
                <w:sz w:val="20"/>
                <w:szCs w:val="20"/>
                <w:color w:val="auto"/>
              </w:rPr>
            </w:pPr>
            <w:r>
              <w:rPr>
                <w:rFonts w:ascii="Arial" w:cs="Arial" w:eastAsia="Arial" w:hAnsi="Arial"/>
                <w:sz w:val="14"/>
                <w:szCs w:val="14"/>
                <w:color w:val="auto"/>
              </w:rPr>
              <w:t>15</w:t>
            </w:r>
          </w:p>
        </w:tc>
        <w:tc>
          <w:tcPr>
            <w:tcW w:w="52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67</w:t>
            </w:r>
          </w:p>
        </w:tc>
      </w:tr>
      <w:tr>
        <w:trPr>
          <w:trHeight w:val="182"/>
        </w:trPr>
        <w:tc>
          <w:tcPr>
            <w:tcW w:w="554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Regulatory assets – current</w:t>
            </w:r>
          </w:p>
        </w:tc>
        <w:tc>
          <w:tcPr>
            <w:tcW w:w="2800" w:type="dxa"/>
            <w:vAlign w:val="bottom"/>
            <w:tcBorders>
              <w:bottom w:val="single" w:sz="8" w:color="8C8272"/>
            </w:tcBorders>
          </w:tcPr>
          <w:p>
            <w:pPr>
              <w:jc w:val="right"/>
              <w:ind w:right="528"/>
              <w:spacing w:after="0"/>
              <w:rPr>
                <w:sz w:val="20"/>
                <w:szCs w:val="20"/>
                <w:color w:val="auto"/>
              </w:rPr>
            </w:pPr>
            <w:r>
              <w:rPr>
                <w:rFonts w:ascii="Arial" w:cs="Arial" w:eastAsia="Arial" w:hAnsi="Arial"/>
                <w:sz w:val="14"/>
                <w:szCs w:val="14"/>
                <w:color w:val="auto"/>
              </w:rPr>
              <w:t>184</w:t>
            </w:r>
          </w:p>
        </w:tc>
        <w:tc>
          <w:tcPr>
            <w:tcW w:w="820" w:type="dxa"/>
            <w:vAlign w:val="bottom"/>
            <w:tcBorders>
              <w:bottom w:val="single" w:sz="8" w:color="8C8272"/>
            </w:tcBorders>
          </w:tcPr>
          <w:p>
            <w:pPr>
              <w:jc w:val="right"/>
              <w:ind w:right="288"/>
              <w:spacing w:after="0"/>
              <w:rPr>
                <w:sz w:val="20"/>
                <w:szCs w:val="20"/>
                <w:color w:val="auto"/>
              </w:rPr>
            </w:pPr>
            <w:r>
              <w:rPr>
                <w:rFonts w:ascii="Arial" w:cs="Arial" w:eastAsia="Arial" w:hAnsi="Arial"/>
                <w:sz w:val="14"/>
                <w:szCs w:val="14"/>
                <w:color w:val="auto"/>
              </w:rPr>
              <w:t>266</w:t>
            </w:r>
          </w:p>
        </w:tc>
        <w:tc>
          <w:tcPr>
            <w:tcW w:w="1360" w:type="dxa"/>
            <w:vAlign w:val="bottom"/>
            <w:tcBorders>
              <w:bottom w:val="single" w:sz="8" w:color="8C8272"/>
            </w:tcBorders>
          </w:tcPr>
          <w:p>
            <w:pPr>
              <w:jc w:val="right"/>
              <w:ind w:right="488"/>
              <w:spacing w:after="0"/>
              <w:rPr>
                <w:sz w:val="20"/>
                <w:szCs w:val="20"/>
                <w:color w:val="auto"/>
              </w:rPr>
            </w:pPr>
            <w:r>
              <w:rPr>
                <w:rFonts w:ascii="Arial" w:cs="Arial" w:eastAsia="Arial" w:hAnsi="Arial"/>
                <w:sz w:val="14"/>
                <w:szCs w:val="14"/>
                <w:color w:val="auto"/>
              </w:rPr>
              <w:t>167</w:t>
            </w:r>
          </w:p>
        </w:tc>
        <w:tc>
          <w:tcPr>
            <w:tcW w:w="5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244</w:t>
            </w:r>
          </w:p>
        </w:tc>
      </w:tr>
      <w:tr>
        <w:trPr>
          <w:trHeight w:val="183"/>
        </w:trPr>
        <w:tc>
          <w:tcPr>
            <w:tcW w:w="5540" w:type="dxa"/>
            <w:vAlign w:val="bottom"/>
            <w:tcBorders>
              <w:bottom w:val="single" w:sz="8" w:color="8C8272"/>
            </w:tcBorders>
            <w:shd w:val="clear" w:color="auto" w:fill="E0E0E0"/>
          </w:tcPr>
          <w:p>
            <w:pPr>
              <w:ind w:left="20"/>
              <w:spacing w:after="0"/>
              <w:rPr>
                <w:sz w:val="20"/>
                <w:szCs w:val="20"/>
                <w:color w:val="auto"/>
              </w:rPr>
            </w:pPr>
            <w:r>
              <w:rPr>
                <w:rFonts w:ascii="Arial" w:cs="Arial" w:eastAsia="Arial" w:hAnsi="Arial"/>
                <w:sz w:val="14"/>
                <w:szCs w:val="14"/>
                <w:color w:val="auto"/>
              </w:rPr>
              <w:t>Total Regulatory Assets</w:t>
            </w:r>
          </w:p>
        </w:tc>
        <w:tc>
          <w:tcPr>
            <w:tcW w:w="2800" w:type="dxa"/>
            <w:vAlign w:val="bottom"/>
            <w:tcBorders>
              <w:bottom w:val="single" w:sz="8" w:color="8C8272"/>
            </w:tcBorders>
            <w:shd w:val="clear" w:color="auto" w:fill="E0E0E0"/>
          </w:tcPr>
          <w:p>
            <w:pPr>
              <w:jc w:val="right"/>
              <w:ind w:right="528"/>
              <w:spacing w:after="0"/>
              <w:rPr>
                <w:sz w:val="20"/>
                <w:szCs w:val="20"/>
                <w:color w:val="auto"/>
              </w:rPr>
            </w:pPr>
            <w:r>
              <w:rPr>
                <w:rFonts w:ascii="Arial" w:cs="Arial" w:eastAsia="Arial" w:hAnsi="Arial"/>
                <w:sz w:val="14"/>
                <w:szCs w:val="14"/>
                <w:color w:val="auto"/>
              </w:rPr>
              <w:t>$6,073</w:t>
            </w:r>
          </w:p>
        </w:tc>
        <w:tc>
          <w:tcPr>
            <w:tcW w:w="820" w:type="dxa"/>
            <w:vAlign w:val="bottom"/>
            <w:tcBorders>
              <w:bottom w:val="single" w:sz="8" w:color="8C8272"/>
            </w:tcBorders>
            <w:shd w:val="clear" w:color="auto" w:fill="E0E0E0"/>
          </w:tcPr>
          <w:p>
            <w:pPr>
              <w:jc w:val="right"/>
              <w:ind w:right="288"/>
              <w:spacing w:after="0"/>
              <w:rPr>
                <w:sz w:val="20"/>
                <w:szCs w:val="20"/>
                <w:color w:val="auto"/>
              </w:rPr>
            </w:pPr>
            <w:r>
              <w:rPr>
                <w:rFonts w:ascii="Arial" w:cs="Arial" w:eastAsia="Arial" w:hAnsi="Arial"/>
                <w:sz w:val="14"/>
                <w:szCs w:val="14"/>
                <w:color w:val="auto"/>
              </w:rPr>
              <w:t>$6,461</w:t>
            </w:r>
          </w:p>
        </w:tc>
        <w:tc>
          <w:tcPr>
            <w:tcW w:w="1360" w:type="dxa"/>
            <w:vAlign w:val="bottom"/>
            <w:tcBorders>
              <w:bottom w:val="single" w:sz="8" w:color="8C8272"/>
            </w:tcBorders>
            <w:shd w:val="clear" w:color="auto" w:fill="E0E0E0"/>
          </w:tcPr>
          <w:p>
            <w:pPr>
              <w:jc w:val="right"/>
              <w:ind w:right="488"/>
              <w:spacing w:after="0"/>
              <w:rPr>
                <w:sz w:val="20"/>
                <w:szCs w:val="20"/>
                <w:color w:val="auto"/>
              </w:rPr>
            </w:pPr>
            <w:r>
              <w:rPr>
                <w:rFonts w:ascii="Arial" w:cs="Arial" w:eastAsia="Arial" w:hAnsi="Arial"/>
                <w:sz w:val="14"/>
                <w:szCs w:val="14"/>
                <w:color w:val="auto"/>
              </w:rPr>
              <w:t>$5,639</w:t>
            </w:r>
          </w:p>
        </w:tc>
        <w:tc>
          <w:tcPr>
            <w:tcW w:w="52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$5,989</w:t>
            </w:r>
          </w:p>
        </w:tc>
      </w:tr>
      <w:tr>
        <w:trPr>
          <w:trHeight w:val="183"/>
        </w:trPr>
        <w:tc>
          <w:tcPr>
            <w:tcW w:w="5540" w:type="dxa"/>
            <w:vAlign w:val="bottom"/>
          </w:tcPr>
          <w:p>
            <w:pPr>
              <w:ind w:left="20"/>
              <w:spacing w:after="0"/>
              <w:rPr>
                <w:sz w:val="20"/>
                <w:szCs w:val="20"/>
                <w:color w:val="auto"/>
              </w:rPr>
            </w:pPr>
            <w:r>
              <w:rPr>
                <w:rFonts w:ascii="Arial" w:cs="Arial" w:eastAsia="Arial" w:hAnsi="Arial"/>
                <w:sz w:val="14"/>
                <w:szCs w:val="14"/>
                <w:color w:val="auto"/>
              </w:rPr>
              <w:t>Regulatory liabilities</w:t>
            </w:r>
          </w:p>
        </w:tc>
        <w:tc>
          <w:tcPr>
            <w:tcW w:w="2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9"/>
        </w:trPr>
        <w:tc>
          <w:tcPr>
            <w:tcW w:w="5540" w:type="dxa"/>
            <w:vAlign w:val="bottom"/>
            <w:shd w:val="clear" w:color="auto" w:fill="E0E0E0"/>
          </w:tcPr>
          <w:p>
            <w:pPr>
              <w:ind w:left="140"/>
              <w:spacing w:after="0"/>
              <w:rPr>
                <w:sz w:val="20"/>
                <w:szCs w:val="20"/>
                <w:color w:val="auto"/>
              </w:rPr>
            </w:pPr>
            <w:r>
              <w:rPr>
                <w:rFonts w:ascii="Arial" w:cs="Arial" w:eastAsia="Arial" w:hAnsi="Arial"/>
                <w:sz w:val="14"/>
                <w:szCs w:val="14"/>
                <w:color w:val="auto"/>
              </w:rPr>
              <w:t>Future income tax</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$2,093</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$2,207</w:t>
            </w:r>
          </w:p>
        </w:tc>
        <w:tc>
          <w:tcPr>
            <w:tcW w:w="1360" w:type="dxa"/>
            <w:vAlign w:val="bottom"/>
            <w:shd w:val="clear" w:color="auto" w:fill="E0E0E0"/>
          </w:tcPr>
          <w:p>
            <w:pPr>
              <w:jc w:val="right"/>
              <w:ind w:right="488"/>
              <w:spacing w:after="0"/>
              <w:rPr>
                <w:sz w:val="20"/>
                <w:szCs w:val="20"/>
                <w:color w:val="auto"/>
              </w:rPr>
            </w:pPr>
            <w:r>
              <w:rPr>
                <w:rFonts w:ascii="Arial" w:cs="Arial" w:eastAsia="Arial" w:hAnsi="Arial"/>
                <w:sz w:val="14"/>
                <w:szCs w:val="14"/>
                <w:color w:val="auto"/>
              </w:rPr>
              <w:t>$1,949</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$2,062</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Allowance for cost of removal less salvage</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1,092</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1,090</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931</w:t>
            </w:r>
          </w:p>
        </w:tc>
        <w:tc>
          <w:tcPr>
            <w:tcW w:w="520" w:type="dxa"/>
            <w:vAlign w:val="bottom"/>
          </w:tcPr>
          <w:p>
            <w:pPr>
              <w:jc w:val="right"/>
              <w:spacing w:after="0"/>
              <w:rPr>
                <w:sz w:val="20"/>
                <w:szCs w:val="20"/>
                <w:color w:val="auto"/>
              </w:rPr>
            </w:pPr>
            <w:r>
              <w:rPr>
                <w:rFonts w:ascii="Arial" w:cs="Arial" w:eastAsia="Arial" w:hAnsi="Arial"/>
                <w:sz w:val="14"/>
                <w:szCs w:val="14"/>
                <w:color w:val="auto"/>
              </w:rPr>
              <w:t>932</w:t>
            </w:r>
          </w:p>
        </w:tc>
      </w:tr>
      <w:tr>
        <w:trPr>
          <w:trHeight w:val="189"/>
        </w:trPr>
        <w:tc>
          <w:tcPr>
            <w:tcW w:w="5540" w:type="dxa"/>
            <w:vAlign w:val="bottom"/>
            <w:shd w:val="clear" w:color="auto" w:fill="E0E0E0"/>
          </w:tcPr>
          <w:p>
            <w:pPr>
              <w:ind w:left="140"/>
              <w:spacing w:after="0"/>
              <w:rPr>
                <w:sz w:val="20"/>
                <w:szCs w:val="20"/>
                <w:color w:val="auto"/>
              </w:rPr>
            </w:pPr>
            <w:r>
              <w:rPr>
                <w:rFonts w:ascii="Arial" w:cs="Arial" w:eastAsia="Arial" w:hAnsi="Arial"/>
                <w:sz w:val="14"/>
                <w:szCs w:val="14"/>
                <w:color w:val="auto"/>
              </w:rPr>
              <w:t>Net unbilled revenue deferrals</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175</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198</w:t>
            </w:r>
          </w:p>
        </w:tc>
        <w:tc>
          <w:tcPr>
            <w:tcW w:w="1360" w:type="dxa"/>
            <w:vAlign w:val="bottom"/>
            <w:shd w:val="clear" w:color="auto" w:fill="E0E0E0"/>
          </w:tcPr>
          <w:p>
            <w:pPr>
              <w:jc w:val="right"/>
              <w:ind w:right="488"/>
              <w:spacing w:after="0"/>
              <w:rPr>
                <w:sz w:val="20"/>
                <w:szCs w:val="20"/>
                <w:color w:val="auto"/>
              </w:rPr>
            </w:pPr>
            <w:r>
              <w:rPr>
                <w:rFonts w:ascii="Arial" w:cs="Arial" w:eastAsia="Arial" w:hAnsi="Arial"/>
                <w:sz w:val="14"/>
                <w:szCs w:val="14"/>
                <w:color w:val="auto"/>
              </w:rPr>
              <w:t>175</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198</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TCJA net benefits*</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209</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295</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204</w:t>
            </w:r>
          </w:p>
        </w:tc>
        <w:tc>
          <w:tcPr>
            <w:tcW w:w="520" w:type="dxa"/>
            <w:vAlign w:val="bottom"/>
          </w:tcPr>
          <w:p>
            <w:pPr>
              <w:jc w:val="right"/>
              <w:spacing w:after="0"/>
              <w:rPr>
                <w:sz w:val="20"/>
                <w:szCs w:val="20"/>
                <w:color w:val="auto"/>
              </w:rPr>
            </w:pPr>
            <w:r>
              <w:rPr>
                <w:rFonts w:ascii="Arial" w:cs="Arial" w:eastAsia="Arial" w:hAnsi="Arial"/>
                <w:sz w:val="14"/>
                <w:szCs w:val="14"/>
                <w:color w:val="auto"/>
              </w:rPr>
              <w:t>286</w:t>
            </w:r>
          </w:p>
        </w:tc>
      </w:tr>
      <w:tr>
        <w:trPr>
          <w:trHeight w:val="189"/>
        </w:trPr>
        <w:tc>
          <w:tcPr>
            <w:tcW w:w="5540" w:type="dxa"/>
            <w:vAlign w:val="bottom"/>
            <w:shd w:val="clear" w:color="auto" w:fill="E0E0E0"/>
          </w:tcPr>
          <w:p>
            <w:pPr>
              <w:ind w:left="140"/>
              <w:spacing w:after="0"/>
              <w:rPr>
                <w:sz w:val="20"/>
                <w:szCs w:val="20"/>
                <w:color w:val="auto"/>
              </w:rPr>
            </w:pPr>
            <w:r>
              <w:rPr>
                <w:rFonts w:ascii="Arial" w:cs="Arial" w:eastAsia="Arial" w:hAnsi="Arial"/>
                <w:sz w:val="14"/>
                <w:szCs w:val="14"/>
                <w:color w:val="auto"/>
              </w:rPr>
              <w:t>Net proceeds from sale of property</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120</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137</w:t>
            </w:r>
          </w:p>
        </w:tc>
        <w:tc>
          <w:tcPr>
            <w:tcW w:w="1360" w:type="dxa"/>
            <w:vAlign w:val="bottom"/>
            <w:shd w:val="clear" w:color="auto" w:fill="E0E0E0"/>
          </w:tcPr>
          <w:p>
            <w:pPr>
              <w:jc w:val="right"/>
              <w:ind w:right="488"/>
              <w:spacing w:after="0"/>
              <w:rPr>
                <w:sz w:val="20"/>
                <w:szCs w:val="20"/>
                <w:color w:val="auto"/>
              </w:rPr>
            </w:pPr>
            <w:r>
              <w:rPr>
                <w:rFonts w:ascii="Arial" w:cs="Arial" w:eastAsia="Arial" w:hAnsi="Arial"/>
                <w:sz w:val="14"/>
                <w:szCs w:val="14"/>
                <w:color w:val="auto"/>
              </w:rPr>
              <w:t>120</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137</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Pension and other postretirement benefit deferrals</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94</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85</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51</w:t>
            </w:r>
          </w:p>
        </w:tc>
        <w:tc>
          <w:tcPr>
            <w:tcW w:w="52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89"/>
        </w:trPr>
        <w:tc>
          <w:tcPr>
            <w:tcW w:w="5540" w:type="dxa"/>
            <w:vAlign w:val="bottom"/>
            <w:shd w:val="clear" w:color="auto" w:fill="E0E0E0"/>
          </w:tcPr>
          <w:p>
            <w:pPr>
              <w:ind w:left="140"/>
              <w:spacing w:after="0"/>
              <w:rPr>
                <w:sz w:val="20"/>
                <w:szCs w:val="20"/>
                <w:color w:val="auto"/>
              </w:rPr>
            </w:pPr>
            <w:r>
              <w:rPr>
                <w:rFonts w:ascii="Arial" w:cs="Arial" w:eastAsia="Arial" w:hAnsi="Arial"/>
                <w:sz w:val="14"/>
                <w:szCs w:val="14"/>
                <w:color w:val="auto"/>
              </w:rPr>
              <w:t>System benefit charge carrying charge</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68</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64</w:t>
            </w:r>
          </w:p>
        </w:tc>
        <w:tc>
          <w:tcPr>
            <w:tcW w:w="1360" w:type="dxa"/>
            <w:vAlign w:val="bottom"/>
            <w:shd w:val="clear" w:color="auto" w:fill="E0E0E0"/>
          </w:tcPr>
          <w:p>
            <w:pPr>
              <w:jc w:val="right"/>
              <w:ind w:right="488"/>
              <w:spacing w:after="0"/>
              <w:rPr>
                <w:sz w:val="20"/>
                <w:szCs w:val="20"/>
                <w:color w:val="auto"/>
              </w:rPr>
            </w:pPr>
            <w:r>
              <w:rPr>
                <w:rFonts w:ascii="Arial" w:cs="Arial" w:eastAsia="Arial" w:hAnsi="Arial"/>
                <w:sz w:val="14"/>
                <w:szCs w:val="14"/>
                <w:color w:val="auto"/>
              </w:rPr>
              <w:t>61</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57</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Energy efficiency portfolio standard unencumbered funds</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37</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1</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38</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540" w:type="dxa"/>
            <w:vAlign w:val="bottom"/>
            <w:shd w:val="clear" w:color="auto" w:fill="E0E0E0"/>
          </w:tcPr>
          <w:p>
            <w:pPr>
              <w:ind w:left="140"/>
              <w:spacing w:after="0"/>
              <w:rPr>
                <w:sz w:val="20"/>
                <w:szCs w:val="20"/>
                <w:color w:val="auto"/>
              </w:rPr>
            </w:pPr>
            <w:r>
              <w:rPr>
                <w:rFonts w:ascii="Arial" w:cs="Arial" w:eastAsia="Arial" w:hAnsi="Arial"/>
                <w:sz w:val="14"/>
                <w:szCs w:val="14"/>
                <w:color w:val="auto"/>
              </w:rPr>
              <w:t>Property tax refunds</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35</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36</w:t>
            </w:r>
          </w:p>
        </w:tc>
        <w:tc>
          <w:tcPr>
            <w:tcW w:w="1360" w:type="dxa"/>
            <w:vAlign w:val="bottom"/>
            <w:shd w:val="clear" w:color="auto" w:fill="E0E0E0"/>
          </w:tcPr>
          <w:p>
            <w:pPr>
              <w:jc w:val="right"/>
              <w:ind w:right="488"/>
              <w:spacing w:after="0"/>
              <w:rPr>
                <w:sz w:val="20"/>
                <w:szCs w:val="20"/>
                <w:color w:val="auto"/>
              </w:rPr>
            </w:pPr>
            <w:r>
              <w:rPr>
                <w:rFonts w:ascii="Arial" w:cs="Arial" w:eastAsia="Arial" w:hAnsi="Arial"/>
                <w:sz w:val="14"/>
                <w:szCs w:val="14"/>
                <w:color w:val="auto"/>
              </w:rPr>
              <w:t>35</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35</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BQDM and REV Demo reconciliations</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26</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27</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23</w:t>
            </w:r>
          </w:p>
        </w:tc>
        <w:tc>
          <w:tcPr>
            <w:tcW w:w="5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89"/>
        </w:trPr>
        <w:tc>
          <w:tcPr>
            <w:tcW w:w="5540" w:type="dxa"/>
            <w:vAlign w:val="bottom"/>
            <w:shd w:val="clear" w:color="auto" w:fill="E0E0E0"/>
          </w:tcPr>
          <w:p>
            <w:pPr>
              <w:ind w:left="140"/>
              <w:spacing w:after="0"/>
              <w:rPr>
                <w:sz w:val="20"/>
                <w:szCs w:val="20"/>
                <w:color w:val="auto"/>
              </w:rPr>
            </w:pPr>
            <w:r>
              <w:rPr>
                <w:rFonts w:ascii="Arial" w:cs="Arial" w:eastAsia="Arial" w:hAnsi="Arial"/>
                <w:sz w:val="14"/>
                <w:szCs w:val="14"/>
                <w:color w:val="auto"/>
              </w:rPr>
              <w:t>Sales and use tax refunds</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19</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16</w:t>
            </w:r>
          </w:p>
        </w:tc>
        <w:tc>
          <w:tcPr>
            <w:tcW w:w="1360" w:type="dxa"/>
            <w:vAlign w:val="bottom"/>
            <w:shd w:val="clear" w:color="auto" w:fill="E0E0E0"/>
          </w:tcPr>
          <w:p>
            <w:pPr>
              <w:jc w:val="right"/>
              <w:ind w:right="488"/>
              <w:spacing w:after="0"/>
              <w:rPr>
                <w:sz w:val="20"/>
                <w:szCs w:val="20"/>
                <w:color w:val="auto"/>
              </w:rPr>
            </w:pPr>
            <w:r>
              <w:rPr>
                <w:rFonts w:ascii="Arial" w:cs="Arial" w:eastAsia="Arial" w:hAnsi="Arial"/>
                <w:sz w:val="14"/>
                <w:szCs w:val="14"/>
                <w:color w:val="auto"/>
              </w:rPr>
              <w:t>18</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16</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Earnings sharing - electric, gas and steam</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14</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15</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10</w:t>
            </w:r>
          </w:p>
        </w:tc>
        <w:tc>
          <w:tcPr>
            <w:tcW w:w="5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5540" w:type="dxa"/>
            <w:vAlign w:val="bottom"/>
            <w:shd w:val="clear" w:color="auto" w:fill="E0E0E0"/>
          </w:tcPr>
          <w:p>
            <w:pPr>
              <w:ind w:left="140"/>
              <w:spacing w:after="0"/>
              <w:rPr>
                <w:sz w:val="20"/>
                <w:szCs w:val="20"/>
                <w:color w:val="auto"/>
              </w:rPr>
            </w:pPr>
            <w:r>
              <w:rPr>
                <w:rFonts w:ascii="Arial" w:cs="Arial" w:eastAsia="Arial" w:hAnsi="Arial"/>
                <w:sz w:val="14"/>
                <w:szCs w:val="14"/>
                <w:color w:val="auto"/>
              </w:rPr>
              <w:t>Unrecognized other postretirement costs</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12</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11</w:t>
            </w:r>
          </w:p>
        </w:tc>
        <w:tc>
          <w:tcPr>
            <w:tcW w:w="136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Settlement of gas proceedings</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11</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21</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11</w:t>
            </w:r>
          </w:p>
        </w:tc>
        <w:tc>
          <w:tcPr>
            <w:tcW w:w="5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89"/>
        </w:trPr>
        <w:tc>
          <w:tcPr>
            <w:tcW w:w="5540" w:type="dxa"/>
            <w:vAlign w:val="bottom"/>
            <w:shd w:val="clear" w:color="auto" w:fill="E0E0E0"/>
          </w:tcPr>
          <w:p>
            <w:pPr>
              <w:ind w:left="140"/>
              <w:spacing w:after="0"/>
              <w:rPr>
                <w:sz w:val="20"/>
                <w:szCs w:val="20"/>
                <w:color w:val="auto"/>
              </w:rPr>
            </w:pPr>
            <w:r>
              <w:rPr>
                <w:rFonts w:ascii="Arial" w:cs="Arial" w:eastAsia="Arial" w:hAnsi="Arial"/>
                <w:sz w:val="14"/>
                <w:szCs w:val="14"/>
                <w:color w:val="auto"/>
              </w:rPr>
              <w:t>Settlement of prudence proceeding</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6</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5</w:t>
            </w:r>
          </w:p>
        </w:tc>
        <w:tc>
          <w:tcPr>
            <w:tcW w:w="1360" w:type="dxa"/>
            <w:vAlign w:val="bottom"/>
            <w:shd w:val="clear" w:color="auto" w:fill="E0E0E0"/>
          </w:tcPr>
          <w:p>
            <w:pPr>
              <w:jc w:val="right"/>
              <w:ind w:right="488"/>
              <w:spacing w:after="0"/>
              <w:rPr>
                <w:sz w:val="20"/>
                <w:szCs w:val="20"/>
                <w:color w:val="auto"/>
              </w:rPr>
            </w:pPr>
            <w:r>
              <w:rPr>
                <w:rFonts w:ascii="Arial" w:cs="Arial" w:eastAsia="Arial" w:hAnsi="Arial"/>
                <w:sz w:val="14"/>
                <w:szCs w:val="14"/>
                <w:color w:val="auto"/>
              </w:rPr>
              <w:t>6</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5</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Workers' compensation</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4</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3</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4</w:t>
            </w: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5540" w:type="dxa"/>
            <w:vAlign w:val="bottom"/>
            <w:tcBorders>
              <w:bottom w:val="single" w:sz="8" w:color="8C8272"/>
            </w:tcBorders>
            <w:shd w:val="clear" w:color="auto" w:fill="E0E0E0"/>
          </w:tcPr>
          <w:p>
            <w:pPr>
              <w:ind w:left="140"/>
              <w:spacing w:after="0"/>
              <w:rPr>
                <w:sz w:val="20"/>
                <w:szCs w:val="20"/>
                <w:color w:val="auto"/>
              </w:rPr>
            </w:pPr>
            <w:r>
              <w:rPr>
                <w:rFonts w:ascii="Arial" w:cs="Arial" w:eastAsia="Arial" w:hAnsi="Arial"/>
                <w:sz w:val="14"/>
                <w:szCs w:val="14"/>
                <w:color w:val="auto"/>
              </w:rPr>
              <w:t>Other</w:t>
            </w:r>
          </w:p>
        </w:tc>
        <w:tc>
          <w:tcPr>
            <w:tcW w:w="2800" w:type="dxa"/>
            <w:vAlign w:val="bottom"/>
            <w:tcBorders>
              <w:bottom w:val="single" w:sz="8" w:color="8C8272"/>
            </w:tcBorders>
            <w:shd w:val="clear" w:color="auto" w:fill="E0E0E0"/>
          </w:tcPr>
          <w:p>
            <w:pPr>
              <w:jc w:val="right"/>
              <w:ind w:right="528"/>
              <w:spacing w:after="0"/>
              <w:rPr>
                <w:sz w:val="20"/>
                <w:szCs w:val="20"/>
                <w:color w:val="auto"/>
              </w:rPr>
            </w:pPr>
            <w:r>
              <w:rPr>
                <w:rFonts w:ascii="Arial" w:cs="Arial" w:eastAsia="Arial" w:hAnsi="Arial"/>
                <w:sz w:val="14"/>
                <w:szCs w:val="14"/>
                <w:color w:val="auto"/>
              </w:rPr>
              <w:t>363</w:t>
            </w:r>
          </w:p>
        </w:tc>
        <w:tc>
          <w:tcPr>
            <w:tcW w:w="820" w:type="dxa"/>
            <w:vAlign w:val="bottom"/>
            <w:tcBorders>
              <w:bottom w:val="single" w:sz="8" w:color="8C8272"/>
            </w:tcBorders>
            <w:shd w:val="clear" w:color="auto" w:fill="E0E0E0"/>
          </w:tcPr>
          <w:p>
            <w:pPr>
              <w:jc w:val="right"/>
              <w:ind w:right="288"/>
              <w:spacing w:after="0"/>
              <w:rPr>
                <w:sz w:val="20"/>
                <w:szCs w:val="20"/>
                <w:color w:val="auto"/>
              </w:rPr>
            </w:pPr>
            <w:r>
              <w:rPr>
                <w:rFonts w:ascii="Arial" w:cs="Arial" w:eastAsia="Arial" w:hAnsi="Arial"/>
                <w:sz w:val="14"/>
                <w:szCs w:val="14"/>
                <w:color w:val="auto"/>
              </w:rPr>
              <w:t>302</w:t>
            </w:r>
          </w:p>
        </w:tc>
        <w:tc>
          <w:tcPr>
            <w:tcW w:w="1360" w:type="dxa"/>
            <w:vAlign w:val="bottom"/>
            <w:tcBorders>
              <w:bottom w:val="single" w:sz="8" w:color="8C8272"/>
            </w:tcBorders>
            <w:shd w:val="clear" w:color="auto" w:fill="E0E0E0"/>
          </w:tcPr>
          <w:p>
            <w:pPr>
              <w:jc w:val="right"/>
              <w:ind w:right="488"/>
              <w:spacing w:after="0"/>
              <w:rPr>
                <w:sz w:val="20"/>
                <w:szCs w:val="20"/>
                <w:color w:val="auto"/>
              </w:rPr>
            </w:pPr>
            <w:r>
              <w:rPr>
                <w:rFonts w:ascii="Arial" w:cs="Arial" w:eastAsia="Arial" w:hAnsi="Arial"/>
                <w:sz w:val="14"/>
                <w:szCs w:val="14"/>
                <w:color w:val="auto"/>
              </w:rPr>
              <w:t>313</w:t>
            </w:r>
          </w:p>
        </w:tc>
        <w:tc>
          <w:tcPr>
            <w:tcW w:w="52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261</w:t>
            </w:r>
          </w:p>
        </w:tc>
      </w:tr>
      <w:tr>
        <w:trPr>
          <w:trHeight w:val="183"/>
        </w:trPr>
        <w:tc>
          <w:tcPr>
            <w:tcW w:w="5540" w:type="dxa"/>
            <w:vAlign w:val="bottom"/>
          </w:tcPr>
          <w:p>
            <w:pPr>
              <w:ind w:left="20"/>
              <w:spacing w:after="0"/>
              <w:rPr>
                <w:sz w:val="20"/>
                <w:szCs w:val="20"/>
                <w:color w:val="auto"/>
              </w:rPr>
            </w:pPr>
            <w:r>
              <w:rPr>
                <w:rFonts w:ascii="Arial" w:cs="Arial" w:eastAsia="Arial" w:hAnsi="Arial"/>
                <w:sz w:val="14"/>
                <w:szCs w:val="14"/>
                <w:color w:val="auto"/>
              </w:rPr>
              <w:t>Regulatory liabilities – noncurrent</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4,378</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4,513</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3,949</w:t>
            </w:r>
          </w:p>
        </w:tc>
        <w:tc>
          <w:tcPr>
            <w:tcW w:w="520" w:type="dxa"/>
            <w:vAlign w:val="bottom"/>
          </w:tcPr>
          <w:p>
            <w:pPr>
              <w:jc w:val="right"/>
              <w:spacing w:after="0"/>
              <w:rPr>
                <w:sz w:val="20"/>
                <w:szCs w:val="20"/>
                <w:color w:val="auto"/>
              </w:rPr>
            </w:pPr>
            <w:r>
              <w:rPr>
                <w:rFonts w:ascii="Arial" w:cs="Arial" w:eastAsia="Arial" w:hAnsi="Arial"/>
                <w:sz w:val="14"/>
                <w:szCs w:val="14"/>
                <w:color w:val="auto"/>
              </w:rPr>
              <w:t>4,094</w:t>
            </w:r>
          </w:p>
        </w:tc>
      </w:tr>
      <w:tr>
        <w:trPr>
          <w:trHeight w:val="203"/>
        </w:trPr>
        <w:tc>
          <w:tcPr>
            <w:tcW w:w="5540" w:type="dxa"/>
            <w:vAlign w:val="bottom"/>
            <w:shd w:val="clear" w:color="auto" w:fill="E0E0E0"/>
          </w:tcPr>
          <w:p>
            <w:pPr>
              <w:ind w:left="140"/>
              <w:spacing w:after="0"/>
              <w:rPr>
                <w:sz w:val="20"/>
                <w:szCs w:val="20"/>
                <w:color w:val="auto"/>
              </w:rPr>
            </w:pPr>
            <w:r>
              <w:rPr>
                <w:rFonts w:ascii="Arial" w:cs="Arial" w:eastAsia="Arial" w:hAnsi="Arial"/>
                <w:sz w:val="14"/>
                <w:szCs w:val="14"/>
                <w:color w:val="auto"/>
              </w:rPr>
              <w:t>Deferred derivative gains</w:t>
            </w:r>
          </w:p>
        </w:tc>
        <w:tc>
          <w:tcPr>
            <w:tcW w:w="2800" w:type="dxa"/>
            <w:vAlign w:val="bottom"/>
            <w:shd w:val="clear" w:color="auto" w:fill="E0E0E0"/>
          </w:tcPr>
          <w:p>
            <w:pPr>
              <w:jc w:val="right"/>
              <w:ind w:right="528"/>
              <w:spacing w:after="0"/>
              <w:rPr>
                <w:sz w:val="20"/>
                <w:szCs w:val="20"/>
                <w:color w:val="auto"/>
              </w:rPr>
            </w:pPr>
            <w:r>
              <w:rPr>
                <w:rFonts w:ascii="Arial" w:cs="Arial" w:eastAsia="Arial" w:hAnsi="Arial"/>
                <w:sz w:val="14"/>
                <w:szCs w:val="14"/>
                <w:color w:val="auto"/>
              </w:rPr>
              <w:t>155</w:t>
            </w:r>
          </w:p>
        </w:tc>
        <w:tc>
          <w:tcPr>
            <w:tcW w:w="820" w:type="dxa"/>
            <w:vAlign w:val="bottom"/>
            <w:shd w:val="clear" w:color="auto" w:fill="E0E0E0"/>
          </w:tcPr>
          <w:p>
            <w:pPr>
              <w:jc w:val="right"/>
              <w:ind w:right="288"/>
              <w:spacing w:after="0"/>
              <w:rPr>
                <w:sz w:val="20"/>
                <w:szCs w:val="20"/>
                <w:color w:val="auto"/>
              </w:rPr>
            </w:pPr>
            <w:r>
              <w:rPr>
                <w:rFonts w:ascii="Arial" w:cs="Arial" w:eastAsia="Arial" w:hAnsi="Arial"/>
                <w:sz w:val="14"/>
                <w:szCs w:val="14"/>
                <w:color w:val="auto"/>
              </w:rPr>
              <w:t>8</w:t>
            </w:r>
          </w:p>
        </w:tc>
        <w:tc>
          <w:tcPr>
            <w:tcW w:w="1360" w:type="dxa"/>
            <w:vAlign w:val="bottom"/>
            <w:shd w:val="clear" w:color="auto" w:fill="E0E0E0"/>
          </w:tcPr>
          <w:p>
            <w:pPr>
              <w:jc w:val="right"/>
              <w:ind w:right="488"/>
              <w:spacing w:after="0"/>
              <w:rPr>
                <w:sz w:val="20"/>
                <w:szCs w:val="20"/>
                <w:color w:val="auto"/>
              </w:rPr>
            </w:pPr>
            <w:r>
              <w:rPr>
                <w:rFonts w:ascii="Arial" w:cs="Arial" w:eastAsia="Arial" w:hAnsi="Arial"/>
                <w:sz w:val="14"/>
                <w:szCs w:val="14"/>
                <w:color w:val="auto"/>
              </w:rPr>
              <w:t>144</w:t>
            </w:r>
          </w:p>
        </w:tc>
        <w:tc>
          <w:tcPr>
            <w:tcW w:w="5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7</w:t>
            </w: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Refundable energy costs</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23</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28</w:t>
            </w:r>
          </w:p>
        </w:tc>
        <w:tc>
          <w:tcPr>
            <w:tcW w:w="1360" w:type="dxa"/>
            <w:vAlign w:val="bottom"/>
          </w:tcPr>
          <w:p>
            <w:pPr>
              <w:jc w:val="right"/>
              <w:ind w:right="488"/>
              <w:spacing w:after="0"/>
              <w:rPr>
                <w:sz w:val="20"/>
                <w:szCs w:val="20"/>
                <w:color w:val="auto"/>
              </w:rPr>
            </w:pPr>
            <w:r>
              <w:rPr>
                <w:rFonts w:ascii="Arial" w:cs="Arial" w:eastAsia="Arial" w:hAnsi="Arial"/>
                <w:sz w:val="14"/>
                <w:szCs w:val="14"/>
                <w:color w:val="auto"/>
              </w:rPr>
              <w:t>4</w:t>
            </w: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5540" w:type="dxa"/>
            <w:vAlign w:val="bottom"/>
            <w:tcBorders>
              <w:bottom w:val="single" w:sz="8" w:color="929292"/>
            </w:tcBorders>
            <w:shd w:val="clear" w:color="auto" w:fill="E0E0E0"/>
          </w:tcPr>
          <w:p>
            <w:pPr>
              <w:ind w:left="140"/>
              <w:spacing w:after="0"/>
              <w:rPr>
                <w:sz w:val="20"/>
                <w:szCs w:val="20"/>
                <w:color w:val="auto"/>
              </w:rPr>
            </w:pPr>
            <w:r>
              <w:rPr>
                <w:rFonts w:ascii="Arial" w:cs="Arial" w:eastAsia="Arial" w:hAnsi="Arial"/>
                <w:sz w:val="14"/>
                <w:szCs w:val="14"/>
                <w:color w:val="auto"/>
              </w:rPr>
              <w:t>Revenue decoupling mechanism</w:t>
            </w:r>
          </w:p>
        </w:tc>
        <w:tc>
          <w:tcPr>
            <w:tcW w:w="2800" w:type="dxa"/>
            <w:vAlign w:val="bottom"/>
            <w:tcBorders>
              <w:bottom w:val="single" w:sz="8" w:color="929292"/>
            </w:tcBorders>
            <w:shd w:val="clear" w:color="auto" w:fill="E0E0E0"/>
          </w:tcPr>
          <w:p>
            <w:pPr>
              <w:jc w:val="right"/>
              <w:ind w:right="528"/>
              <w:spacing w:after="0"/>
              <w:rPr>
                <w:sz w:val="20"/>
                <w:szCs w:val="20"/>
                <w:color w:val="auto"/>
              </w:rPr>
            </w:pPr>
            <w:r>
              <w:rPr>
                <w:rFonts w:ascii="Arial" w:cs="Arial" w:eastAsia="Arial" w:hAnsi="Arial"/>
                <w:sz w:val="14"/>
                <w:szCs w:val="14"/>
                <w:color w:val="auto"/>
              </w:rPr>
              <w:t>2</w:t>
            </w:r>
          </w:p>
        </w:tc>
        <w:tc>
          <w:tcPr>
            <w:tcW w:w="820" w:type="dxa"/>
            <w:vAlign w:val="bottom"/>
            <w:tcBorders>
              <w:bottom w:val="single" w:sz="8" w:color="929292"/>
            </w:tcBorders>
            <w:shd w:val="clear" w:color="auto" w:fill="E0E0E0"/>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929292"/>
            </w:tcBorders>
            <w:shd w:val="clear" w:color="auto" w:fill="E0E0E0"/>
          </w:tcPr>
          <w:p>
            <w:pPr>
              <w:jc w:val="right"/>
              <w:ind w:right="5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929292"/>
            </w:tcBorders>
            <w:shd w:val="clear" w:color="auto" w:fill="E0E0E0"/>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5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Regulatory liabilities – current</w:t>
            </w:r>
          </w:p>
        </w:tc>
        <w:tc>
          <w:tcPr>
            <w:tcW w:w="2800" w:type="dxa"/>
            <w:vAlign w:val="bottom"/>
            <w:tcBorders>
              <w:bottom w:val="single" w:sz="8" w:color="B6B6B6"/>
            </w:tcBorders>
          </w:tcPr>
          <w:p>
            <w:pPr>
              <w:jc w:val="right"/>
              <w:ind w:right="528"/>
              <w:spacing w:after="0"/>
              <w:rPr>
                <w:sz w:val="20"/>
                <w:szCs w:val="20"/>
                <w:color w:val="auto"/>
              </w:rPr>
            </w:pPr>
            <w:r>
              <w:rPr>
                <w:rFonts w:ascii="Arial" w:cs="Arial" w:eastAsia="Arial" w:hAnsi="Arial"/>
                <w:sz w:val="14"/>
                <w:szCs w:val="14"/>
                <w:color w:val="auto"/>
              </w:rPr>
              <w:t>180</w:t>
            </w:r>
          </w:p>
        </w:tc>
        <w:tc>
          <w:tcPr>
            <w:tcW w:w="820" w:type="dxa"/>
            <w:vAlign w:val="bottom"/>
            <w:tcBorders>
              <w:bottom w:val="single" w:sz="8" w:color="B6B6B6"/>
            </w:tcBorders>
          </w:tcPr>
          <w:p>
            <w:pPr>
              <w:jc w:val="right"/>
              <w:ind w:right="288"/>
              <w:spacing w:after="0"/>
              <w:rPr>
                <w:sz w:val="20"/>
                <w:szCs w:val="20"/>
                <w:color w:val="auto"/>
              </w:rPr>
            </w:pPr>
            <w:r>
              <w:rPr>
                <w:rFonts w:ascii="Arial" w:cs="Arial" w:eastAsia="Arial" w:hAnsi="Arial"/>
                <w:sz w:val="14"/>
                <w:szCs w:val="14"/>
                <w:color w:val="auto"/>
              </w:rPr>
              <w:t>36</w:t>
            </w:r>
          </w:p>
        </w:tc>
        <w:tc>
          <w:tcPr>
            <w:tcW w:w="1360" w:type="dxa"/>
            <w:vAlign w:val="bottom"/>
            <w:tcBorders>
              <w:bottom w:val="single" w:sz="8" w:color="B6B6B6"/>
            </w:tcBorders>
          </w:tcPr>
          <w:p>
            <w:pPr>
              <w:jc w:val="right"/>
              <w:ind w:right="488"/>
              <w:spacing w:after="0"/>
              <w:rPr>
                <w:sz w:val="20"/>
                <w:szCs w:val="20"/>
                <w:color w:val="auto"/>
              </w:rPr>
            </w:pPr>
            <w:r>
              <w:rPr>
                <w:rFonts w:ascii="Arial" w:cs="Arial" w:eastAsia="Arial" w:hAnsi="Arial"/>
                <w:sz w:val="14"/>
                <w:szCs w:val="14"/>
                <w:color w:val="auto"/>
              </w:rPr>
              <w:t>148</w:t>
            </w:r>
          </w:p>
        </w:tc>
        <w:tc>
          <w:tcPr>
            <w:tcW w:w="5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w:t>
            </w:r>
          </w:p>
        </w:tc>
      </w:tr>
      <w:tr>
        <w:trPr>
          <w:trHeight w:val="183"/>
        </w:trPr>
        <w:tc>
          <w:tcPr>
            <w:tcW w:w="5540" w:type="dxa"/>
            <w:vAlign w:val="bottom"/>
            <w:tcBorders>
              <w:bottom w:val="single" w:sz="8" w:color="8C8272"/>
            </w:tcBorders>
            <w:shd w:val="clear" w:color="auto" w:fill="E0E0E0"/>
          </w:tcPr>
          <w:p>
            <w:pPr>
              <w:ind w:left="20"/>
              <w:spacing w:after="0"/>
              <w:rPr>
                <w:sz w:val="20"/>
                <w:szCs w:val="20"/>
                <w:color w:val="auto"/>
              </w:rPr>
            </w:pPr>
            <w:r>
              <w:rPr>
                <w:rFonts w:ascii="Arial" w:cs="Arial" w:eastAsia="Arial" w:hAnsi="Arial"/>
                <w:sz w:val="14"/>
                <w:szCs w:val="14"/>
                <w:color w:val="auto"/>
              </w:rPr>
              <w:t>Total Regulatory Liabilities</w:t>
            </w:r>
          </w:p>
        </w:tc>
        <w:tc>
          <w:tcPr>
            <w:tcW w:w="2800" w:type="dxa"/>
            <w:vAlign w:val="bottom"/>
            <w:tcBorders>
              <w:bottom w:val="single" w:sz="8" w:color="8C8272"/>
            </w:tcBorders>
            <w:shd w:val="clear" w:color="auto" w:fill="E0E0E0"/>
          </w:tcPr>
          <w:p>
            <w:pPr>
              <w:jc w:val="right"/>
              <w:ind w:right="528"/>
              <w:spacing w:after="0"/>
              <w:rPr>
                <w:sz w:val="20"/>
                <w:szCs w:val="20"/>
                <w:color w:val="auto"/>
              </w:rPr>
            </w:pPr>
            <w:r>
              <w:rPr>
                <w:rFonts w:ascii="Arial" w:cs="Arial" w:eastAsia="Arial" w:hAnsi="Arial"/>
                <w:sz w:val="14"/>
                <w:szCs w:val="14"/>
                <w:color w:val="auto"/>
              </w:rPr>
              <w:t>$4,558</w:t>
            </w:r>
          </w:p>
        </w:tc>
        <w:tc>
          <w:tcPr>
            <w:tcW w:w="820" w:type="dxa"/>
            <w:vAlign w:val="bottom"/>
            <w:tcBorders>
              <w:bottom w:val="single" w:sz="8" w:color="8C8272"/>
            </w:tcBorders>
            <w:shd w:val="clear" w:color="auto" w:fill="E0E0E0"/>
          </w:tcPr>
          <w:p>
            <w:pPr>
              <w:jc w:val="right"/>
              <w:ind w:right="288"/>
              <w:spacing w:after="0"/>
              <w:rPr>
                <w:sz w:val="20"/>
                <w:szCs w:val="20"/>
                <w:color w:val="auto"/>
              </w:rPr>
            </w:pPr>
            <w:r>
              <w:rPr>
                <w:rFonts w:ascii="Arial" w:cs="Arial" w:eastAsia="Arial" w:hAnsi="Arial"/>
                <w:sz w:val="14"/>
                <w:szCs w:val="14"/>
                <w:color w:val="auto"/>
              </w:rPr>
              <w:t>$4,549</w:t>
            </w:r>
          </w:p>
        </w:tc>
        <w:tc>
          <w:tcPr>
            <w:tcW w:w="1360" w:type="dxa"/>
            <w:vAlign w:val="bottom"/>
            <w:tcBorders>
              <w:bottom w:val="single" w:sz="8" w:color="8C8272"/>
            </w:tcBorders>
            <w:shd w:val="clear" w:color="auto" w:fill="E0E0E0"/>
          </w:tcPr>
          <w:p>
            <w:pPr>
              <w:jc w:val="right"/>
              <w:ind w:right="488"/>
              <w:spacing w:after="0"/>
              <w:rPr>
                <w:sz w:val="20"/>
                <w:szCs w:val="20"/>
                <w:color w:val="auto"/>
              </w:rPr>
            </w:pPr>
            <w:r>
              <w:rPr>
                <w:rFonts w:ascii="Arial" w:cs="Arial" w:eastAsia="Arial" w:hAnsi="Arial"/>
                <w:sz w:val="14"/>
                <w:szCs w:val="14"/>
                <w:color w:val="auto"/>
              </w:rPr>
              <w:t>$4,097</w:t>
            </w:r>
          </w:p>
        </w:tc>
        <w:tc>
          <w:tcPr>
            <w:tcW w:w="520" w:type="dxa"/>
            <w:vAlign w:val="bottom"/>
            <w:tcBorders>
              <w:bottom w:val="single" w:sz="8" w:color="8C8272"/>
            </w:tcBorders>
            <w:shd w:val="clear" w:color="auto" w:fill="E0E0E0"/>
          </w:tcPr>
          <w:p>
            <w:pPr>
              <w:jc w:val="right"/>
              <w:spacing w:after="0"/>
              <w:rPr>
                <w:sz w:val="20"/>
                <w:szCs w:val="20"/>
                <w:color w:val="auto"/>
              </w:rPr>
            </w:pPr>
            <w:r>
              <w:rPr>
                <w:rFonts w:ascii="Arial" w:cs="Arial" w:eastAsia="Arial" w:hAnsi="Arial"/>
                <w:sz w:val="14"/>
                <w:szCs w:val="14"/>
                <w:color w:val="auto"/>
              </w:rPr>
              <w:t>$4,105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-128270</wp:posOffset>
            </wp:positionV>
            <wp:extent cx="88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-102235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-85090</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-67945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-50800</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-33655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-16510</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-256540</wp:posOffset>
            </wp:positionV>
            <wp:extent cx="889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-230505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-213995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-196215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-179070</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-161925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-144780</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-359410</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-342265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-325120</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-307975</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-290830</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-273685</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-479425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-462280</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-445135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-427990</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-410845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-393700</wp:posOffset>
            </wp:positionV>
            <wp:extent cx="889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-6085840</wp:posOffset>
            </wp:positionV>
            <wp:extent cx="7003415" cy="55975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03415" cy="559752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 See "Other Regulatory Matters," above.</w:t>
      </w:r>
    </w:p>
    <w:p>
      <w:pPr>
        <w:spacing w:after="0" w:line="22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recognition of the return on regulatory assets is determined by the Utilities’ rate plans or orders issued by state regulators. In general, the Utilities receive or are being credited with a return at the Other Customer-Provided Capital rate for regulatory assets that have not been included in rate base, and receive or are being credited with a return at the pre-tax weighted average cost of capital once the asset is included in rate base. Similarly, the Utilities pay to or credit customers with a return at the Other Customer-Provided Capital rate for regulatory liabilities that</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7" w:name="page28"/>
    <w:bookmarkEnd w:id="27"/>
    <w:p>
      <w:pPr>
        <w:ind w:right="340"/>
        <w:spacing w:after="0" w:line="229" w:lineRule="auto"/>
        <w:rPr>
          <w:sz w:val="20"/>
          <w:szCs w:val="20"/>
          <w:color w:val="auto"/>
        </w:rPr>
      </w:pPr>
      <w:r>
        <w:rPr>
          <w:rFonts w:ascii="Arial" w:cs="Arial" w:eastAsia="Arial" w:hAnsi="Arial"/>
          <w:sz w:val="18"/>
          <w:szCs w:val="18"/>
          <w:color w:val="auto"/>
        </w:rPr>
        <w:t>have not been included in rate base, and pay to or credit customers with a return at the pre-tax weighted average cost of capital once the liability is included in rate base. The Other Customer-Provided Capital rate for the six months ended June 30, 2021 and 2020 was 1.80 percent and 2.65 percent,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In general, the Utilities are receiving or being credited with a return on their regulatory assets for which a cash outflow has been made</w:t>
      </w:r>
    </w:p>
    <w:p>
      <w:pPr>
        <w:ind w:right="100"/>
        <w:spacing w:after="0" w:line="225" w:lineRule="auto"/>
        <w:rPr>
          <w:sz w:val="20"/>
          <w:szCs w:val="20"/>
          <w:color w:val="auto"/>
        </w:rPr>
      </w:pPr>
      <w:r>
        <w:rPr>
          <w:rFonts w:ascii="Arial" w:cs="Arial" w:eastAsia="Arial" w:hAnsi="Arial"/>
          <w:sz w:val="18"/>
          <w:szCs w:val="18"/>
          <w:color w:val="auto"/>
        </w:rPr>
        <w:t>($1,849 million and $1,696 million for Con Edison, and $1,656 million and $1,509 million for CECONY at June 30, 2021 and December 31, 2020, respectively). Regulatory assets of RECO for which a cash outflow has been made ($26 million and $31 million at June 30, 2021 and December 31, 2020, respectively) are not receiving or being credited with a return. RECO recovers regulatory assets over a period of up to four years or until they are addressed in its next base rate case in accordance with the rate provisions approved by the New Jersey Board of Public Utilities. Regulatory liabilities are treated in a consistent manner.</w:t>
      </w:r>
    </w:p>
    <w:p>
      <w:pPr>
        <w:spacing w:after="0" w:line="21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Regulatory assets that represent future financial obligations and were deferred in accordance with the Utilities’ rate plans or orders issued by state regulators do not earn a return until such time as a cash outlay has been made. Regulatory liabilities are treated in a consistent manner. At June 30, 2021 and December 31, 2020, regulatory assets for Con Edison and CECONY that did not earn a return consisted of the following items: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424242"/>
        </w:rPr>
        <w:t>Regulatory Assets Not Earning a Return*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Borders>
              <w:bottom w:val="single" w:sz="8" w:color="5E5E61"/>
            </w:tcBorders>
          </w:tcPr>
          <w:p>
            <w:pPr>
              <w:spacing w:after="0"/>
              <w:rPr>
                <w:sz w:val="16"/>
                <w:szCs w:val="16"/>
                <w:color w:val="auto"/>
              </w:rPr>
            </w:pPr>
          </w:p>
        </w:tc>
        <w:tc>
          <w:tcPr>
            <w:tcW w:w="230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b w:val="1"/>
                <w:bCs w:val="1"/>
                <w:color w:val="auto"/>
              </w:rPr>
              <w:t>Con Edison</w:t>
            </w:r>
          </w:p>
        </w:tc>
        <w:tc>
          <w:tcPr>
            <w:tcW w:w="1040" w:type="dxa"/>
            <w:vAlign w:val="bottom"/>
            <w:tcBorders>
              <w:bottom w:val="single" w:sz="8" w:color="8C8272"/>
            </w:tcBorders>
          </w:tcPr>
          <w:p>
            <w:pPr>
              <w:spacing w:after="0"/>
              <w:rPr>
                <w:sz w:val="16"/>
                <w:szCs w:val="16"/>
                <w:color w:val="auto"/>
              </w:rPr>
            </w:pPr>
          </w:p>
        </w:tc>
        <w:tc>
          <w:tcPr>
            <w:tcW w:w="940" w:type="dxa"/>
            <w:vAlign w:val="bottom"/>
            <w:tcBorders>
              <w:bottom w:val="single" w:sz="8" w:color="8C8272"/>
            </w:tcBorders>
          </w:tcPr>
          <w:p>
            <w:pPr>
              <w:spacing w:after="0"/>
              <w:rPr>
                <w:sz w:val="16"/>
                <w:szCs w:val="16"/>
                <w:color w:val="auto"/>
              </w:rPr>
            </w:pPr>
          </w:p>
        </w:tc>
        <w:tc>
          <w:tcPr>
            <w:tcW w:w="1440" w:type="dxa"/>
            <w:vAlign w:val="bottom"/>
            <w:tcBorders>
              <w:bottom w:val="single" w:sz="8" w:color="8C8272"/>
            </w:tcBorders>
          </w:tcPr>
          <w:p>
            <w:pPr>
              <w:jc w:val="right"/>
              <w:ind w:right="728"/>
              <w:spacing w:after="0"/>
              <w:rPr>
                <w:sz w:val="20"/>
                <w:szCs w:val="20"/>
                <w:color w:val="auto"/>
              </w:rPr>
            </w:pPr>
            <w:r>
              <w:rPr>
                <w:rFonts w:ascii="Arial" w:cs="Arial" w:eastAsia="Arial" w:hAnsi="Arial"/>
                <w:sz w:val="14"/>
                <w:szCs w:val="14"/>
                <w:b w:val="1"/>
                <w:bCs w:val="1"/>
                <w:color w:val="auto"/>
              </w:rPr>
              <w:t>CECONY</w:t>
            </w:r>
          </w:p>
        </w:tc>
      </w:tr>
      <w:tr>
        <w:trPr>
          <w:trHeight w:val="223"/>
        </w:trPr>
        <w:tc>
          <w:tcPr>
            <w:tcW w:w="5260" w:type="dxa"/>
            <w:vAlign w:val="bottom"/>
            <w:tcBorders>
              <w:bottom w:val="single" w:sz="8" w:color="6D6D6D"/>
            </w:tcBorders>
          </w:tcPr>
          <w:p>
            <w:pPr>
              <w:ind w:left="20"/>
              <w:spacing w:after="0"/>
              <w:rPr>
                <w:sz w:val="20"/>
                <w:szCs w:val="20"/>
                <w:color w:val="auto"/>
              </w:rPr>
            </w:pPr>
            <w:r>
              <w:rPr>
                <w:rFonts w:ascii="Arial" w:cs="Arial" w:eastAsia="Arial" w:hAnsi="Arial"/>
                <w:sz w:val="18"/>
                <w:szCs w:val="18"/>
                <w:b w:val="1"/>
                <w:bCs w:val="1"/>
                <w:i w:val="1"/>
                <w:iCs w:val="1"/>
                <w:color w:val="424242"/>
              </w:rPr>
              <w:t>(Millions of Dollars)</w:t>
            </w:r>
          </w:p>
        </w:tc>
        <w:tc>
          <w:tcPr>
            <w:tcW w:w="2300" w:type="dxa"/>
            <w:vAlign w:val="bottom"/>
            <w:tcBorders>
              <w:bottom w:val="single" w:sz="8" w:color="6D6D6D"/>
            </w:tcBorders>
          </w:tcPr>
          <w:p>
            <w:pPr>
              <w:jc w:val="right"/>
              <w:ind w:right="808"/>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6D6D6D"/>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6D6D6D"/>
            </w:tcBorders>
          </w:tcPr>
          <w:p>
            <w:pPr>
              <w:jc w:val="right"/>
              <w:spacing w:after="0"/>
              <w:rPr>
                <w:sz w:val="20"/>
                <w:szCs w:val="20"/>
                <w:color w:val="auto"/>
              </w:rPr>
            </w:pPr>
            <w:r>
              <w:rPr>
                <w:rFonts w:ascii="Arial" w:cs="Arial" w:eastAsia="Arial" w:hAnsi="Arial"/>
                <w:sz w:val="14"/>
                <w:szCs w:val="14"/>
                <w:b w:val="1"/>
                <w:bCs w:val="1"/>
                <w:color w:val="auto"/>
              </w:rPr>
              <w:t>2021</w:t>
            </w:r>
          </w:p>
        </w:tc>
        <w:tc>
          <w:tcPr>
            <w:tcW w:w="1440" w:type="dxa"/>
            <w:vAlign w:val="bottom"/>
            <w:tcBorders>
              <w:bottom w:val="single" w:sz="8" w:color="6D6D6D"/>
            </w:tcBorders>
          </w:tcPr>
          <w:p>
            <w:pPr>
              <w:jc w:val="right"/>
              <w:spacing w:after="0"/>
              <w:rPr>
                <w:sz w:val="20"/>
                <w:szCs w:val="20"/>
                <w:color w:val="auto"/>
              </w:rPr>
            </w:pPr>
            <w:r>
              <w:rPr>
                <w:rFonts w:ascii="Arial" w:cs="Arial" w:eastAsia="Arial" w:hAnsi="Arial"/>
                <w:sz w:val="14"/>
                <w:szCs w:val="14"/>
                <w:b w:val="1"/>
                <w:bCs w:val="1"/>
                <w:color w:val="5E5E61"/>
              </w:rPr>
              <w:t>2020</w:t>
            </w:r>
          </w:p>
        </w:tc>
      </w:tr>
      <w:tr>
        <w:trPr>
          <w:trHeight w:val="183"/>
        </w:trPr>
        <w:tc>
          <w:tcPr>
            <w:tcW w:w="5260" w:type="dxa"/>
            <w:vAlign w:val="bottom"/>
            <w:shd w:val="clear" w:color="auto" w:fill="E5E5E5"/>
          </w:tcPr>
          <w:p>
            <w:pPr>
              <w:ind w:left="140"/>
              <w:spacing w:after="0"/>
              <w:rPr>
                <w:sz w:val="20"/>
                <w:szCs w:val="20"/>
                <w:color w:val="auto"/>
              </w:rPr>
            </w:pPr>
            <w:r>
              <w:rPr>
                <w:rFonts w:ascii="Arial" w:cs="Arial" w:eastAsia="Arial" w:hAnsi="Arial"/>
                <w:sz w:val="14"/>
                <w:szCs w:val="14"/>
                <w:color w:val="242424"/>
              </w:rPr>
              <w:t>Unrecognized pension and other postretirement costs</w:t>
            </w:r>
          </w:p>
        </w:tc>
        <w:tc>
          <w:tcPr>
            <w:tcW w:w="2300" w:type="dxa"/>
            <w:vAlign w:val="bottom"/>
            <w:shd w:val="clear" w:color="auto" w:fill="E5E5E5"/>
          </w:tcPr>
          <w:p>
            <w:pPr>
              <w:jc w:val="right"/>
              <w:ind w:right="808"/>
              <w:spacing w:after="0"/>
              <w:rPr>
                <w:sz w:val="20"/>
                <w:szCs w:val="20"/>
                <w:color w:val="auto"/>
              </w:rPr>
            </w:pPr>
            <w:r>
              <w:rPr>
                <w:rFonts w:ascii="Arial" w:cs="Arial" w:eastAsia="Arial" w:hAnsi="Arial"/>
                <w:sz w:val="14"/>
                <w:szCs w:val="14"/>
                <w:color w:val="242424"/>
              </w:rPr>
              <w:t>$2,750</w:t>
            </w:r>
          </w:p>
        </w:tc>
        <w:tc>
          <w:tcPr>
            <w:tcW w:w="1040" w:type="dxa"/>
            <w:vAlign w:val="bottom"/>
            <w:shd w:val="clear" w:color="auto" w:fill="E5E5E5"/>
          </w:tcPr>
          <w:p>
            <w:pPr>
              <w:jc w:val="right"/>
              <w:ind w:right="428"/>
              <w:spacing w:after="0"/>
              <w:rPr>
                <w:sz w:val="20"/>
                <w:szCs w:val="20"/>
                <w:color w:val="auto"/>
              </w:rPr>
            </w:pPr>
            <w:r>
              <w:rPr>
                <w:rFonts w:ascii="Arial" w:cs="Arial" w:eastAsia="Arial" w:hAnsi="Arial"/>
                <w:sz w:val="14"/>
                <w:szCs w:val="14"/>
                <w:color w:val="242424"/>
              </w:rPr>
              <w:t>$3,241</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242424"/>
              </w:rPr>
              <w:t>$2,607</w:t>
            </w:r>
          </w:p>
        </w:tc>
        <w:tc>
          <w:tcPr>
            <w:tcW w:w="1440" w:type="dxa"/>
            <w:vAlign w:val="bottom"/>
            <w:shd w:val="clear" w:color="auto" w:fill="E5E5E5"/>
          </w:tcPr>
          <w:p>
            <w:pPr>
              <w:jc w:val="right"/>
              <w:spacing w:after="0"/>
              <w:rPr>
                <w:sz w:val="20"/>
                <w:szCs w:val="20"/>
                <w:color w:val="auto"/>
              </w:rPr>
            </w:pPr>
            <w:r>
              <w:rPr>
                <w:rFonts w:ascii="Arial" w:cs="Arial" w:eastAsia="Arial" w:hAnsi="Arial"/>
                <w:sz w:val="14"/>
                <w:szCs w:val="14"/>
                <w:color w:val="242424"/>
              </w:rPr>
              <w:t>$3,065</w:t>
            </w:r>
          </w:p>
        </w:tc>
      </w:tr>
      <w:tr>
        <w:trPr>
          <w:trHeight w:val="189"/>
        </w:trPr>
        <w:tc>
          <w:tcPr>
            <w:tcW w:w="5260" w:type="dxa"/>
            <w:vAlign w:val="bottom"/>
          </w:tcPr>
          <w:p>
            <w:pPr>
              <w:ind w:left="140"/>
              <w:spacing w:after="0"/>
              <w:rPr>
                <w:sz w:val="20"/>
                <w:szCs w:val="20"/>
                <w:color w:val="auto"/>
              </w:rPr>
            </w:pPr>
            <w:r>
              <w:rPr>
                <w:rFonts w:ascii="Arial" w:cs="Arial" w:eastAsia="Arial" w:hAnsi="Arial"/>
                <w:sz w:val="14"/>
                <w:szCs w:val="14"/>
                <w:color w:val="242424"/>
              </w:rPr>
              <w:t>Environmental remediation costs</w:t>
            </w:r>
          </w:p>
        </w:tc>
        <w:tc>
          <w:tcPr>
            <w:tcW w:w="2300" w:type="dxa"/>
            <w:vAlign w:val="bottom"/>
          </w:tcPr>
          <w:p>
            <w:pPr>
              <w:jc w:val="right"/>
              <w:ind w:right="808"/>
              <w:spacing w:after="0"/>
              <w:rPr>
                <w:sz w:val="20"/>
                <w:szCs w:val="20"/>
                <w:color w:val="auto"/>
              </w:rPr>
            </w:pPr>
            <w:r>
              <w:rPr>
                <w:rFonts w:ascii="Arial" w:cs="Arial" w:eastAsia="Arial" w:hAnsi="Arial"/>
                <w:sz w:val="14"/>
                <w:szCs w:val="14"/>
                <w:color w:val="242424"/>
              </w:rPr>
              <w:t>839</w:t>
            </w:r>
          </w:p>
        </w:tc>
        <w:tc>
          <w:tcPr>
            <w:tcW w:w="1040" w:type="dxa"/>
            <w:vAlign w:val="bottom"/>
          </w:tcPr>
          <w:p>
            <w:pPr>
              <w:jc w:val="right"/>
              <w:ind w:right="428"/>
              <w:spacing w:after="0"/>
              <w:rPr>
                <w:sz w:val="20"/>
                <w:szCs w:val="20"/>
                <w:color w:val="auto"/>
              </w:rPr>
            </w:pPr>
            <w:r>
              <w:rPr>
                <w:rFonts w:ascii="Arial" w:cs="Arial" w:eastAsia="Arial" w:hAnsi="Arial"/>
                <w:sz w:val="14"/>
                <w:szCs w:val="14"/>
                <w:color w:val="242424"/>
              </w:rPr>
              <w:t>855</w:t>
            </w:r>
          </w:p>
        </w:tc>
        <w:tc>
          <w:tcPr>
            <w:tcW w:w="940" w:type="dxa"/>
            <w:vAlign w:val="bottom"/>
          </w:tcPr>
          <w:p>
            <w:pPr>
              <w:jc w:val="right"/>
              <w:spacing w:after="0"/>
              <w:rPr>
                <w:sz w:val="20"/>
                <w:szCs w:val="20"/>
                <w:color w:val="auto"/>
              </w:rPr>
            </w:pPr>
            <w:r>
              <w:rPr>
                <w:rFonts w:ascii="Arial" w:cs="Arial" w:eastAsia="Arial" w:hAnsi="Arial"/>
                <w:sz w:val="14"/>
                <w:szCs w:val="14"/>
                <w:color w:val="242424"/>
              </w:rPr>
              <w:t>770</w:t>
            </w:r>
          </w:p>
        </w:tc>
        <w:tc>
          <w:tcPr>
            <w:tcW w:w="1440" w:type="dxa"/>
            <w:vAlign w:val="bottom"/>
          </w:tcPr>
          <w:p>
            <w:pPr>
              <w:jc w:val="right"/>
              <w:spacing w:after="0"/>
              <w:rPr>
                <w:sz w:val="20"/>
                <w:szCs w:val="20"/>
                <w:color w:val="auto"/>
              </w:rPr>
            </w:pPr>
            <w:r>
              <w:rPr>
                <w:rFonts w:ascii="Arial" w:cs="Arial" w:eastAsia="Arial" w:hAnsi="Arial"/>
                <w:sz w:val="14"/>
                <w:szCs w:val="14"/>
                <w:color w:val="242424"/>
              </w:rPr>
              <w:t>781</w:t>
            </w:r>
          </w:p>
        </w:tc>
      </w:tr>
      <w:tr>
        <w:trPr>
          <w:trHeight w:val="189"/>
        </w:trPr>
        <w:tc>
          <w:tcPr>
            <w:tcW w:w="5260" w:type="dxa"/>
            <w:vAlign w:val="bottom"/>
            <w:shd w:val="clear" w:color="auto" w:fill="E5E5E5"/>
          </w:tcPr>
          <w:p>
            <w:pPr>
              <w:ind w:left="140"/>
              <w:spacing w:after="0"/>
              <w:rPr>
                <w:sz w:val="20"/>
                <w:szCs w:val="20"/>
                <w:color w:val="auto"/>
              </w:rPr>
            </w:pPr>
            <w:r>
              <w:rPr>
                <w:rFonts w:ascii="Arial" w:cs="Arial" w:eastAsia="Arial" w:hAnsi="Arial"/>
                <w:sz w:val="14"/>
                <w:szCs w:val="14"/>
                <w:color w:val="242424"/>
              </w:rPr>
              <w:t>Revenue taxes</w:t>
            </w:r>
          </w:p>
        </w:tc>
        <w:tc>
          <w:tcPr>
            <w:tcW w:w="2300" w:type="dxa"/>
            <w:vAlign w:val="bottom"/>
            <w:shd w:val="clear" w:color="auto" w:fill="E5E5E5"/>
          </w:tcPr>
          <w:p>
            <w:pPr>
              <w:jc w:val="right"/>
              <w:ind w:right="808"/>
              <w:spacing w:after="0"/>
              <w:rPr>
                <w:sz w:val="20"/>
                <w:szCs w:val="20"/>
                <w:color w:val="auto"/>
              </w:rPr>
            </w:pPr>
            <w:r>
              <w:rPr>
                <w:rFonts w:ascii="Arial" w:cs="Arial" w:eastAsia="Arial" w:hAnsi="Arial"/>
                <w:sz w:val="14"/>
                <w:szCs w:val="14"/>
                <w:color w:val="242424"/>
              </w:rPr>
              <w:t>353</w:t>
            </w:r>
          </w:p>
        </w:tc>
        <w:tc>
          <w:tcPr>
            <w:tcW w:w="1040" w:type="dxa"/>
            <w:vAlign w:val="bottom"/>
            <w:shd w:val="clear" w:color="auto" w:fill="E5E5E5"/>
          </w:tcPr>
          <w:p>
            <w:pPr>
              <w:jc w:val="right"/>
              <w:ind w:right="428"/>
              <w:spacing w:after="0"/>
              <w:rPr>
                <w:sz w:val="20"/>
                <w:szCs w:val="20"/>
                <w:color w:val="auto"/>
              </w:rPr>
            </w:pPr>
            <w:r>
              <w:rPr>
                <w:rFonts w:ascii="Arial" w:cs="Arial" w:eastAsia="Arial" w:hAnsi="Arial"/>
                <w:sz w:val="14"/>
                <w:szCs w:val="14"/>
                <w:color w:val="242424"/>
              </w:rPr>
              <w:t>336</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242424"/>
              </w:rPr>
              <w:t>339</w:t>
            </w:r>
          </w:p>
        </w:tc>
        <w:tc>
          <w:tcPr>
            <w:tcW w:w="1440" w:type="dxa"/>
            <w:vAlign w:val="bottom"/>
            <w:shd w:val="clear" w:color="auto" w:fill="E5E5E5"/>
          </w:tcPr>
          <w:p>
            <w:pPr>
              <w:jc w:val="right"/>
              <w:spacing w:after="0"/>
              <w:rPr>
                <w:sz w:val="20"/>
                <w:szCs w:val="20"/>
                <w:color w:val="auto"/>
              </w:rPr>
            </w:pPr>
            <w:r>
              <w:rPr>
                <w:rFonts w:ascii="Arial" w:cs="Arial" w:eastAsia="Arial" w:hAnsi="Arial"/>
                <w:sz w:val="14"/>
                <w:szCs w:val="14"/>
                <w:color w:val="242424"/>
              </w:rPr>
              <w:t>323</w:t>
            </w:r>
          </w:p>
        </w:tc>
      </w:tr>
      <w:tr>
        <w:trPr>
          <w:trHeight w:val="189"/>
        </w:trPr>
        <w:tc>
          <w:tcPr>
            <w:tcW w:w="5260" w:type="dxa"/>
            <w:vAlign w:val="bottom"/>
          </w:tcPr>
          <w:p>
            <w:pPr>
              <w:ind w:left="140"/>
              <w:spacing w:after="0"/>
              <w:rPr>
                <w:sz w:val="20"/>
                <w:szCs w:val="20"/>
                <w:color w:val="auto"/>
              </w:rPr>
            </w:pPr>
            <w:r>
              <w:rPr>
                <w:rFonts w:ascii="Arial" w:cs="Arial" w:eastAsia="Arial" w:hAnsi="Arial"/>
                <w:sz w:val="14"/>
                <w:szCs w:val="14"/>
                <w:color w:val="242424"/>
              </w:rPr>
              <w:t>Deferred derivative losses - long term</w:t>
            </w:r>
          </w:p>
        </w:tc>
        <w:tc>
          <w:tcPr>
            <w:tcW w:w="2300" w:type="dxa"/>
            <w:vAlign w:val="bottom"/>
          </w:tcPr>
          <w:p>
            <w:pPr>
              <w:jc w:val="right"/>
              <w:ind w:right="808"/>
              <w:spacing w:after="0"/>
              <w:rPr>
                <w:sz w:val="20"/>
                <w:szCs w:val="20"/>
                <w:color w:val="auto"/>
              </w:rPr>
            </w:pPr>
            <w:r>
              <w:rPr>
                <w:rFonts w:ascii="Arial" w:cs="Arial" w:eastAsia="Arial" w:hAnsi="Arial"/>
                <w:sz w:val="14"/>
                <w:szCs w:val="14"/>
                <w:color w:val="242424"/>
              </w:rPr>
              <w:t>75</w:t>
            </w:r>
          </w:p>
        </w:tc>
        <w:tc>
          <w:tcPr>
            <w:tcW w:w="1040" w:type="dxa"/>
            <w:vAlign w:val="bottom"/>
          </w:tcPr>
          <w:p>
            <w:pPr>
              <w:jc w:val="right"/>
              <w:ind w:right="428"/>
              <w:spacing w:after="0"/>
              <w:rPr>
                <w:sz w:val="20"/>
                <w:szCs w:val="20"/>
                <w:color w:val="auto"/>
              </w:rPr>
            </w:pPr>
            <w:r>
              <w:rPr>
                <w:rFonts w:ascii="Arial" w:cs="Arial" w:eastAsia="Arial" w:hAnsi="Arial"/>
                <w:sz w:val="14"/>
                <w:szCs w:val="14"/>
                <w:color w:val="242424"/>
              </w:rPr>
              <w:t>120</w:t>
            </w:r>
          </w:p>
        </w:tc>
        <w:tc>
          <w:tcPr>
            <w:tcW w:w="940" w:type="dxa"/>
            <w:vAlign w:val="bottom"/>
          </w:tcPr>
          <w:p>
            <w:pPr>
              <w:jc w:val="right"/>
              <w:spacing w:after="0"/>
              <w:rPr>
                <w:sz w:val="20"/>
                <w:szCs w:val="20"/>
                <w:color w:val="auto"/>
              </w:rPr>
            </w:pPr>
            <w:r>
              <w:rPr>
                <w:rFonts w:ascii="Arial" w:cs="Arial" w:eastAsia="Arial" w:hAnsi="Arial"/>
                <w:sz w:val="14"/>
                <w:szCs w:val="14"/>
                <w:color w:val="242424"/>
              </w:rPr>
              <w:t>69</w:t>
            </w:r>
          </w:p>
        </w:tc>
        <w:tc>
          <w:tcPr>
            <w:tcW w:w="1440" w:type="dxa"/>
            <w:vAlign w:val="bottom"/>
          </w:tcPr>
          <w:p>
            <w:pPr>
              <w:jc w:val="right"/>
              <w:spacing w:after="0"/>
              <w:rPr>
                <w:sz w:val="20"/>
                <w:szCs w:val="20"/>
                <w:color w:val="auto"/>
              </w:rPr>
            </w:pPr>
            <w:r>
              <w:rPr>
                <w:rFonts w:ascii="Arial" w:cs="Arial" w:eastAsia="Arial" w:hAnsi="Arial"/>
                <w:sz w:val="14"/>
                <w:szCs w:val="14"/>
                <w:color w:val="242424"/>
              </w:rPr>
              <w:t>111</w:t>
            </w:r>
          </w:p>
        </w:tc>
      </w:tr>
      <w:tr>
        <w:trPr>
          <w:trHeight w:val="189"/>
        </w:trPr>
        <w:tc>
          <w:tcPr>
            <w:tcW w:w="5260" w:type="dxa"/>
            <w:vAlign w:val="bottom"/>
            <w:shd w:val="clear" w:color="auto" w:fill="E5E5E5"/>
          </w:tcPr>
          <w:p>
            <w:pPr>
              <w:ind w:left="140"/>
              <w:spacing w:after="0"/>
              <w:rPr>
                <w:sz w:val="20"/>
                <w:szCs w:val="20"/>
                <w:color w:val="auto"/>
              </w:rPr>
            </w:pPr>
            <w:r>
              <w:rPr>
                <w:rFonts w:ascii="Arial" w:cs="Arial" w:eastAsia="Arial" w:hAnsi="Arial"/>
                <w:sz w:val="14"/>
                <w:szCs w:val="14"/>
                <w:color w:val="242424"/>
              </w:rPr>
              <w:t>Other</w:t>
            </w:r>
          </w:p>
        </w:tc>
        <w:tc>
          <w:tcPr>
            <w:tcW w:w="2300" w:type="dxa"/>
            <w:vAlign w:val="bottom"/>
            <w:shd w:val="clear" w:color="auto" w:fill="E5E5E5"/>
          </w:tcPr>
          <w:p>
            <w:pPr>
              <w:jc w:val="right"/>
              <w:ind w:right="808"/>
              <w:spacing w:after="0"/>
              <w:rPr>
                <w:sz w:val="20"/>
                <w:szCs w:val="20"/>
                <w:color w:val="auto"/>
              </w:rPr>
            </w:pPr>
            <w:r>
              <w:rPr>
                <w:rFonts w:ascii="Arial" w:cs="Arial" w:eastAsia="Arial" w:hAnsi="Arial"/>
                <w:sz w:val="14"/>
                <w:szCs w:val="14"/>
                <w:color w:val="242424"/>
              </w:rPr>
              <w:t>46</w:t>
            </w:r>
          </w:p>
        </w:tc>
        <w:tc>
          <w:tcPr>
            <w:tcW w:w="1040" w:type="dxa"/>
            <w:vAlign w:val="bottom"/>
            <w:shd w:val="clear" w:color="auto" w:fill="E5E5E5"/>
          </w:tcPr>
          <w:p>
            <w:pPr>
              <w:jc w:val="right"/>
              <w:ind w:right="428"/>
              <w:spacing w:after="0"/>
              <w:rPr>
                <w:sz w:val="20"/>
                <w:szCs w:val="20"/>
                <w:color w:val="auto"/>
              </w:rPr>
            </w:pPr>
            <w:r>
              <w:rPr>
                <w:rFonts w:ascii="Arial" w:cs="Arial" w:eastAsia="Arial" w:hAnsi="Arial"/>
                <w:sz w:val="14"/>
                <w:szCs w:val="14"/>
                <w:color w:val="242424"/>
              </w:rPr>
              <w:t>24</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242424"/>
              </w:rPr>
              <w:t>46</w:t>
            </w:r>
          </w:p>
        </w:tc>
        <w:tc>
          <w:tcPr>
            <w:tcW w:w="1440" w:type="dxa"/>
            <w:vAlign w:val="bottom"/>
            <w:shd w:val="clear" w:color="auto" w:fill="E5E5E5"/>
          </w:tcPr>
          <w:p>
            <w:pPr>
              <w:jc w:val="right"/>
              <w:spacing w:after="0"/>
              <w:rPr>
                <w:sz w:val="20"/>
                <w:szCs w:val="20"/>
                <w:color w:val="auto"/>
              </w:rPr>
            </w:pPr>
            <w:r>
              <w:rPr>
                <w:rFonts w:ascii="Arial" w:cs="Arial" w:eastAsia="Arial" w:hAnsi="Arial"/>
                <w:sz w:val="14"/>
                <w:szCs w:val="14"/>
                <w:color w:val="242424"/>
              </w:rPr>
              <w:t>24</w:t>
            </w:r>
          </w:p>
        </w:tc>
      </w:tr>
      <w:tr>
        <w:trPr>
          <w:trHeight w:val="189"/>
        </w:trPr>
        <w:tc>
          <w:tcPr>
            <w:tcW w:w="5260" w:type="dxa"/>
            <w:vAlign w:val="bottom"/>
            <w:tcBorders>
              <w:bottom w:val="single" w:sz="8" w:color="6D6D6D"/>
            </w:tcBorders>
          </w:tcPr>
          <w:p>
            <w:pPr>
              <w:ind w:left="140"/>
              <w:spacing w:after="0"/>
              <w:rPr>
                <w:sz w:val="20"/>
                <w:szCs w:val="20"/>
                <w:color w:val="auto"/>
              </w:rPr>
            </w:pPr>
            <w:r>
              <w:rPr>
                <w:rFonts w:ascii="Arial" w:cs="Arial" w:eastAsia="Arial" w:hAnsi="Arial"/>
                <w:sz w:val="14"/>
                <w:szCs w:val="14"/>
                <w:color w:val="242424"/>
              </w:rPr>
              <w:t>Deferred derivative losses - current</w:t>
            </w:r>
          </w:p>
        </w:tc>
        <w:tc>
          <w:tcPr>
            <w:tcW w:w="2300" w:type="dxa"/>
            <w:vAlign w:val="bottom"/>
            <w:tcBorders>
              <w:bottom w:val="single" w:sz="8" w:color="6D6D6D"/>
            </w:tcBorders>
          </w:tcPr>
          <w:p>
            <w:pPr>
              <w:jc w:val="right"/>
              <w:ind w:right="808"/>
              <w:spacing w:after="0"/>
              <w:rPr>
                <w:sz w:val="20"/>
                <w:szCs w:val="20"/>
                <w:color w:val="auto"/>
              </w:rPr>
            </w:pPr>
            <w:r>
              <w:rPr>
                <w:rFonts w:ascii="Arial" w:cs="Arial" w:eastAsia="Arial" w:hAnsi="Arial"/>
                <w:sz w:val="14"/>
                <w:szCs w:val="14"/>
                <w:color w:val="242424"/>
              </w:rPr>
              <w:t>161</w:t>
            </w:r>
          </w:p>
        </w:tc>
        <w:tc>
          <w:tcPr>
            <w:tcW w:w="1040" w:type="dxa"/>
            <w:vAlign w:val="bottom"/>
            <w:tcBorders>
              <w:bottom w:val="single" w:sz="8" w:color="6D6D6D"/>
            </w:tcBorders>
          </w:tcPr>
          <w:p>
            <w:pPr>
              <w:jc w:val="right"/>
              <w:ind w:right="428"/>
              <w:spacing w:after="0"/>
              <w:rPr>
                <w:sz w:val="20"/>
                <w:szCs w:val="20"/>
                <w:color w:val="auto"/>
              </w:rPr>
            </w:pPr>
            <w:r>
              <w:rPr>
                <w:rFonts w:ascii="Arial" w:cs="Arial" w:eastAsia="Arial" w:hAnsi="Arial"/>
                <w:sz w:val="14"/>
                <w:szCs w:val="14"/>
                <w:color w:val="242424"/>
              </w:rPr>
              <w:t>190</w:t>
            </w:r>
          </w:p>
        </w:tc>
        <w:tc>
          <w:tcPr>
            <w:tcW w:w="94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242424"/>
              </w:rPr>
              <w:t>152</w:t>
            </w:r>
          </w:p>
        </w:tc>
        <w:tc>
          <w:tcPr>
            <w:tcW w:w="144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242424"/>
              </w:rPr>
              <w:t>177</w:t>
            </w:r>
          </w:p>
        </w:tc>
      </w:tr>
      <w:tr>
        <w:trPr>
          <w:trHeight w:val="183"/>
        </w:trPr>
        <w:tc>
          <w:tcPr>
            <w:tcW w:w="5260" w:type="dxa"/>
            <w:vAlign w:val="bottom"/>
            <w:tcBorders>
              <w:bottom w:val="single" w:sz="8" w:color="6D6D6D"/>
            </w:tcBorders>
            <w:shd w:val="clear" w:color="auto" w:fill="E5E5E5"/>
          </w:tcPr>
          <w:p>
            <w:pPr>
              <w:ind w:left="140"/>
              <w:spacing w:after="0"/>
              <w:rPr>
                <w:sz w:val="20"/>
                <w:szCs w:val="20"/>
                <w:color w:val="auto"/>
              </w:rPr>
            </w:pPr>
            <w:r>
              <w:rPr>
                <w:rFonts w:ascii="Arial" w:cs="Arial" w:eastAsia="Arial" w:hAnsi="Arial"/>
                <w:sz w:val="14"/>
                <w:szCs w:val="14"/>
                <w:color w:val="242424"/>
              </w:rPr>
              <w:t>Total</w:t>
            </w:r>
          </w:p>
        </w:tc>
        <w:tc>
          <w:tcPr>
            <w:tcW w:w="2300" w:type="dxa"/>
            <w:vAlign w:val="bottom"/>
            <w:tcBorders>
              <w:bottom w:val="single" w:sz="8" w:color="6D6D6D"/>
            </w:tcBorders>
            <w:shd w:val="clear" w:color="auto" w:fill="E5E5E5"/>
          </w:tcPr>
          <w:p>
            <w:pPr>
              <w:jc w:val="right"/>
              <w:ind w:right="808"/>
              <w:spacing w:after="0"/>
              <w:rPr>
                <w:sz w:val="20"/>
                <w:szCs w:val="20"/>
                <w:color w:val="auto"/>
              </w:rPr>
            </w:pPr>
            <w:r>
              <w:rPr>
                <w:rFonts w:ascii="Arial" w:cs="Arial" w:eastAsia="Arial" w:hAnsi="Arial"/>
                <w:sz w:val="14"/>
                <w:szCs w:val="14"/>
                <w:color w:val="242424"/>
              </w:rPr>
              <w:t>$4,224</w:t>
            </w:r>
          </w:p>
        </w:tc>
        <w:tc>
          <w:tcPr>
            <w:tcW w:w="1040" w:type="dxa"/>
            <w:vAlign w:val="bottom"/>
            <w:tcBorders>
              <w:bottom w:val="single" w:sz="8" w:color="6D6D6D"/>
            </w:tcBorders>
            <w:shd w:val="clear" w:color="auto" w:fill="E5E5E5"/>
          </w:tcPr>
          <w:p>
            <w:pPr>
              <w:jc w:val="right"/>
              <w:ind w:right="428"/>
              <w:spacing w:after="0"/>
              <w:rPr>
                <w:sz w:val="20"/>
                <w:szCs w:val="20"/>
                <w:color w:val="auto"/>
              </w:rPr>
            </w:pPr>
            <w:r>
              <w:rPr>
                <w:rFonts w:ascii="Arial" w:cs="Arial" w:eastAsia="Arial" w:hAnsi="Arial"/>
                <w:sz w:val="14"/>
                <w:szCs w:val="14"/>
                <w:color w:val="242424"/>
              </w:rPr>
              <w:t>$4,766</w:t>
            </w:r>
          </w:p>
        </w:tc>
        <w:tc>
          <w:tcPr>
            <w:tcW w:w="94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242424"/>
              </w:rPr>
              <w:t>$3,983</w:t>
            </w:r>
          </w:p>
        </w:tc>
        <w:tc>
          <w:tcPr>
            <w:tcW w:w="144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242424"/>
              </w:rPr>
              <w:t>$4,481</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*This table includes regulatory assets not earning a return for which no cash outlay has been made.</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recovery periods for regulatory assets for which a cash outflow has not been made and that do not earn a return have not yet been determined, except as noted below, and are expected to be determined pursuant to the Utilities’ future rate plans to be filed or orders issued by the state regulators in connection therewith.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Utilities recover unrecognized pension and other postretirement costs over 10 years pursuant to NYSPSC policy.</w:t>
      </w:r>
    </w:p>
    <w:p>
      <w:pPr>
        <w:spacing w:after="0" w:line="2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deferral for revenue taxes represents the New York State metropolitan transportation business tax surcharge on the cumulative temporary differences between the book and tax basis of assets and liabilities of the Utilities, as well as the difference between taxes collected and paid by the Utilities to fund mass transportation. The Utilities recover the majority of the revenue taxes over the remaining book lives of the electric and gas plant assets, as well as the steam plant assets for CECONY.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Utilities recover deferred derivative losses – current within one year, and noncurrent generally within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8C8272"/>
        </w:rPr>
        <w:t>Note C – Capitalization</w:t>
      </w:r>
    </w:p>
    <w:p>
      <w:pPr>
        <w:spacing w:after="0" w:line="3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 February 2021, a subsidiary of the Clean Energy Businesses borrowed $250 million at a variable-rate, due 2028, secured by equity interests in four of the company’s solar electric production projects, the interest rate for which was swapped to a fixed rate of 3.39 percent.</w:t>
      </w:r>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February 2021, a subsidiary of the Clean Energy Businesses entered into an agreement with a tax equity investor for the financing of a portfolio of three of the Clean Energy Businesses’ solar electric production projects (CED Nevada Virginia). Under the financing, the tax equity investor acquired a noncontrolling interest in the portfolio and will receive a percentage of earnings, tax attributes and cash flows. The tax equity investor’s funding obligation is subject to certain conditions precedent and a maximum funding obligation of $270 million. As of June 30, 2021, $ 99 million has been funded, with an additional $53 million funded in July 2021. The remaining amount is expected to be funded upon the satisfaction of the remaining conditions precedent, including the last of the three projects reaching commercial operation, which is expected to occur during the third quarter of 2021. The Clean Energy Businesses will continue to consolidate this entity and will report the noncontrolling tax equity investor’s interest in the tax equity arrangement. See Note P.</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 March 2021, a subsidiary of the Clean Energy Businesses agreed to issue $229 million aggregate principal amount of 3.77 percent senior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due 2046, that will be secured by equity interests in CED Nevada Virginia. The senior notes will be issued when each project reaches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commercial operation, the proceeds from the sale of which will repay a portion of the borrowings outstanding under a construction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facility. In June 2021 and July 2021, CED Nevada Virginia issued $38 million and $61 million, respectively, of the $229 million senior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sale of which repaid a portion of the borrowings outstanding under the construction loan facility. The remaining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 million of senior notes are expected to be issued when the last of the three projects reaches commercial operation during the third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 of 2021. See Note D.</w:t>
      </w:r>
    </w:p>
    <w:p>
      <w:pPr>
        <w:spacing w:after="0" w:line="25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During the first quarter of 2021, Con Edison optionally prepaid the remaining $675 million outstanding under a February 2019 term loan prior to its maturity in June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May 2021, Con Edison redeemed at maturity $500 million of 2.00 percent 5-year debentures.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June 2021, CECONY redeemed at maturity $640 million of floating rate 3-year debentures.</w:t>
      </w:r>
    </w:p>
    <w:p>
      <w:pPr>
        <w:spacing w:after="0" w:line="25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 June 2021, CECONY issued $750 million aggregate principal amount of 2.40 percent debentures, due 2031 and $750 million aggregate principal amount of 3.60 percent debentures, due 2061.</w:t>
      </w:r>
    </w:p>
    <w:p>
      <w:pPr>
        <w:spacing w:after="0" w:line="22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In June 2021, Con Edison issued 10,100,000 shares of its common stock resulting in net proceeds of approximately $775 million, after issuance expenses.</w:t>
      </w:r>
    </w:p>
    <w:p>
      <w:pPr>
        <w:spacing w:after="0" w:line="21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June 2021, as part of the Clean Energy Businesses’ sale of a renewable electric production project, $104 million of 4.52 percent senior notes, due 2032 and $37 million of floating rate loans, due 2024 and loan-related interest rate swaps were assumed by the buyer pursuant to the sale agreement. See Notes N and 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and fair values of long-term debt at June 30, 2021 and December 31, 2020 were:</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2100" w:type="dxa"/>
            <w:vAlign w:val="bottom"/>
            <w:tcBorders>
              <w:bottom w:val="single" w:sz="8" w:color="8C8272"/>
            </w:tcBorders>
          </w:tcPr>
          <w:p>
            <w:pPr>
              <w:spacing w:after="0"/>
              <w:rPr>
                <w:sz w:val="16"/>
                <w:szCs w:val="16"/>
                <w:color w:val="auto"/>
              </w:rPr>
            </w:pPr>
          </w:p>
        </w:tc>
        <w:tc>
          <w:tcPr>
            <w:tcW w:w="1700" w:type="dxa"/>
            <w:vAlign w:val="bottom"/>
            <w:tcBorders>
              <w:bottom w:val="single" w:sz="8" w:color="8C8272"/>
            </w:tcBorders>
          </w:tcPr>
          <w:p>
            <w:pPr>
              <w:jc w:val="right"/>
              <w:ind w:right="1188"/>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8C8272"/>
            </w:tcBorders>
          </w:tcPr>
          <w:p>
            <w:pPr>
              <w:spacing w:after="0"/>
              <w:rPr>
                <w:sz w:val="16"/>
                <w:szCs w:val="16"/>
                <w:color w:val="auto"/>
              </w:rPr>
            </w:pPr>
          </w:p>
        </w:tc>
        <w:tc>
          <w:tcPr>
            <w:tcW w:w="1720" w:type="dxa"/>
            <w:vAlign w:val="bottom"/>
            <w:tcBorders>
              <w:bottom w:val="single" w:sz="8" w:color="8C8272"/>
            </w:tcBorders>
          </w:tcPr>
          <w:p>
            <w:pPr>
              <w:jc w:val="right"/>
              <w:ind w:right="12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Long-Term Debt (including current portion) (a)</w:t>
            </w:r>
          </w:p>
        </w:tc>
        <w:tc>
          <w:tcPr>
            <w:tcW w:w="2100" w:type="dxa"/>
            <w:vAlign w:val="bottom"/>
          </w:tcPr>
          <w:p>
            <w:pPr>
              <w:jc w:val="center"/>
              <w:ind w:left="1168"/>
              <w:spacing w:after="0" w:line="142" w:lineRule="exact"/>
              <w:rPr>
                <w:sz w:val="20"/>
                <w:szCs w:val="20"/>
                <w:color w:val="auto"/>
              </w:rPr>
            </w:pPr>
            <w:r>
              <w:rPr>
                <w:rFonts w:ascii="Arial" w:cs="Arial" w:eastAsia="Arial" w:hAnsi="Arial"/>
                <w:sz w:val="14"/>
                <w:szCs w:val="14"/>
                <w:b w:val="1"/>
                <w:bCs w:val="1"/>
                <w:color w:val="auto"/>
              </w:rPr>
              <w:t>Carrying</w:t>
            </w:r>
          </w:p>
        </w:tc>
        <w:tc>
          <w:tcPr>
            <w:tcW w:w="1700" w:type="dxa"/>
            <w:vAlign w:val="bottom"/>
          </w:tcPr>
          <w:p>
            <w:pPr>
              <w:jc w:val="center"/>
              <w:ind w:left="248"/>
              <w:spacing w:after="0" w:line="142" w:lineRule="exact"/>
              <w:rPr>
                <w:sz w:val="20"/>
                <w:szCs w:val="20"/>
                <w:color w:val="auto"/>
              </w:rPr>
            </w:pPr>
            <w:r>
              <w:rPr>
                <w:rFonts w:ascii="Arial" w:cs="Arial" w:eastAsia="Arial" w:hAnsi="Arial"/>
                <w:sz w:val="14"/>
                <w:szCs w:val="14"/>
                <w:b w:val="1"/>
                <w:bCs w:val="1"/>
                <w:color w:val="auto"/>
              </w:rPr>
              <w:t>Fair</w:t>
            </w:r>
          </w:p>
        </w:tc>
        <w:tc>
          <w:tcPr>
            <w:tcW w:w="1160" w:type="dxa"/>
            <w:vAlign w:val="bottom"/>
          </w:tcPr>
          <w:p>
            <w:pPr>
              <w:jc w:val="center"/>
              <w:ind w:left="228"/>
              <w:spacing w:after="0" w:line="142" w:lineRule="exact"/>
              <w:rPr>
                <w:sz w:val="20"/>
                <w:szCs w:val="20"/>
                <w:color w:val="auto"/>
              </w:rPr>
            </w:pPr>
            <w:r>
              <w:rPr>
                <w:rFonts w:ascii="Arial" w:cs="Arial" w:eastAsia="Arial" w:hAnsi="Arial"/>
                <w:sz w:val="14"/>
                <w:szCs w:val="14"/>
                <w:b w:val="1"/>
                <w:bCs w:val="1"/>
                <w:color w:val="auto"/>
              </w:rPr>
              <w:t>Carrying</w:t>
            </w:r>
          </w:p>
        </w:tc>
        <w:tc>
          <w:tcPr>
            <w:tcW w:w="1720" w:type="dxa"/>
            <w:vAlign w:val="bottom"/>
          </w:tcPr>
          <w:p>
            <w:pPr>
              <w:jc w:val="center"/>
              <w:ind w:left="228"/>
              <w:spacing w:after="0" w:line="14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560" w:type="dxa"/>
            <w:vAlign w:val="bottom"/>
            <w:tcBorders>
              <w:bottom w:val="single" w:sz="8" w:color="8C8272"/>
            </w:tcBorders>
            <w:vMerge w:val="continue"/>
          </w:tcPr>
          <w:p>
            <w:pPr>
              <w:spacing w:after="0"/>
              <w:rPr>
                <w:sz w:val="15"/>
                <w:szCs w:val="15"/>
                <w:color w:val="auto"/>
              </w:rPr>
            </w:pPr>
          </w:p>
        </w:tc>
        <w:tc>
          <w:tcPr>
            <w:tcW w:w="2100" w:type="dxa"/>
            <w:vAlign w:val="bottom"/>
            <w:tcBorders>
              <w:bottom w:val="single" w:sz="8" w:color="8C8272"/>
            </w:tcBorders>
          </w:tcPr>
          <w:p>
            <w:pPr>
              <w:jc w:val="center"/>
              <w:ind w:left="1168"/>
              <w:spacing w:after="0"/>
              <w:rPr>
                <w:sz w:val="20"/>
                <w:szCs w:val="20"/>
                <w:color w:val="auto"/>
              </w:rPr>
            </w:pPr>
            <w:r>
              <w:rPr>
                <w:rFonts w:ascii="Arial" w:cs="Arial" w:eastAsia="Arial" w:hAnsi="Arial"/>
                <w:sz w:val="14"/>
                <w:szCs w:val="14"/>
                <w:b w:val="1"/>
                <w:bCs w:val="1"/>
                <w:color w:val="auto"/>
              </w:rPr>
              <w:t>Amount</w:t>
            </w:r>
          </w:p>
        </w:tc>
        <w:tc>
          <w:tcPr>
            <w:tcW w:w="1700" w:type="dxa"/>
            <w:vAlign w:val="bottom"/>
            <w:tcBorders>
              <w:bottom w:val="single" w:sz="8" w:color="8C8272"/>
            </w:tcBorders>
          </w:tcPr>
          <w:p>
            <w:pPr>
              <w:jc w:val="center"/>
              <w:ind w:left="248"/>
              <w:spacing w:after="0"/>
              <w:rPr>
                <w:sz w:val="20"/>
                <w:szCs w:val="20"/>
                <w:color w:val="auto"/>
              </w:rPr>
            </w:pPr>
            <w:r>
              <w:rPr>
                <w:rFonts w:ascii="Arial" w:cs="Arial" w:eastAsia="Arial" w:hAnsi="Arial"/>
                <w:sz w:val="14"/>
                <w:szCs w:val="14"/>
                <w:b w:val="1"/>
                <w:bCs w:val="1"/>
                <w:color w:val="auto"/>
              </w:rPr>
              <w:t>Value</w:t>
            </w:r>
          </w:p>
        </w:tc>
        <w:tc>
          <w:tcPr>
            <w:tcW w:w="1160" w:type="dxa"/>
            <w:vAlign w:val="bottom"/>
            <w:tcBorders>
              <w:bottom w:val="single" w:sz="8" w:color="8C8272"/>
            </w:tcBorders>
          </w:tcPr>
          <w:p>
            <w:pPr>
              <w:jc w:val="center"/>
              <w:ind w:left="228"/>
              <w:spacing w:after="0"/>
              <w:rPr>
                <w:sz w:val="20"/>
                <w:szCs w:val="20"/>
                <w:color w:val="auto"/>
              </w:rPr>
            </w:pPr>
            <w:r>
              <w:rPr>
                <w:rFonts w:ascii="Arial" w:cs="Arial" w:eastAsia="Arial" w:hAnsi="Arial"/>
                <w:sz w:val="14"/>
                <w:szCs w:val="14"/>
                <w:b w:val="1"/>
                <w:bCs w:val="1"/>
                <w:color w:val="auto"/>
              </w:rPr>
              <w:t>Amount</w:t>
            </w:r>
          </w:p>
        </w:tc>
        <w:tc>
          <w:tcPr>
            <w:tcW w:w="1720" w:type="dxa"/>
            <w:vAlign w:val="bottom"/>
            <w:tcBorders>
              <w:bottom w:val="single" w:sz="8" w:color="8C8272"/>
            </w:tcBorders>
          </w:tcPr>
          <w:p>
            <w:pPr>
              <w:jc w:val="center"/>
              <w:ind w:left="22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456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Con Edison</w:t>
            </w:r>
          </w:p>
        </w:tc>
        <w:tc>
          <w:tcPr>
            <w:tcW w:w="2100" w:type="dxa"/>
            <w:vAlign w:val="bottom"/>
            <w:shd w:val="clear" w:color="auto" w:fill="E5E5E5"/>
          </w:tcPr>
          <w:p>
            <w:pPr>
              <w:jc w:val="center"/>
              <w:ind w:left="1188"/>
              <w:spacing w:after="0"/>
              <w:rPr>
                <w:sz w:val="20"/>
                <w:szCs w:val="20"/>
                <w:color w:val="auto"/>
              </w:rPr>
            </w:pPr>
            <w:r>
              <w:rPr>
                <w:rFonts w:ascii="Arial" w:cs="Arial" w:eastAsia="Arial" w:hAnsi="Arial"/>
                <w:sz w:val="14"/>
                <w:szCs w:val="14"/>
                <w:color w:val="auto"/>
              </w:rPr>
              <w:t>$22,110</w:t>
            </w:r>
          </w:p>
        </w:tc>
        <w:tc>
          <w:tcPr>
            <w:tcW w:w="1700" w:type="dxa"/>
            <w:vAlign w:val="bottom"/>
            <w:shd w:val="clear" w:color="auto" w:fill="E5E5E5"/>
          </w:tcPr>
          <w:p>
            <w:pPr>
              <w:jc w:val="center"/>
              <w:ind w:left="228"/>
              <w:spacing w:after="0"/>
              <w:rPr>
                <w:sz w:val="20"/>
                <w:szCs w:val="20"/>
                <w:color w:val="auto"/>
              </w:rPr>
            </w:pPr>
            <w:r>
              <w:rPr>
                <w:rFonts w:ascii="Arial" w:cs="Arial" w:eastAsia="Arial" w:hAnsi="Arial"/>
                <w:sz w:val="14"/>
                <w:szCs w:val="14"/>
                <w:color w:val="auto"/>
              </w:rPr>
              <w:t>$25,551</w:t>
            </w:r>
          </w:p>
        </w:tc>
        <w:tc>
          <w:tcPr>
            <w:tcW w:w="1160" w:type="dxa"/>
            <w:vAlign w:val="bottom"/>
            <w:shd w:val="clear" w:color="auto" w:fill="E5E5E5"/>
          </w:tcPr>
          <w:p>
            <w:pPr>
              <w:jc w:val="center"/>
              <w:ind w:left="248"/>
              <w:spacing w:after="0"/>
              <w:rPr>
                <w:sz w:val="20"/>
                <w:szCs w:val="20"/>
                <w:color w:val="auto"/>
              </w:rPr>
            </w:pPr>
            <w:r>
              <w:rPr>
                <w:rFonts w:ascii="Arial" w:cs="Arial" w:eastAsia="Arial" w:hAnsi="Arial"/>
                <w:sz w:val="14"/>
                <w:szCs w:val="14"/>
                <w:color w:val="auto"/>
              </w:rPr>
              <w:t>$22,349</w:t>
            </w:r>
          </w:p>
        </w:tc>
        <w:tc>
          <w:tcPr>
            <w:tcW w:w="1720" w:type="dxa"/>
            <w:vAlign w:val="bottom"/>
            <w:shd w:val="clear" w:color="auto" w:fill="E5E5E5"/>
          </w:tcPr>
          <w:p>
            <w:pPr>
              <w:jc w:val="center"/>
              <w:ind w:left="208"/>
              <w:spacing w:after="0"/>
              <w:rPr>
                <w:sz w:val="20"/>
                <w:szCs w:val="20"/>
                <w:color w:val="auto"/>
              </w:rPr>
            </w:pPr>
            <w:r>
              <w:rPr>
                <w:rFonts w:ascii="Arial" w:cs="Arial" w:eastAsia="Arial" w:hAnsi="Arial"/>
                <w:sz w:val="14"/>
                <w:szCs w:val="14"/>
                <w:color w:val="auto"/>
              </w:rPr>
              <w:t>$26,808</w:t>
            </w:r>
          </w:p>
        </w:tc>
        <w:tc>
          <w:tcPr>
            <w:tcW w:w="0" w:type="dxa"/>
            <w:vAlign w:val="bottom"/>
          </w:tcPr>
          <w:p>
            <w:pPr>
              <w:spacing w:after="0"/>
              <w:rPr>
                <w:sz w:val="1"/>
                <w:szCs w:val="1"/>
                <w:color w:val="auto"/>
              </w:rPr>
            </w:pPr>
          </w:p>
        </w:tc>
      </w:tr>
      <w:tr>
        <w:trPr>
          <w:trHeight w:val="189"/>
        </w:trPr>
        <w:tc>
          <w:tcPr>
            <w:tcW w:w="45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CECONY</w:t>
            </w:r>
          </w:p>
        </w:tc>
        <w:tc>
          <w:tcPr>
            <w:tcW w:w="2100" w:type="dxa"/>
            <w:vAlign w:val="bottom"/>
            <w:tcBorders>
              <w:bottom w:val="single" w:sz="8" w:color="8C8272"/>
            </w:tcBorders>
          </w:tcPr>
          <w:p>
            <w:pPr>
              <w:jc w:val="center"/>
              <w:ind w:left="1188"/>
              <w:spacing w:after="0"/>
              <w:rPr>
                <w:sz w:val="20"/>
                <w:szCs w:val="20"/>
                <w:color w:val="auto"/>
              </w:rPr>
            </w:pPr>
            <w:r>
              <w:rPr>
                <w:rFonts w:ascii="Arial" w:cs="Arial" w:eastAsia="Arial" w:hAnsi="Arial"/>
                <w:sz w:val="14"/>
                <w:szCs w:val="14"/>
                <w:color w:val="auto"/>
              </w:rPr>
              <w:t>$17,635</w:t>
            </w:r>
          </w:p>
        </w:tc>
        <w:tc>
          <w:tcPr>
            <w:tcW w:w="1700" w:type="dxa"/>
            <w:vAlign w:val="bottom"/>
            <w:tcBorders>
              <w:bottom w:val="single" w:sz="8" w:color="8C8272"/>
            </w:tcBorders>
          </w:tcPr>
          <w:p>
            <w:pPr>
              <w:jc w:val="center"/>
              <w:ind w:left="228"/>
              <w:spacing w:after="0"/>
              <w:rPr>
                <w:sz w:val="20"/>
                <w:szCs w:val="20"/>
                <w:color w:val="auto"/>
              </w:rPr>
            </w:pPr>
            <w:r>
              <w:rPr>
                <w:rFonts w:ascii="Arial" w:cs="Arial" w:eastAsia="Arial" w:hAnsi="Arial"/>
                <w:sz w:val="14"/>
                <w:szCs w:val="14"/>
                <w:color w:val="auto"/>
              </w:rPr>
              <w:t>$20,854</w:t>
            </w:r>
          </w:p>
        </w:tc>
        <w:tc>
          <w:tcPr>
            <w:tcW w:w="1160" w:type="dxa"/>
            <w:vAlign w:val="bottom"/>
            <w:tcBorders>
              <w:bottom w:val="single" w:sz="8" w:color="8C8272"/>
            </w:tcBorders>
          </w:tcPr>
          <w:p>
            <w:pPr>
              <w:jc w:val="center"/>
              <w:ind w:left="248"/>
              <w:spacing w:after="0"/>
              <w:rPr>
                <w:sz w:val="20"/>
                <w:szCs w:val="20"/>
                <w:color w:val="auto"/>
              </w:rPr>
            </w:pPr>
            <w:r>
              <w:rPr>
                <w:rFonts w:ascii="Arial" w:cs="Arial" w:eastAsia="Arial" w:hAnsi="Arial"/>
                <w:sz w:val="14"/>
                <w:szCs w:val="14"/>
                <w:color w:val="auto"/>
              </w:rPr>
              <w:t>$16,789</w:t>
            </w:r>
          </w:p>
        </w:tc>
        <w:tc>
          <w:tcPr>
            <w:tcW w:w="1720" w:type="dxa"/>
            <w:vAlign w:val="bottom"/>
            <w:tcBorders>
              <w:bottom w:val="single" w:sz="8" w:color="8C8272"/>
            </w:tcBorders>
          </w:tcPr>
          <w:p>
            <w:pPr>
              <w:jc w:val="center"/>
              <w:ind w:left="208"/>
              <w:spacing w:after="0"/>
              <w:rPr>
                <w:sz w:val="20"/>
                <w:szCs w:val="20"/>
                <w:color w:val="auto"/>
              </w:rPr>
            </w:pPr>
            <w:r>
              <w:rPr>
                <w:rFonts w:ascii="Arial" w:cs="Arial" w:eastAsia="Arial" w:hAnsi="Arial"/>
                <w:sz w:val="14"/>
                <w:szCs w:val="14"/>
                <w:color w:val="auto"/>
              </w:rPr>
              <w:t>$20,974</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320" w:hanging="332"/>
        <w:spacing w:after="0" w:line="258"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Amounts shown are net of unamortized debt expense and unamortized debt discount of $220 million and $189 million for Con Edison and CECONY, respectively, as of June 30, 2021 and $215 million and $176 million for Con Edison and CECONY, respectively, as of December 31, 2020.</w:t>
      </w:r>
    </w:p>
    <w:p>
      <w:pPr>
        <w:spacing w:after="0" w:line="2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fair values of the Companies' long-term debt have been estimated primarily using available market information and at June 30, 2021 are classified as Level 2 (see Note 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8C8272"/>
        </w:rPr>
        <w:t>Note D – Short-Term Borrowing</w:t>
      </w:r>
    </w:p>
    <w:p>
      <w:pPr>
        <w:spacing w:after="0" w:line="31" w:lineRule="exact"/>
        <w:rPr>
          <w:sz w:val="20"/>
          <w:szCs w:val="20"/>
          <w:color w:val="auto"/>
        </w:rPr>
      </w:pPr>
    </w:p>
    <w:p>
      <w:pPr>
        <w:ind w:right="680"/>
        <w:spacing w:after="0" w:line="254" w:lineRule="auto"/>
        <w:rPr>
          <w:sz w:val="20"/>
          <w:szCs w:val="20"/>
          <w:color w:val="auto"/>
        </w:rPr>
      </w:pPr>
      <w:r>
        <w:rPr>
          <w:rFonts w:ascii="Arial" w:cs="Arial" w:eastAsia="Arial" w:hAnsi="Arial"/>
          <w:sz w:val="18"/>
          <w:szCs w:val="18"/>
          <w:color w:val="auto"/>
        </w:rPr>
        <w:t>At June 30, 2021, Con Edison had $1,052 million of commercial paper outstanding of which $1,000 million was outstanding under CECONY’s program. The weighted average interest rate at June 30, 2021 was 0.2 percent for both Con Edison and CECONY. At December 31, 2020, Con Edison had $1,705 million of commercial paper outstanding of which $1,660 million was outstanding under CECONY’s program. The weighted average interest rate at December 31, 2020 was 0.3 percent for both Con Edison and CECONY.</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At June 30, 2021 and December 31, 2020, no loans were outstanding under the Companies' December 2016 credit agreement (Credit Agreement). An immaterial amount of letters of credit were outstanding under the Credit Agreement as of June 30, 2021 and December 31, 2020.</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 June 30, 2021 and December 31, 2020, a subsidiary of the Clean Energy Businesses had $403 million and $165 million of borrowings outstanding under a variable-rate construction loan facility that matures no later than November 2021 and is secured by and used to fund construction costs for CED Nevada Virginia. At June 30, 2021 and December 31, 2020, the banks’ commitments under the construction loan facility were $442 million and $613 million, respectively.</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April 2021, Con Edison entered into a credit agreement (April 2021 Credit Agreement) under which banks were committed until May 18, 2021, subject to certain conditions, to provide to Con Edison a $ 500 million variable-rate 364-day term loan. In May 2021, Con Edison borrowed $500 million under the April 2021 Credit Agreement to repay in full all of Con Edison’s outstanding 2.00 percent debentures, Series 2016 A, that matured on May 15, 2021. In July 2021, Con Edison prepaid in full the $500 million borrowing under the April 2021 Credit Agreement with a portion of the cash proceeds received from the substantial completion of the sale of Stagecoach. See Note 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Note E – Pension Benefits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Periodic Benefit Cost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Companies’ total periodic benefit cost for the three and six months ended June 30, 2021 and 2020 were as follows:</w:t>
      </w:r>
    </w:p>
    <w:p>
      <w:pPr>
        <w:spacing w:after="0" w:line="280"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For the Three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Borders>
              <w:top w:val="single" w:sz="8" w:color="8C8272"/>
              <w:bottom w:val="single" w:sz="8" w:color="8C8272"/>
            </w:tcBorders>
          </w:tcPr>
          <w:p>
            <w:pPr>
              <w:spacing w:after="0"/>
              <w:rPr>
                <w:sz w:val="15"/>
                <w:szCs w:val="15"/>
                <w:color w:val="auto"/>
              </w:rPr>
            </w:pPr>
          </w:p>
        </w:tc>
        <w:tc>
          <w:tcPr>
            <w:tcW w:w="3060" w:type="dxa"/>
            <w:vAlign w:val="bottom"/>
            <w:tcBorders>
              <w:top w:val="single" w:sz="8" w:color="8C8272"/>
              <w:bottom w:val="single" w:sz="8" w:color="8C8272"/>
            </w:tcBorders>
          </w:tcPr>
          <w:p>
            <w:pPr>
              <w:jc w:val="right"/>
              <w:ind w:right="228"/>
              <w:spacing w:after="0"/>
              <w:rPr>
                <w:sz w:val="20"/>
                <w:szCs w:val="20"/>
                <w:color w:val="auto"/>
              </w:rPr>
            </w:pPr>
            <w:r>
              <w:rPr>
                <w:rFonts w:ascii="Arial" w:cs="Arial" w:eastAsia="Arial" w:hAnsi="Arial"/>
                <w:sz w:val="14"/>
                <w:szCs w:val="14"/>
                <w:b w:val="1"/>
                <w:bCs w:val="1"/>
                <w:color w:val="auto"/>
              </w:rPr>
              <w:t>Con Edison</w:t>
            </w:r>
          </w:p>
        </w:tc>
        <w:tc>
          <w:tcPr>
            <w:tcW w:w="960" w:type="dxa"/>
            <w:vAlign w:val="bottom"/>
            <w:tcBorders>
              <w:top w:val="single" w:sz="8" w:color="8C8272"/>
              <w:bottom w:val="single" w:sz="8" w:color="8C8272"/>
            </w:tcBorders>
          </w:tcPr>
          <w:p>
            <w:pPr>
              <w:spacing w:after="0"/>
              <w:rPr>
                <w:sz w:val="15"/>
                <w:szCs w:val="15"/>
                <w:color w:val="auto"/>
              </w:rPr>
            </w:pPr>
          </w:p>
        </w:tc>
        <w:tc>
          <w:tcPr>
            <w:tcW w:w="1340" w:type="dxa"/>
            <w:vAlign w:val="bottom"/>
            <w:tcBorders>
              <w:top w:val="single" w:sz="8" w:color="8C8272"/>
              <w:bottom w:val="single" w:sz="8" w:color="8C8272"/>
            </w:tcBorders>
            <w:gridSpan w:val="2"/>
          </w:tcPr>
          <w:p>
            <w:pPr>
              <w:ind w:left="340"/>
              <w:spacing w:after="0"/>
              <w:rPr>
                <w:sz w:val="20"/>
                <w:szCs w:val="20"/>
                <w:color w:val="auto"/>
              </w:rPr>
            </w:pPr>
            <w:r>
              <w:rPr>
                <w:rFonts w:ascii="Arial" w:cs="Arial" w:eastAsia="Arial" w:hAnsi="Arial"/>
                <w:sz w:val="14"/>
                <w:szCs w:val="14"/>
                <w:b w:val="1"/>
                <w:bCs w:val="1"/>
                <w:color w:val="auto"/>
              </w:rPr>
              <w:t>CECONY</w:t>
            </w:r>
          </w:p>
        </w:tc>
        <w:tc>
          <w:tcPr>
            <w:tcW w:w="740" w:type="dxa"/>
            <w:vAlign w:val="bottom"/>
            <w:tcBorders>
              <w:top w:val="single" w:sz="8" w:color="8C8272"/>
              <w:bottom w:val="single" w:sz="8" w:color="8C8272"/>
            </w:tcBorders>
          </w:tcPr>
          <w:p>
            <w:pPr>
              <w:spacing w:after="0"/>
              <w:rPr>
                <w:sz w:val="15"/>
                <w:szCs w:val="15"/>
                <w:color w:val="auto"/>
              </w:rPr>
            </w:pPr>
          </w:p>
        </w:tc>
      </w:tr>
      <w:tr>
        <w:trPr>
          <w:trHeight w:val="183"/>
        </w:trPr>
        <w:tc>
          <w:tcPr>
            <w:tcW w:w="508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060" w:type="dxa"/>
            <w:vAlign w:val="bottom"/>
            <w:tcBorders>
              <w:bottom w:val="single" w:sz="8" w:color="8C8272"/>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8C8272"/>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8C8272"/>
            </w:tcBorders>
          </w:tcPr>
          <w:p>
            <w:pPr>
              <w:spacing w:after="0"/>
              <w:rPr>
                <w:sz w:val="15"/>
                <w:szCs w:val="15"/>
                <w:color w:val="auto"/>
              </w:rPr>
            </w:pPr>
          </w:p>
        </w:tc>
        <w:tc>
          <w:tcPr>
            <w:tcW w:w="7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5080" w:type="dxa"/>
            <w:vAlign w:val="bottom"/>
            <w:shd w:val="clear" w:color="auto" w:fill="E5E5E5"/>
          </w:tcPr>
          <w:p>
            <w:pPr>
              <w:ind w:left="20"/>
              <w:spacing w:after="0"/>
              <w:rPr>
                <w:sz w:val="20"/>
                <w:szCs w:val="20"/>
                <w:color w:val="auto"/>
              </w:rPr>
            </w:pPr>
            <w:r>
              <w:rPr>
                <w:rFonts w:ascii="Arial" w:cs="Arial" w:eastAsia="Arial" w:hAnsi="Arial"/>
                <w:sz w:val="14"/>
                <w:szCs w:val="14"/>
                <w:color w:val="auto"/>
              </w:rPr>
              <w:t>Service cost – including administrative expenses</w:t>
            </w:r>
          </w:p>
        </w:tc>
        <w:tc>
          <w:tcPr>
            <w:tcW w:w="3060" w:type="dxa"/>
            <w:vAlign w:val="bottom"/>
            <w:shd w:val="clear" w:color="auto" w:fill="E5E5E5"/>
          </w:tcPr>
          <w:p>
            <w:pPr>
              <w:jc w:val="right"/>
              <w:ind w:right="508"/>
              <w:spacing w:after="0"/>
              <w:rPr>
                <w:sz w:val="20"/>
                <w:szCs w:val="20"/>
                <w:color w:val="auto"/>
              </w:rPr>
            </w:pPr>
            <w:r>
              <w:rPr>
                <w:rFonts w:ascii="Arial" w:cs="Arial" w:eastAsia="Arial" w:hAnsi="Arial"/>
                <w:sz w:val="14"/>
                <w:szCs w:val="14"/>
                <w:color w:val="auto"/>
              </w:rPr>
              <w:t>$85</w:t>
            </w:r>
          </w:p>
        </w:tc>
        <w:tc>
          <w:tcPr>
            <w:tcW w:w="96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$73</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$80</w:t>
            </w:r>
          </w:p>
        </w:tc>
        <w:tc>
          <w:tcPr>
            <w:tcW w:w="460" w:type="dxa"/>
            <w:vAlign w:val="bottom"/>
            <w:shd w:val="clear" w:color="auto" w:fill="E5E5E5"/>
          </w:tcPr>
          <w:p>
            <w:pPr>
              <w:spacing w:after="0"/>
              <w:rPr>
                <w:sz w:val="15"/>
                <w:szCs w:val="15"/>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$69</w:t>
            </w:r>
          </w:p>
        </w:tc>
      </w:tr>
      <w:tr>
        <w:trPr>
          <w:trHeight w:val="189"/>
        </w:trPr>
        <w:tc>
          <w:tcPr>
            <w:tcW w:w="5080" w:type="dxa"/>
            <w:vAlign w:val="bottom"/>
          </w:tcPr>
          <w:p>
            <w:pPr>
              <w:ind w:left="20"/>
              <w:spacing w:after="0"/>
              <w:rPr>
                <w:sz w:val="20"/>
                <w:szCs w:val="20"/>
                <w:color w:val="auto"/>
              </w:rPr>
            </w:pPr>
            <w:r>
              <w:rPr>
                <w:rFonts w:ascii="Arial" w:cs="Arial" w:eastAsia="Arial" w:hAnsi="Arial"/>
                <w:sz w:val="14"/>
                <w:szCs w:val="14"/>
                <w:color w:val="auto"/>
              </w:rPr>
              <w:t>Interest cost on projected benefit obligation</w:t>
            </w:r>
          </w:p>
        </w:tc>
        <w:tc>
          <w:tcPr>
            <w:tcW w:w="3060" w:type="dxa"/>
            <w:vAlign w:val="bottom"/>
          </w:tcPr>
          <w:p>
            <w:pPr>
              <w:jc w:val="right"/>
              <w:ind w:right="508"/>
              <w:spacing w:after="0"/>
              <w:rPr>
                <w:sz w:val="20"/>
                <w:szCs w:val="20"/>
                <w:color w:val="auto"/>
              </w:rPr>
            </w:pPr>
            <w:r>
              <w:rPr>
                <w:rFonts w:ascii="Arial" w:cs="Arial" w:eastAsia="Arial" w:hAnsi="Arial"/>
                <w:sz w:val="14"/>
                <w:szCs w:val="14"/>
                <w:color w:val="auto"/>
              </w:rPr>
              <w:t>118</w:t>
            </w: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137</w:t>
            </w:r>
          </w:p>
        </w:tc>
        <w:tc>
          <w:tcPr>
            <w:tcW w:w="880" w:type="dxa"/>
            <w:vAlign w:val="bottom"/>
          </w:tcPr>
          <w:p>
            <w:pPr>
              <w:jc w:val="right"/>
              <w:spacing w:after="0"/>
              <w:rPr>
                <w:sz w:val="20"/>
                <w:szCs w:val="20"/>
                <w:color w:val="auto"/>
              </w:rPr>
            </w:pPr>
            <w:r>
              <w:rPr>
                <w:rFonts w:ascii="Arial" w:cs="Arial" w:eastAsia="Arial" w:hAnsi="Arial"/>
                <w:sz w:val="14"/>
                <w:szCs w:val="14"/>
                <w:color w:val="auto"/>
              </w:rPr>
              <w:t>111</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189"/>
        </w:trPr>
        <w:tc>
          <w:tcPr>
            <w:tcW w:w="5080" w:type="dxa"/>
            <w:vAlign w:val="bottom"/>
            <w:shd w:val="clear" w:color="auto" w:fill="E5E5E5"/>
          </w:tcPr>
          <w:p>
            <w:pPr>
              <w:ind w:left="20"/>
              <w:spacing w:after="0"/>
              <w:rPr>
                <w:sz w:val="20"/>
                <w:szCs w:val="20"/>
                <w:color w:val="auto"/>
              </w:rPr>
            </w:pPr>
            <w:r>
              <w:rPr>
                <w:rFonts w:ascii="Arial" w:cs="Arial" w:eastAsia="Arial" w:hAnsi="Arial"/>
                <w:sz w:val="14"/>
                <w:szCs w:val="14"/>
                <w:color w:val="auto"/>
              </w:rPr>
              <w:t>Expected return on plan assets</w:t>
            </w:r>
          </w:p>
        </w:tc>
        <w:tc>
          <w:tcPr>
            <w:tcW w:w="3060" w:type="dxa"/>
            <w:vAlign w:val="bottom"/>
            <w:shd w:val="clear" w:color="auto" w:fill="E5E5E5"/>
          </w:tcPr>
          <w:p>
            <w:pPr>
              <w:jc w:val="right"/>
              <w:ind w:right="508"/>
              <w:spacing w:after="0"/>
              <w:rPr>
                <w:sz w:val="20"/>
                <w:szCs w:val="20"/>
                <w:color w:val="auto"/>
              </w:rPr>
            </w:pPr>
            <w:r>
              <w:rPr>
                <w:rFonts w:ascii="Arial" w:cs="Arial" w:eastAsia="Arial" w:hAnsi="Arial"/>
                <w:sz w:val="14"/>
                <w:szCs w:val="14"/>
                <w:color w:val="auto"/>
              </w:rPr>
              <w:t>(274)</w:t>
            </w:r>
          </w:p>
        </w:tc>
        <w:tc>
          <w:tcPr>
            <w:tcW w:w="96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(258)</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(260)</w:t>
            </w:r>
          </w:p>
        </w:tc>
        <w:tc>
          <w:tcPr>
            <w:tcW w:w="46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(245)</w:t>
            </w:r>
          </w:p>
        </w:tc>
      </w:tr>
      <w:tr>
        <w:trPr>
          <w:trHeight w:val="189"/>
        </w:trPr>
        <w:tc>
          <w:tcPr>
            <w:tcW w:w="5080" w:type="dxa"/>
            <w:vAlign w:val="bottom"/>
          </w:tcPr>
          <w:p>
            <w:pPr>
              <w:ind w:left="20"/>
              <w:spacing w:after="0"/>
              <w:rPr>
                <w:sz w:val="20"/>
                <w:szCs w:val="20"/>
                <w:color w:val="auto"/>
              </w:rPr>
            </w:pPr>
            <w:r>
              <w:rPr>
                <w:rFonts w:ascii="Arial" w:cs="Arial" w:eastAsia="Arial" w:hAnsi="Arial"/>
                <w:sz w:val="14"/>
                <w:szCs w:val="14"/>
                <w:color w:val="auto"/>
              </w:rPr>
              <w:t>Recognition of net actuarial loss</w:t>
            </w:r>
          </w:p>
        </w:tc>
        <w:tc>
          <w:tcPr>
            <w:tcW w:w="3060" w:type="dxa"/>
            <w:vAlign w:val="bottom"/>
          </w:tcPr>
          <w:p>
            <w:pPr>
              <w:jc w:val="right"/>
              <w:ind w:right="508"/>
              <w:spacing w:after="0"/>
              <w:rPr>
                <w:sz w:val="20"/>
                <w:szCs w:val="20"/>
                <w:color w:val="auto"/>
              </w:rPr>
            </w:pPr>
            <w:r>
              <w:rPr>
                <w:rFonts w:ascii="Arial" w:cs="Arial" w:eastAsia="Arial" w:hAnsi="Arial"/>
                <w:sz w:val="14"/>
                <w:szCs w:val="14"/>
                <w:color w:val="auto"/>
              </w:rPr>
              <w:t>197</w:t>
            </w: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175</w:t>
            </w:r>
          </w:p>
        </w:tc>
        <w:tc>
          <w:tcPr>
            <w:tcW w:w="880" w:type="dxa"/>
            <w:vAlign w:val="bottom"/>
          </w:tcPr>
          <w:p>
            <w:pPr>
              <w:jc w:val="right"/>
              <w:spacing w:after="0"/>
              <w:rPr>
                <w:sz w:val="20"/>
                <w:szCs w:val="20"/>
                <w:color w:val="auto"/>
              </w:rPr>
            </w:pPr>
            <w:r>
              <w:rPr>
                <w:rFonts w:ascii="Arial" w:cs="Arial" w:eastAsia="Arial" w:hAnsi="Arial"/>
                <w:sz w:val="14"/>
                <w:szCs w:val="14"/>
                <w:color w:val="auto"/>
              </w:rPr>
              <w:t>187</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189"/>
        </w:trPr>
        <w:tc>
          <w:tcPr>
            <w:tcW w:w="508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Recognition of prior service credit</w:t>
            </w:r>
          </w:p>
        </w:tc>
        <w:tc>
          <w:tcPr>
            <w:tcW w:w="3060" w:type="dxa"/>
            <w:vAlign w:val="bottom"/>
            <w:tcBorders>
              <w:bottom w:val="single" w:sz="8" w:color="8C8272"/>
            </w:tcBorders>
            <w:shd w:val="clear" w:color="auto" w:fill="E5E5E5"/>
          </w:tcPr>
          <w:p>
            <w:pPr>
              <w:jc w:val="right"/>
              <w:ind w:right="508"/>
              <w:spacing w:after="0"/>
              <w:rPr>
                <w:sz w:val="20"/>
                <w:szCs w:val="20"/>
                <w:color w:val="auto"/>
              </w:rPr>
            </w:pPr>
            <w:r>
              <w:rPr>
                <w:rFonts w:ascii="Arial" w:cs="Arial" w:eastAsia="Arial" w:hAnsi="Arial"/>
                <w:sz w:val="14"/>
                <w:szCs w:val="14"/>
                <w:color w:val="auto"/>
              </w:rPr>
              <w:t>(4)</w:t>
            </w:r>
          </w:p>
        </w:tc>
        <w:tc>
          <w:tcPr>
            <w:tcW w:w="960" w:type="dxa"/>
            <w:vAlign w:val="bottom"/>
            <w:tcBorders>
              <w:bottom w:val="single" w:sz="8" w:color="8C8272"/>
            </w:tcBorders>
            <w:shd w:val="clear" w:color="auto" w:fill="E5E5E5"/>
          </w:tcPr>
          <w:p>
            <w:pPr>
              <w:jc w:val="right"/>
              <w:ind w:right="268"/>
              <w:spacing w:after="0"/>
              <w:rPr>
                <w:sz w:val="20"/>
                <w:szCs w:val="20"/>
                <w:color w:val="auto"/>
              </w:rPr>
            </w:pPr>
            <w:r>
              <w:rPr>
                <w:rFonts w:ascii="Arial" w:cs="Arial" w:eastAsia="Arial" w:hAnsi="Arial"/>
                <w:sz w:val="14"/>
                <w:szCs w:val="14"/>
                <w:color w:val="auto"/>
              </w:rPr>
              <w:t>(4)</w:t>
            </w:r>
          </w:p>
        </w:tc>
        <w:tc>
          <w:tcPr>
            <w:tcW w:w="8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460" w:type="dxa"/>
            <w:vAlign w:val="bottom"/>
            <w:tcBorders>
              <w:bottom w:val="single" w:sz="8" w:color="828282"/>
            </w:tcBorders>
            <w:shd w:val="clear" w:color="auto" w:fill="E5E5E5"/>
          </w:tcPr>
          <w:p>
            <w:pPr>
              <w:spacing w:after="0"/>
              <w:rPr>
                <w:sz w:val="16"/>
                <w:szCs w:val="16"/>
                <w:color w:val="auto"/>
              </w:rPr>
            </w:pPr>
          </w:p>
        </w:tc>
        <w:tc>
          <w:tcPr>
            <w:tcW w:w="74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(5)</w:t>
            </w:r>
          </w:p>
        </w:tc>
      </w:tr>
      <w:tr>
        <w:trPr>
          <w:trHeight w:val="183"/>
        </w:trPr>
        <w:tc>
          <w:tcPr>
            <w:tcW w:w="5080" w:type="dxa"/>
            <w:vAlign w:val="bottom"/>
          </w:tcPr>
          <w:p>
            <w:pPr>
              <w:ind w:left="20"/>
              <w:spacing w:after="0"/>
              <w:rPr>
                <w:sz w:val="20"/>
                <w:szCs w:val="20"/>
                <w:color w:val="auto"/>
              </w:rPr>
            </w:pPr>
            <w:r>
              <w:rPr>
                <w:rFonts w:ascii="Arial" w:cs="Arial" w:eastAsia="Arial" w:hAnsi="Arial"/>
                <w:sz w:val="14"/>
                <w:szCs w:val="14"/>
                <w:color w:val="auto"/>
              </w:rPr>
              <w:t>TOTAL PERIODIC BENEFIT COST</w:t>
            </w:r>
          </w:p>
        </w:tc>
        <w:tc>
          <w:tcPr>
            <w:tcW w:w="3060" w:type="dxa"/>
            <w:vAlign w:val="bottom"/>
          </w:tcPr>
          <w:p>
            <w:pPr>
              <w:jc w:val="right"/>
              <w:ind w:right="508"/>
              <w:spacing w:after="0"/>
              <w:rPr>
                <w:sz w:val="20"/>
                <w:szCs w:val="20"/>
                <w:color w:val="auto"/>
              </w:rPr>
            </w:pPr>
            <w:r>
              <w:rPr>
                <w:rFonts w:ascii="Arial" w:cs="Arial" w:eastAsia="Arial" w:hAnsi="Arial"/>
                <w:sz w:val="14"/>
                <w:szCs w:val="14"/>
                <w:color w:val="auto"/>
              </w:rPr>
              <w:t>$122</w:t>
            </w: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$123</w:t>
            </w:r>
          </w:p>
        </w:tc>
        <w:tc>
          <w:tcPr>
            <w:tcW w:w="880" w:type="dxa"/>
            <w:vAlign w:val="bottom"/>
          </w:tcPr>
          <w:p>
            <w:pPr>
              <w:jc w:val="right"/>
              <w:spacing w:after="0"/>
              <w:rPr>
                <w:sz w:val="20"/>
                <w:szCs w:val="20"/>
                <w:color w:val="auto"/>
              </w:rPr>
            </w:pPr>
            <w:r>
              <w:rPr>
                <w:rFonts w:ascii="Arial" w:cs="Arial" w:eastAsia="Arial" w:hAnsi="Arial"/>
                <w:sz w:val="14"/>
                <w:szCs w:val="14"/>
                <w:color w:val="auto"/>
              </w:rPr>
              <w:t>$113</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189"/>
        </w:trPr>
        <w:tc>
          <w:tcPr>
            <w:tcW w:w="508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Cost capitalized</w:t>
            </w:r>
          </w:p>
        </w:tc>
        <w:tc>
          <w:tcPr>
            <w:tcW w:w="3060" w:type="dxa"/>
            <w:vAlign w:val="bottom"/>
            <w:shd w:val="clear" w:color="auto" w:fill="E5E5E5"/>
          </w:tcPr>
          <w:p>
            <w:pPr>
              <w:jc w:val="right"/>
              <w:ind w:right="508"/>
              <w:spacing w:after="0"/>
              <w:rPr>
                <w:sz w:val="20"/>
                <w:szCs w:val="20"/>
                <w:color w:val="auto"/>
              </w:rPr>
            </w:pPr>
            <w:r>
              <w:rPr>
                <w:rFonts w:ascii="Arial" w:cs="Arial" w:eastAsia="Arial" w:hAnsi="Arial"/>
                <w:sz w:val="14"/>
                <w:szCs w:val="14"/>
                <w:color w:val="auto"/>
              </w:rPr>
              <w:t>(41)</w:t>
            </w:r>
          </w:p>
        </w:tc>
        <w:tc>
          <w:tcPr>
            <w:tcW w:w="96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(33)</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w:t>
            </w:r>
          </w:p>
        </w:tc>
        <w:tc>
          <w:tcPr>
            <w:tcW w:w="46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w:t>
            </w:r>
          </w:p>
        </w:tc>
      </w:tr>
      <w:tr>
        <w:trPr>
          <w:trHeight w:val="189"/>
        </w:trPr>
        <w:tc>
          <w:tcPr>
            <w:tcW w:w="508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Reconciliation to rate level</w:t>
            </w:r>
          </w:p>
        </w:tc>
        <w:tc>
          <w:tcPr>
            <w:tcW w:w="3060" w:type="dxa"/>
            <w:vAlign w:val="bottom"/>
            <w:tcBorders>
              <w:bottom w:val="single" w:sz="8" w:color="8C8272"/>
            </w:tcBorders>
          </w:tcPr>
          <w:p>
            <w:pPr>
              <w:jc w:val="right"/>
              <w:ind w:right="508"/>
              <w:spacing w:after="0"/>
              <w:rPr>
                <w:sz w:val="20"/>
                <w:szCs w:val="20"/>
                <w:color w:val="auto"/>
              </w:rPr>
            </w:pPr>
            <w:r>
              <w:rPr>
                <w:rFonts w:ascii="Arial" w:cs="Arial" w:eastAsia="Arial" w:hAnsi="Arial"/>
                <w:sz w:val="14"/>
                <w:szCs w:val="14"/>
                <w:color w:val="auto"/>
              </w:rPr>
              <w:t>(54)</w:t>
            </w:r>
          </w:p>
        </w:tc>
        <w:tc>
          <w:tcPr>
            <w:tcW w:w="960" w:type="dxa"/>
            <w:vAlign w:val="bottom"/>
            <w:tcBorders>
              <w:bottom w:val="single" w:sz="8" w:color="8C8272"/>
            </w:tcBorders>
          </w:tcPr>
          <w:p>
            <w:pPr>
              <w:jc w:val="right"/>
              <w:ind w:right="268"/>
              <w:spacing w:after="0"/>
              <w:rPr>
                <w:sz w:val="20"/>
                <w:szCs w:val="20"/>
                <w:color w:val="auto"/>
              </w:rPr>
            </w:pPr>
            <w:r>
              <w:rPr>
                <w:rFonts w:ascii="Arial" w:cs="Arial" w:eastAsia="Arial" w:hAnsi="Arial"/>
                <w:sz w:val="14"/>
                <w:szCs w:val="14"/>
                <w:color w:val="auto"/>
              </w:rPr>
              <w:t>(62)</w:t>
            </w:r>
          </w:p>
        </w:tc>
        <w:tc>
          <w:tcPr>
            <w:tcW w:w="8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(52)</w:t>
            </w:r>
          </w:p>
        </w:tc>
        <w:tc>
          <w:tcPr>
            <w:tcW w:w="460" w:type="dxa"/>
            <w:vAlign w:val="bottom"/>
            <w:tcBorders>
              <w:bottom w:val="single" w:sz="8" w:color="8C8272"/>
            </w:tcBorders>
          </w:tcPr>
          <w:p>
            <w:pPr>
              <w:spacing w:after="0"/>
              <w:rPr>
                <w:sz w:val="16"/>
                <w:szCs w:val="16"/>
                <w:color w:val="auto"/>
              </w:rPr>
            </w:pPr>
          </w:p>
        </w:tc>
        <w:tc>
          <w:tcPr>
            <w:tcW w:w="7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(59)</w:t>
            </w:r>
          </w:p>
        </w:tc>
      </w:tr>
      <w:tr>
        <w:trPr>
          <w:trHeight w:val="183"/>
        </w:trPr>
        <w:tc>
          <w:tcPr>
            <w:tcW w:w="508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Total expense recognized</w:t>
            </w:r>
          </w:p>
        </w:tc>
        <w:tc>
          <w:tcPr>
            <w:tcW w:w="3060" w:type="dxa"/>
            <w:vAlign w:val="bottom"/>
            <w:tcBorders>
              <w:bottom w:val="single" w:sz="8" w:color="8C8272"/>
            </w:tcBorders>
            <w:shd w:val="clear" w:color="auto" w:fill="E5E5E5"/>
          </w:tcPr>
          <w:p>
            <w:pPr>
              <w:jc w:val="right"/>
              <w:ind w:right="508"/>
              <w:spacing w:after="0"/>
              <w:rPr>
                <w:sz w:val="20"/>
                <w:szCs w:val="20"/>
                <w:color w:val="auto"/>
              </w:rPr>
            </w:pPr>
            <w:r>
              <w:rPr>
                <w:rFonts w:ascii="Arial" w:cs="Arial" w:eastAsia="Arial" w:hAnsi="Arial"/>
                <w:sz w:val="14"/>
                <w:szCs w:val="14"/>
                <w:color w:val="auto"/>
              </w:rPr>
              <w:t>$27</w:t>
            </w:r>
          </w:p>
        </w:tc>
        <w:tc>
          <w:tcPr>
            <w:tcW w:w="960" w:type="dxa"/>
            <w:vAlign w:val="bottom"/>
            <w:tcBorders>
              <w:bottom w:val="single" w:sz="8" w:color="8C8272"/>
            </w:tcBorders>
            <w:shd w:val="clear" w:color="auto" w:fill="E5E5E5"/>
          </w:tcPr>
          <w:p>
            <w:pPr>
              <w:jc w:val="right"/>
              <w:ind w:right="268"/>
              <w:spacing w:after="0"/>
              <w:rPr>
                <w:sz w:val="20"/>
                <w:szCs w:val="20"/>
                <w:color w:val="auto"/>
              </w:rPr>
            </w:pPr>
            <w:r>
              <w:rPr>
                <w:rFonts w:ascii="Arial" w:cs="Arial" w:eastAsia="Arial" w:hAnsi="Arial"/>
                <w:sz w:val="14"/>
                <w:szCs w:val="14"/>
                <w:color w:val="auto"/>
              </w:rPr>
              <w:t>$28</w:t>
            </w:r>
          </w:p>
        </w:tc>
        <w:tc>
          <w:tcPr>
            <w:tcW w:w="8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$22</w:t>
            </w:r>
          </w:p>
        </w:tc>
        <w:tc>
          <w:tcPr>
            <w:tcW w:w="460" w:type="dxa"/>
            <w:vAlign w:val="bottom"/>
            <w:tcBorders>
              <w:bottom w:val="single" w:sz="8" w:color="8C8272"/>
            </w:tcBorders>
            <w:shd w:val="clear" w:color="auto" w:fill="E5E5E5"/>
          </w:tcPr>
          <w:p>
            <w:pPr>
              <w:spacing w:after="0"/>
              <w:rPr>
                <w:sz w:val="15"/>
                <w:szCs w:val="15"/>
                <w:color w:val="auto"/>
              </w:rPr>
            </w:pPr>
          </w:p>
        </w:tc>
        <w:tc>
          <w:tcPr>
            <w:tcW w:w="7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-128270</wp:posOffset>
            </wp:positionV>
            <wp:extent cx="825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-102235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-85090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-67945</wp:posOffset>
            </wp:positionV>
            <wp:extent cx="82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-50800</wp:posOffset>
            </wp:positionV>
            <wp:extent cx="82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-33655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-16510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-231140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-213995</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-196850</wp:posOffset>
            </wp:positionV>
            <wp:extent cx="82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-179705</wp:posOffset>
            </wp:positionV>
            <wp:extent cx="82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-162560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-145415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-351155</wp:posOffset>
            </wp:positionV>
            <wp:extent cx="82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-334010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-316865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-299720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-282575</wp:posOffset>
            </wp:positionV>
            <wp:extent cx="82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-265430</wp:posOffset>
            </wp:positionV>
            <wp:extent cx="825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-496570</wp:posOffset>
            </wp:positionV>
            <wp:extent cx="825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-471170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-454025</wp:posOffset>
            </wp:positionV>
            <wp:extent cx="82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-436880</wp:posOffset>
            </wp:positionV>
            <wp:extent cx="82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-419735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-402590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-385445</wp:posOffset>
            </wp:positionV>
            <wp:extent cx="825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-599440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-582295</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-565150</wp:posOffset>
            </wp:positionV>
            <wp:extent cx="82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-548005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-530860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-513715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-719455</wp:posOffset>
            </wp:positionV>
            <wp:extent cx="82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-702310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-685165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-668020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-650875</wp:posOffset>
            </wp:positionV>
            <wp:extent cx="82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-633730</wp:posOffset>
            </wp:positionV>
            <wp:extent cx="825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-839470</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-822325</wp:posOffset>
            </wp:positionV>
            <wp:extent cx="82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-805180</wp:posOffset>
            </wp:positionV>
            <wp:extent cx="82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-788035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-770890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-753745</wp:posOffset>
            </wp:positionV>
            <wp:extent cx="825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-959485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-942340</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-925195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-908050</wp:posOffset>
            </wp:positionV>
            <wp:extent cx="82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-890905</wp:posOffset>
            </wp:positionV>
            <wp:extent cx="82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-873760</wp:posOffset>
            </wp:positionV>
            <wp:extent cx="825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-1105535</wp:posOffset>
            </wp:positionV>
            <wp:extent cx="825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-1079500</wp:posOffset>
            </wp:positionV>
            <wp:extent cx="82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-1062355</wp:posOffset>
            </wp:positionV>
            <wp:extent cx="82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-1045210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-1028065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-1010920</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-993775</wp:posOffset>
            </wp:positionV>
            <wp:extent cx="825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-1233805</wp:posOffset>
            </wp:positionV>
            <wp:extent cx="825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-1208405</wp:posOffset>
            </wp:positionV>
            <wp:extent cx="82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-1191260</wp:posOffset>
            </wp:positionV>
            <wp:extent cx="825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-1174115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-1156970</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-1139190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-1122680</wp:posOffset>
            </wp:positionV>
            <wp:extent cx="825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Borders>
              <w:bottom w:val="single" w:sz="8" w:color="8C8272"/>
            </w:tcBorders>
          </w:tcPr>
          <w:p>
            <w:pPr>
              <w:spacing w:after="0"/>
              <w:rPr>
                <w:sz w:val="16"/>
                <w:szCs w:val="16"/>
                <w:color w:val="auto"/>
              </w:rPr>
            </w:pPr>
          </w:p>
        </w:tc>
        <w:tc>
          <w:tcPr>
            <w:tcW w:w="5360" w:type="dxa"/>
            <w:vAlign w:val="bottom"/>
            <w:tcBorders>
              <w:bottom w:val="single" w:sz="8" w:color="8C8272"/>
            </w:tcBorders>
            <w:gridSpan w:val="4"/>
          </w:tcPr>
          <w:p>
            <w:pPr>
              <w:ind w:left="2500"/>
              <w:spacing w:after="0"/>
              <w:rPr>
                <w:sz w:val="20"/>
                <w:szCs w:val="20"/>
                <w:color w:val="auto"/>
              </w:rPr>
            </w:pPr>
            <w:r>
              <w:rPr>
                <w:rFonts w:ascii="Arial" w:cs="Arial" w:eastAsia="Arial" w:hAnsi="Arial"/>
                <w:sz w:val="14"/>
                <w:szCs w:val="14"/>
                <w:b w:val="1"/>
                <w:bCs w:val="1"/>
                <w:color w:val="auto"/>
              </w:rPr>
              <w:t>For the Six Months Ended June 30,</w:t>
            </w:r>
          </w:p>
        </w:tc>
        <w:tc>
          <w:tcPr>
            <w:tcW w:w="740" w:type="dxa"/>
            <w:vAlign w:val="bottom"/>
            <w:tcBorders>
              <w:bottom w:val="single" w:sz="8" w:color="8C8272"/>
            </w:tcBorders>
          </w:tcPr>
          <w:p>
            <w:pPr>
              <w:spacing w:after="0"/>
              <w:rPr>
                <w:sz w:val="16"/>
                <w:szCs w:val="16"/>
                <w:color w:val="auto"/>
              </w:rPr>
            </w:pPr>
          </w:p>
        </w:tc>
      </w:tr>
      <w:tr>
        <w:trPr>
          <w:trHeight w:val="183"/>
        </w:trPr>
        <w:tc>
          <w:tcPr>
            <w:tcW w:w="5080" w:type="dxa"/>
            <w:vAlign w:val="bottom"/>
            <w:tcBorders>
              <w:bottom w:val="single" w:sz="8" w:color="8C8272"/>
            </w:tcBorders>
          </w:tcPr>
          <w:p>
            <w:pPr>
              <w:spacing w:after="0"/>
              <w:rPr>
                <w:sz w:val="15"/>
                <w:szCs w:val="15"/>
                <w:color w:val="auto"/>
              </w:rPr>
            </w:pPr>
          </w:p>
        </w:tc>
        <w:tc>
          <w:tcPr>
            <w:tcW w:w="3060" w:type="dxa"/>
            <w:vAlign w:val="bottom"/>
            <w:tcBorders>
              <w:bottom w:val="single" w:sz="8" w:color="8C8272"/>
            </w:tcBorders>
          </w:tcPr>
          <w:p>
            <w:pPr>
              <w:jc w:val="right"/>
              <w:ind w:right="228"/>
              <w:spacing w:after="0"/>
              <w:rPr>
                <w:sz w:val="20"/>
                <w:szCs w:val="20"/>
                <w:color w:val="auto"/>
              </w:rPr>
            </w:pPr>
            <w:r>
              <w:rPr>
                <w:rFonts w:ascii="Arial" w:cs="Arial" w:eastAsia="Arial" w:hAnsi="Arial"/>
                <w:sz w:val="14"/>
                <w:szCs w:val="14"/>
                <w:b w:val="1"/>
                <w:bCs w:val="1"/>
                <w:color w:val="auto"/>
              </w:rPr>
              <w:t>Con Edison</w:t>
            </w:r>
          </w:p>
        </w:tc>
        <w:tc>
          <w:tcPr>
            <w:tcW w:w="960" w:type="dxa"/>
            <w:vAlign w:val="bottom"/>
            <w:tcBorders>
              <w:bottom w:val="single" w:sz="8" w:color="8C8272"/>
            </w:tcBorders>
          </w:tcPr>
          <w:p>
            <w:pPr>
              <w:spacing w:after="0"/>
              <w:rPr>
                <w:sz w:val="15"/>
                <w:szCs w:val="15"/>
                <w:color w:val="auto"/>
              </w:rPr>
            </w:pPr>
          </w:p>
        </w:tc>
        <w:tc>
          <w:tcPr>
            <w:tcW w:w="1340" w:type="dxa"/>
            <w:vAlign w:val="bottom"/>
            <w:tcBorders>
              <w:bottom w:val="single" w:sz="8" w:color="8C8272"/>
            </w:tcBorders>
            <w:gridSpan w:val="2"/>
          </w:tcPr>
          <w:p>
            <w:pPr>
              <w:ind w:left="340"/>
              <w:spacing w:after="0"/>
              <w:rPr>
                <w:sz w:val="20"/>
                <w:szCs w:val="20"/>
                <w:color w:val="auto"/>
              </w:rPr>
            </w:pPr>
            <w:r>
              <w:rPr>
                <w:rFonts w:ascii="Arial" w:cs="Arial" w:eastAsia="Arial" w:hAnsi="Arial"/>
                <w:sz w:val="14"/>
                <w:szCs w:val="14"/>
                <w:b w:val="1"/>
                <w:bCs w:val="1"/>
                <w:color w:val="auto"/>
              </w:rPr>
              <w:t>CECONY</w:t>
            </w:r>
          </w:p>
        </w:tc>
        <w:tc>
          <w:tcPr>
            <w:tcW w:w="740" w:type="dxa"/>
            <w:vAlign w:val="bottom"/>
            <w:tcBorders>
              <w:bottom w:val="single" w:sz="8" w:color="8C8272"/>
            </w:tcBorders>
          </w:tcPr>
          <w:p>
            <w:pPr>
              <w:spacing w:after="0"/>
              <w:rPr>
                <w:sz w:val="15"/>
                <w:szCs w:val="15"/>
                <w:color w:val="auto"/>
              </w:rPr>
            </w:pPr>
          </w:p>
        </w:tc>
      </w:tr>
      <w:tr>
        <w:trPr>
          <w:trHeight w:val="183"/>
        </w:trPr>
        <w:tc>
          <w:tcPr>
            <w:tcW w:w="508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060" w:type="dxa"/>
            <w:vAlign w:val="bottom"/>
            <w:tcBorders>
              <w:bottom w:val="single" w:sz="8" w:color="8C8272"/>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8C8272"/>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8C8272"/>
            </w:tcBorders>
          </w:tcPr>
          <w:p>
            <w:pPr>
              <w:spacing w:after="0"/>
              <w:rPr>
                <w:sz w:val="15"/>
                <w:szCs w:val="15"/>
                <w:color w:val="auto"/>
              </w:rPr>
            </w:pPr>
          </w:p>
        </w:tc>
        <w:tc>
          <w:tcPr>
            <w:tcW w:w="7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5080" w:type="dxa"/>
            <w:vAlign w:val="bottom"/>
            <w:shd w:val="clear" w:color="auto" w:fill="E5E5E5"/>
          </w:tcPr>
          <w:p>
            <w:pPr>
              <w:ind w:left="20"/>
              <w:spacing w:after="0"/>
              <w:rPr>
                <w:sz w:val="20"/>
                <w:szCs w:val="20"/>
                <w:color w:val="auto"/>
              </w:rPr>
            </w:pPr>
            <w:r>
              <w:rPr>
                <w:rFonts w:ascii="Arial" w:cs="Arial" w:eastAsia="Arial" w:hAnsi="Arial"/>
                <w:sz w:val="14"/>
                <w:szCs w:val="14"/>
                <w:color w:val="auto"/>
              </w:rPr>
              <w:t>Service cost – including administrative expenses</w:t>
            </w:r>
          </w:p>
        </w:tc>
        <w:tc>
          <w:tcPr>
            <w:tcW w:w="3060" w:type="dxa"/>
            <w:vAlign w:val="bottom"/>
            <w:shd w:val="clear" w:color="auto" w:fill="E5E5E5"/>
          </w:tcPr>
          <w:p>
            <w:pPr>
              <w:jc w:val="right"/>
              <w:ind w:right="508"/>
              <w:spacing w:after="0"/>
              <w:rPr>
                <w:sz w:val="20"/>
                <w:szCs w:val="20"/>
                <w:color w:val="auto"/>
              </w:rPr>
            </w:pPr>
            <w:r>
              <w:rPr>
                <w:rFonts w:ascii="Arial" w:cs="Arial" w:eastAsia="Arial" w:hAnsi="Arial"/>
                <w:sz w:val="14"/>
                <w:szCs w:val="14"/>
                <w:color w:val="auto"/>
              </w:rPr>
              <w:t>$171</w:t>
            </w:r>
          </w:p>
        </w:tc>
        <w:tc>
          <w:tcPr>
            <w:tcW w:w="96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$147</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$160</w:t>
            </w:r>
          </w:p>
        </w:tc>
        <w:tc>
          <w:tcPr>
            <w:tcW w:w="460" w:type="dxa"/>
            <w:vAlign w:val="bottom"/>
            <w:shd w:val="clear" w:color="auto" w:fill="E5E5E5"/>
          </w:tcPr>
          <w:p>
            <w:pPr>
              <w:spacing w:after="0"/>
              <w:rPr>
                <w:sz w:val="15"/>
                <w:szCs w:val="15"/>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$137</w:t>
            </w:r>
          </w:p>
        </w:tc>
      </w:tr>
      <w:tr>
        <w:trPr>
          <w:trHeight w:val="189"/>
        </w:trPr>
        <w:tc>
          <w:tcPr>
            <w:tcW w:w="5080" w:type="dxa"/>
            <w:vAlign w:val="bottom"/>
          </w:tcPr>
          <w:p>
            <w:pPr>
              <w:ind w:left="20"/>
              <w:spacing w:after="0"/>
              <w:rPr>
                <w:sz w:val="20"/>
                <w:szCs w:val="20"/>
                <w:color w:val="auto"/>
              </w:rPr>
            </w:pPr>
            <w:r>
              <w:rPr>
                <w:rFonts w:ascii="Arial" w:cs="Arial" w:eastAsia="Arial" w:hAnsi="Arial"/>
                <w:sz w:val="14"/>
                <w:szCs w:val="14"/>
                <w:color w:val="auto"/>
              </w:rPr>
              <w:t>Interest cost on projected benefit obligation</w:t>
            </w:r>
          </w:p>
        </w:tc>
        <w:tc>
          <w:tcPr>
            <w:tcW w:w="3060" w:type="dxa"/>
            <w:vAlign w:val="bottom"/>
          </w:tcPr>
          <w:p>
            <w:pPr>
              <w:jc w:val="right"/>
              <w:ind w:right="508"/>
              <w:spacing w:after="0"/>
              <w:rPr>
                <w:sz w:val="20"/>
                <w:szCs w:val="20"/>
                <w:color w:val="auto"/>
              </w:rPr>
            </w:pPr>
            <w:r>
              <w:rPr>
                <w:rFonts w:ascii="Arial" w:cs="Arial" w:eastAsia="Arial" w:hAnsi="Arial"/>
                <w:sz w:val="14"/>
                <w:szCs w:val="14"/>
                <w:color w:val="auto"/>
              </w:rPr>
              <w:t>236</w:t>
            </w: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275</w:t>
            </w:r>
          </w:p>
        </w:tc>
        <w:tc>
          <w:tcPr>
            <w:tcW w:w="880" w:type="dxa"/>
            <w:vAlign w:val="bottom"/>
          </w:tcPr>
          <w:p>
            <w:pPr>
              <w:jc w:val="right"/>
              <w:spacing w:after="0"/>
              <w:rPr>
                <w:sz w:val="20"/>
                <w:szCs w:val="20"/>
                <w:color w:val="auto"/>
              </w:rPr>
            </w:pPr>
            <w:r>
              <w:rPr>
                <w:rFonts w:ascii="Arial" w:cs="Arial" w:eastAsia="Arial" w:hAnsi="Arial"/>
                <w:sz w:val="14"/>
                <w:szCs w:val="14"/>
                <w:color w:val="auto"/>
              </w:rPr>
              <w:t>222</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258</w:t>
            </w:r>
          </w:p>
        </w:tc>
      </w:tr>
      <w:tr>
        <w:trPr>
          <w:trHeight w:val="189"/>
        </w:trPr>
        <w:tc>
          <w:tcPr>
            <w:tcW w:w="5080" w:type="dxa"/>
            <w:vAlign w:val="bottom"/>
            <w:shd w:val="clear" w:color="auto" w:fill="E5E5E5"/>
          </w:tcPr>
          <w:p>
            <w:pPr>
              <w:ind w:left="20"/>
              <w:spacing w:after="0"/>
              <w:rPr>
                <w:sz w:val="20"/>
                <w:szCs w:val="20"/>
                <w:color w:val="auto"/>
              </w:rPr>
            </w:pPr>
            <w:r>
              <w:rPr>
                <w:rFonts w:ascii="Arial" w:cs="Arial" w:eastAsia="Arial" w:hAnsi="Arial"/>
                <w:sz w:val="14"/>
                <w:szCs w:val="14"/>
                <w:color w:val="auto"/>
              </w:rPr>
              <w:t>Expected return on plan assets</w:t>
            </w:r>
          </w:p>
        </w:tc>
        <w:tc>
          <w:tcPr>
            <w:tcW w:w="3060" w:type="dxa"/>
            <w:vAlign w:val="bottom"/>
            <w:shd w:val="clear" w:color="auto" w:fill="E5E5E5"/>
          </w:tcPr>
          <w:p>
            <w:pPr>
              <w:jc w:val="right"/>
              <w:ind w:right="508"/>
              <w:spacing w:after="0"/>
              <w:rPr>
                <w:sz w:val="20"/>
                <w:szCs w:val="20"/>
                <w:color w:val="auto"/>
              </w:rPr>
            </w:pPr>
            <w:r>
              <w:rPr>
                <w:rFonts w:ascii="Arial" w:cs="Arial" w:eastAsia="Arial" w:hAnsi="Arial"/>
                <w:sz w:val="14"/>
                <w:szCs w:val="14"/>
                <w:color w:val="auto"/>
              </w:rPr>
              <w:t>(548)</w:t>
            </w:r>
          </w:p>
        </w:tc>
        <w:tc>
          <w:tcPr>
            <w:tcW w:w="96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(517)</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(520)</w:t>
            </w:r>
          </w:p>
        </w:tc>
        <w:tc>
          <w:tcPr>
            <w:tcW w:w="46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(490)</w:t>
            </w:r>
          </w:p>
        </w:tc>
      </w:tr>
      <w:tr>
        <w:trPr>
          <w:trHeight w:val="189"/>
        </w:trPr>
        <w:tc>
          <w:tcPr>
            <w:tcW w:w="5080" w:type="dxa"/>
            <w:vAlign w:val="bottom"/>
          </w:tcPr>
          <w:p>
            <w:pPr>
              <w:ind w:left="20"/>
              <w:spacing w:after="0"/>
              <w:rPr>
                <w:sz w:val="20"/>
                <w:szCs w:val="20"/>
                <w:color w:val="auto"/>
              </w:rPr>
            </w:pPr>
            <w:r>
              <w:rPr>
                <w:rFonts w:ascii="Arial" w:cs="Arial" w:eastAsia="Arial" w:hAnsi="Arial"/>
                <w:sz w:val="14"/>
                <w:szCs w:val="14"/>
                <w:color w:val="auto"/>
              </w:rPr>
              <w:t>Recognition of net actuarial loss</w:t>
            </w:r>
          </w:p>
        </w:tc>
        <w:tc>
          <w:tcPr>
            <w:tcW w:w="3060" w:type="dxa"/>
            <w:vAlign w:val="bottom"/>
          </w:tcPr>
          <w:p>
            <w:pPr>
              <w:jc w:val="right"/>
              <w:ind w:right="508"/>
              <w:spacing w:after="0"/>
              <w:rPr>
                <w:sz w:val="20"/>
                <w:szCs w:val="20"/>
                <w:color w:val="auto"/>
              </w:rPr>
            </w:pPr>
            <w:r>
              <w:rPr>
                <w:rFonts w:ascii="Arial" w:cs="Arial" w:eastAsia="Arial" w:hAnsi="Arial"/>
                <w:sz w:val="14"/>
                <w:szCs w:val="14"/>
                <w:color w:val="auto"/>
              </w:rPr>
              <w:t>393</w:t>
            </w: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349</w:t>
            </w:r>
          </w:p>
        </w:tc>
        <w:tc>
          <w:tcPr>
            <w:tcW w:w="880" w:type="dxa"/>
            <w:vAlign w:val="bottom"/>
          </w:tcPr>
          <w:p>
            <w:pPr>
              <w:jc w:val="right"/>
              <w:spacing w:after="0"/>
              <w:rPr>
                <w:sz w:val="20"/>
                <w:szCs w:val="20"/>
                <w:color w:val="auto"/>
              </w:rPr>
            </w:pPr>
            <w:r>
              <w:rPr>
                <w:rFonts w:ascii="Arial" w:cs="Arial" w:eastAsia="Arial" w:hAnsi="Arial"/>
                <w:sz w:val="14"/>
                <w:szCs w:val="14"/>
                <w:color w:val="auto"/>
              </w:rPr>
              <w:t>373</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331</w:t>
            </w:r>
          </w:p>
        </w:tc>
      </w:tr>
      <w:tr>
        <w:trPr>
          <w:trHeight w:val="189"/>
        </w:trPr>
        <w:tc>
          <w:tcPr>
            <w:tcW w:w="508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Recognition of prior service credit</w:t>
            </w:r>
          </w:p>
        </w:tc>
        <w:tc>
          <w:tcPr>
            <w:tcW w:w="3060" w:type="dxa"/>
            <w:vAlign w:val="bottom"/>
            <w:tcBorders>
              <w:bottom w:val="single" w:sz="8" w:color="8C8272"/>
            </w:tcBorders>
            <w:shd w:val="clear" w:color="auto" w:fill="E5E5E5"/>
          </w:tcPr>
          <w:p>
            <w:pPr>
              <w:jc w:val="right"/>
              <w:ind w:right="508"/>
              <w:spacing w:after="0"/>
              <w:rPr>
                <w:sz w:val="20"/>
                <w:szCs w:val="20"/>
                <w:color w:val="auto"/>
              </w:rPr>
            </w:pPr>
            <w:r>
              <w:rPr>
                <w:rFonts w:ascii="Arial" w:cs="Arial" w:eastAsia="Arial" w:hAnsi="Arial"/>
                <w:sz w:val="14"/>
                <w:szCs w:val="14"/>
                <w:color w:val="auto"/>
              </w:rPr>
              <w:t>(8)</w:t>
            </w:r>
          </w:p>
        </w:tc>
        <w:tc>
          <w:tcPr>
            <w:tcW w:w="960" w:type="dxa"/>
            <w:vAlign w:val="bottom"/>
            <w:tcBorders>
              <w:bottom w:val="single" w:sz="8" w:color="8C8272"/>
            </w:tcBorders>
            <w:shd w:val="clear" w:color="auto" w:fill="E5E5E5"/>
          </w:tcPr>
          <w:p>
            <w:pPr>
              <w:jc w:val="right"/>
              <w:ind w:right="268"/>
              <w:spacing w:after="0"/>
              <w:rPr>
                <w:sz w:val="20"/>
                <w:szCs w:val="20"/>
                <w:color w:val="auto"/>
              </w:rPr>
            </w:pPr>
            <w:r>
              <w:rPr>
                <w:rFonts w:ascii="Arial" w:cs="Arial" w:eastAsia="Arial" w:hAnsi="Arial"/>
                <w:sz w:val="14"/>
                <w:szCs w:val="14"/>
                <w:color w:val="auto"/>
              </w:rPr>
              <w:t>(8)</w:t>
            </w:r>
          </w:p>
        </w:tc>
        <w:tc>
          <w:tcPr>
            <w:tcW w:w="8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460" w:type="dxa"/>
            <w:vAlign w:val="bottom"/>
            <w:tcBorders>
              <w:bottom w:val="single" w:sz="8" w:color="828282"/>
            </w:tcBorders>
            <w:shd w:val="clear" w:color="auto" w:fill="E5E5E5"/>
          </w:tcPr>
          <w:p>
            <w:pPr>
              <w:spacing w:after="0"/>
              <w:rPr>
                <w:sz w:val="16"/>
                <w:szCs w:val="16"/>
                <w:color w:val="auto"/>
              </w:rPr>
            </w:pPr>
          </w:p>
        </w:tc>
        <w:tc>
          <w:tcPr>
            <w:tcW w:w="74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(10)</w:t>
            </w:r>
          </w:p>
        </w:tc>
      </w:tr>
      <w:tr>
        <w:trPr>
          <w:trHeight w:val="183"/>
        </w:trPr>
        <w:tc>
          <w:tcPr>
            <w:tcW w:w="5080" w:type="dxa"/>
            <w:vAlign w:val="bottom"/>
          </w:tcPr>
          <w:p>
            <w:pPr>
              <w:ind w:left="20"/>
              <w:spacing w:after="0"/>
              <w:rPr>
                <w:sz w:val="20"/>
                <w:szCs w:val="20"/>
                <w:color w:val="auto"/>
              </w:rPr>
            </w:pPr>
            <w:r>
              <w:rPr>
                <w:rFonts w:ascii="Arial" w:cs="Arial" w:eastAsia="Arial" w:hAnsi="Arial"/>
                <w:sz w:val="14"/>
                <w:szCs w:val="14"/>
                <w:color w:val="auto"/>
              </w:rPr>
              <w:t>TOTAL PERIODIC BENEFIT COST</w:t>
            </w:r>
          </w:p>
        </w:tc>
        <w:tc>
          <w:tcPr>
            <w:tcW w:w="3060" w:type="dxa"/>
            <w:vAlign w:val="bottom"/>
          </w:tcPr>
          <w:p>
            <w:pPr>
              <w:jc w:val="right"/>
              <w:ind w:right="508"/>
              <w:spacing w:after="0"/>
              <w:rPr>
                <w:sz w:val="20"/>
                <w:szCs w:val="20"/>
                <w:color w:val="auto"/>
              </w:rPr>
            </w:pPr>
            <w:r>
              <w:rPr>
                <w:rFonts w:ascii="Arial" w:cs="Arial" w:eastAsia="Arial" w:hAnsi="Arial"/>
                <w:sz w:val="14"/>
                <w:szCs w:val="14"/>
                <w:color w:val="auto"/>
              </w:rPr>
              <w:t>$244</w:t>
            </w: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$246</w:t>
            </w:r>
          </w:p>
        </w:tc>
        <w:tc>
          <w:tcPr>
            <w:tcW w:w="880" w:type="dxa"/>
            <w:vAlign w:val="bottom"/>
          </w:tcPr>
          <w:p>
            <w:pPr>
              <w:jc w:val="right"/>
              <w:spacing w:after="0"/>
              <w:rPr>
                <w:sz w:val="20"/>
                <w:szCs w:val="20"/>
                <w:color w:val="auto"/>
              </w:rPr>
            </w:pPr>
            <w:r>
              <w:rPr>
                <w:rFonts w:ascii="Arial" w:cs="Arial" w:eastAsia="Arial" w:hAnsi="Arial"/>
                <w:sz w:val="14"/>
                <w:szCs w:val="14"/>
                <w:color w:val="auto"/>
              </w:rPr>
              <w:t>$225</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$226</w:t>
            </w:r>
          </w:p>
        </w:tc>
      </w:tr>
      <w:tr>
        <w:trPr>
          <w:trHeight w:val="189"/>
        </w:trPr>
        <w:tc>
          <w:tcPr>
            <w:tcW w:w="508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Cost capitalized</w:t>
            </w:r>
          </w:p>
        </w:tc>
        <w:tc>
          <w:tcPr>
            <w:tcW w:w="3060" w:type="dxa"/>
            <w:vAlign w:val="bottom"/>
            <w:shd w:val="clear" w:color="auto" w:fill="E5E5E5"/>
          </w:tcPr>
          <w:p>
            <w:pPr>
              <w:jc w:val="right"/>
              <w:ind w:right="508"/>
              <w:spacing w:after="0"/>
              <w:rPr>
                <w:sz w:val="20"/>
                <w:szCs w:val="20"/>
                <w:color w:val="auto"/>
              </w:rPr>
            </w:pPr>
            <w:r>
              <w:rPr>
                <w:rFonts w:ascii="Arial" w:cs="Arial" w:eastAsia="Arial" w:hAnsi="Arial"/>
                <w:sz w:val="14"/>
                <w:szCs w:val="14"/>
                <w:color w:val="auto"/>
              </w:rPr>
              <w:t>(79)</w:t>
            </w:r>
          </w:p>
        </w:tc>
        <w:tc>
          <w:tcPr>
            <w:tcW w:w="96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(64)</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(75)</w:t>
            </w:r>
          </w:p>
        </w:tc>
        <w:tc>
          <w:tcPr>
            <w:tcW w:w="46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(61)</w:t>
            </w:r>
          </w:p>
        </w:tc>
      </w:tr>
      <w:tr>
        <w:trPr>
          <w:trHeight w:val="189"/>
        </w:trPr>
        <w:tc>
          <w:tcPr>
            <w:tcW w:w="508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Reconciliation to rate level</w:t>
            </w:r>
          </w:p>
        </w:tc>
        <w:tc>
          <w:tcPr>
            <w:tcW w:w="3060" w:type="dxa"/>
            <w:vAlign w:val="bottom"/>
            <w:tcBorders>
              <w:bottom w:val="single" w:sz="8" w:color="8C8272"/>
            </w:tcBorders>
          </w:tcPr>
          <w:p>
            <w:pPr>
              <w:jc w:val="right"/>
              <w:ind w:right="508"/>
              <w:spacing w:after="0"/>
              <w:rPr>
                <w:sz w:val="20"/>
                <w:szCs w:val="20"/>
                <w:color w:val="auto"/>
              </w:rPr>
            </w:pPr>
            <w:r>
              <w:rPr>
                <w:rFonts w:ascii="Arial" w:cs="Arial" w:eastAsia="Arial" w:hAnsi="Arial"/>
                <w:sz w:val="14"/>
                <w:szCs w:val="14"/>
                <w:color w:val="auto"/>
              </w:rPr>
              <w:t>(111)</w:t>
            </w:r>
          </w:p>
        </w:tc>
        <w:tc>
          <w:tcPr>
            <w:tcW w:w="960" w:type="dxa"/>
            <w:vAlign w:val="bottom"/>
            <w:tcBorders>
              <w:bottom w:val="single" w:sz="8" w:color="8C8272"/>
            </w:tcBorders>
          </w:tcPr>
          <w:p>
            <w:pPr>
              <w:jc w:val="right"/>
              <w:ind w:right="268"/>
              <w:spacing w:after="0"/>
              <w:rPr>
                <w:sz w:val="20"/>
                <w:szCs w:val="20"/>
                <w:color w:val="auto"/>
              </w:rPr>
            </w:pPr>
            <w:r>
              <w:rPr>
                <w:rFonts w:ascii="Arial" w:cs="Arial" w:eastAsia="Arial" w:hAnsi="Arial"/>
                <w:sz w:val="14"/>
                <w:szCs w:val="14"/>
                <w:color w:val="auto"/>
              </w:rPr>
              <w:t>(126)</w:t>
            </w:r>
          </w:p>
        </w:tc>
        <w:tc>
          <w:tcPr>
            <w:tcW w:w="8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(106)</w:t>
            </w:r>
          </w:p>
        </w:tc>
        <w:tc>
          <w:tcPr>
            <w:tcW w:w="460" w:type="dxa"/>
            <w:vAlign w:val="bottom"/>
            <w:tcBorders>
              <w:bottom w:val="single" w:sz="8" w:color="8C8272"/>
            </w:tcBorders>
          </w:tcPr>
          <w:p>
            <w:pPr>
              <w:spacing w:after="0"/>
              <w:rPr>
                <w:sz w:val="16"/>
                <w:szCs w:val="16"/>
                <w:color w:val="auto"/>
              </w:rPr>
            </w:pPr>
          </w:p>
        </w:tc>
        <w:tc>
          <w:tcPr>
            <w:tcW w:w="7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(121)</w:t>
            </w:r>
          </w:p>
        </w:tc>
      </w:tr>
      <w:tr>
        <w:trPr>
          <w:trHeight w:val="183"/>
        </w:trPr>
        <w:tc>
          <w:tcPr>
            <w:tcW w:w="5080" w:type="dxa"/>
            <w:vAlign w:val="bottom"/>
            <w:tcBorders>
              <w:bottom w:val="single" w:sz="8" w:color="929292"/>
            </w:tcBorders>
            <w:shd w:val="clear" w:color="auto" w:fill="E5E5E5"/>
          </w:tcPr>
          <w:p>
            <w:pPr>
              <w:ind w:left="20"/>
              <w:spacing w:after="0"/>
              <w:rPr>
                <w:sz w:val="20"/>
                <w:szCs w:val="20"/>
                <w:color w:val="auto"/>
              </w:rPr>
            </w:pPr>
            <w:r>
              <w:rPr>
                <w:rFonts w:ascii="Arial" w:cs="Arial" w:eastAsia="Arial" w:hAnsi="Arial"/>
                <w:sz w:val="14"/>
                <w:szCs w:val="14"/>
                <w:color w:val="auto"/>
              </w:rPr>
              <w:t>Total expense recognized</w:t>
            </w:r>
          </w:p>
        </w:tc>
        <w:tc>
          <w:tcPr>
            <w:tcW w:w="3060" w:type="dxa"/>
            <w:vAlign w:val="bottom"/>
            <w:tcBorders>
              <w:bottom w:val="single" w:sz="8" w:color="929292"/>
            </w:tcBorders>
            <w:shd w:val="clear" w:color="auto" w:fill="E5E5E5"/>
          </w:tcPr>
          <w:p>
            <w:pPr>
              <w:jc w:val="right"/>
              <w:ind w:right="508"/>
              <w:spacing w:after="0"/>
              <w:rPr>
                <w:sz w:val="20"/>
                <w:szCs w:val="20"/>
                <w:color w:val="auto"/>
              </w:rPr>
            </w:pPr>
            <w:r>
              <w:rPr>
                <w:rFonts w:ascii="Arial" w:cs="Arial" w:eastAsia="Arial" w:hAnsi="Arial"/>
                <w:sz w:val="14"/>
                <w:szCs w:val="14"/>
                <w:color w:val="auto"/>
              </w:rPr>
              <w:t>$54</w:t>
            </w:r>
          </w:p>
        </w:tc>
        <w:tc>
          <w:tcPr>
            <w:tcW w:w="960" w:type="dxa"/>
            <w:vAlign w:val="bottom"/>
            <w:tcBorders>
              <w:bottom w:val="single" w:sz="8" w:color="929292"/>
            </w:tcBorders>
            <w:shd w:val="clear" w:color="auto" w:fill="E5E5E5"/>
          </w:tcPr>
          <w:p>
            <w:pPr>
              <w:jc w:val="right"/>
              <w:ind w:right="268"/>
              <w:spacing w:after="0"/>
              <w:rPr>
                <w:sz w:val="20"/>
                <w:szCs w:val="20"/>
                <w:color w:val="auto"/>
              </w:rPr>
            </w:pPr>
            <w:r>
              <w:rPr>
                <w:rFonts w:ascii="Arial" w:cs="Arial" w:eastAsia="Arial" w:hAnsi="Arial"/>
                <w:sz w:val="14"/>
                <w:szCs w:val="14"/>
                <w:color w:val="auto"/>
              </w:rPr>
              <w:t>$56</w:t>
            </w:r>
          </w:p>
        </w:tc>
        <w:tc>
          <w:tcPr>
            <w:tcW w:w="880" w:type="dxa"/>
            <w:vAlign w:val="bottom"/>
            <w:tcBorders>
              <w:bottom w:val="single" w:sz="8" w:color="929292"/>
            </w:tcBorders>
            <w:shd w:val="clear" w:color="auto" w:fill="E5E5E5"/>
          </w:tcPr>
          <w:p>
            <w:pPr>
              <w:jc w:val="right"/>
              <w:spacing w:after="0"/>
              <w:rPr>
                <w:sz w:val="20"/>
                <w:szCs w:val="20"/>
                <w:color w:val="auto"/>
              </w:rPr>
            </w:pPr>
            <w:r>
              <w:rPr>
                <w:rFonts w:ascii="Arial" w:cs="Arial" w:eastAsia="Arial" w:hAnsi="Arial"/>
                <w:sz w:val="14"/>
                <w:szCs w:val="14"/>
                <w:color w:val="auto"/>
              </w:rPr>
              <w:t>$44</w:t>
            </w:r>
          </w:p>
        </w:tc>
        <w:tc>
          <w:tcPr>
            <w:tcW w:w="460" w:type="dxa"/>
            <w:vAlign w:val="bottom"/>
            <w:tcBorders>
              <w:bottom w:val="single" w:sz="8" w:color="929292"/>
            </w:tcBorders>
            <w:shd w:val="clear" w:color="auto" w:fill="E5E5E5"/>
          </w:tcPr>
          <w:p>
            <w:pPr>
              <w:spacing w:after="0"/>
              <w:rPr>
                <w:sz w:val="15"/>
                <w:szCs w:val="15"/>
                <w:color w:val="auto"/>
              </w:rPr>
            </w:pPr>
          </w:p>
        </w:tc>
        <w:tc>
          <w:tcPr>
            <w:tcW w:w="740" w:type="dxa"/>
            <w:vAlign w:val="bottom"/>
            <w:tcBorders>
              <w:bottom w:val="single" w:sz="8" w:color="929292"/>
            </w:tcBorders>
            <w:shd w:val="clear" w:color="auto" w:fill="E5E5E5"/>
          </w:tcPr>
          <w:p>
            <w:pPr>
              <w:jc w:val="right"/>
              <w:spacing w:after="0"/>
              <w:rPr>
                <w:sz w:val="20"/>
                <w:szCs w:val="20"/>
                <w:color w:val="auto"/>
              </w:rPr>
            </w:pPr>
            <w:r>
              <w:rPr>
                <w:rFonts w:ascii="Arial" w:cs="Arial" w:eastAsia="Arial" w:hAnsi="Arial"/>
                <w:sz w:val="14"/>
                <w:szCs w:val="14"/>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-128270</wp:posOffset>
            </wp:positionV>
            <wp:extent cx="825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-102235</wp:posOffset>
            </wp:positionV>
            <wp:extent cx="82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-85090</wp:posOffset>
            </wp:positionV>
            <wp:extent cx="825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-67945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-50800</wp:posOffset>
            </wp:positionV>
            <wp:extent cx="82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-33655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-16510</wp:posOffset>
            </wp:positionV>
            <wp:extent cx="825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-230505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-213995</wp:posOffset>
            </wp:positionV>
            <wp:extent cx="82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-196850</wp:posOffset>
            </wp:positionV>
            <wp:extent cx="825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-179705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-161925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-144780</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-351155</wp:posOffset>
            </wp:positionV>
            <wp:extent cx="82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-333375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-316230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-299085</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-282575</wp:posOffset>
            </wp:positionV>
            <wp:extent cx="82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-265430</wp:posOffset>
            </wp:positionV>
            <wp:extent cx="825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-496570</wp:posOffset>
            </wp:positionV>
            <wp:extent cx="825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-470535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-454025</wp:posOffset>
            </wp:positionV>
            <wp:extent cx="825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-436880</wp:posOffset>
            </wp:positionV>
            <wp:extent cx="82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-419100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-401955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-384810</wp:posOffset>
            </wp:positionV>
            <wp:extent cx="825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-599440</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-582295</wp:posOffset>
            </wp:positionV>
            <wp:extent cx="825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-565150</wp:posOffset>
            </wp:positionV>
            <wp:extent cx="82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-548005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-530860</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-513715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-719455</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-702310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-685165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-668020</wp:posOffset>
            </wp:positionV>
            <wp:extent cx="82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-650875</wp:posOffset>
            </wp:positionV>
            <wp:extent cx="825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-633730</wp:posOffset>
            </wp:positionV>
            <wp:extent cx="825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-839470</wp:posOffset>
            </wp:positionV>
            <wp:extent cx="825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-822325</wp:posOffset>
            </wp:positionV>
            <wp:extent cx="82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-805180</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-788035</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-770890</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-753745</wp:posOffset>
            </wp:positionV>
            <wp:extent cx="825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-959485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-942340</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-925195</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-908050</wp:posOffset>
            </wp:positionV>
            <wp:extent cx="82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-890905</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-873760</wp:posOffset>
            </wp:positionV>
            <wp:extent cx="825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-1104900</wp:posOffset>
            </wp:positionV>
            <wp:extent cx="825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-1079500</wp:posOffset>
            </wp:positionV>
            <wp:extent cx="825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-1062355</wp:posOffset>
            </wp:positionV>
            <wp:extent cx="82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-1045210</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-1028065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-1010920</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-993775</wp:posOffset>
            </wp:positionV>
            <wp:extent cx="825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-1233805</wp:posOffset>
            </wp:positionV>
            <wp:extent cx="825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-1208405</wp:posOffset>
            </wp:positionV>
            <wp:extent cx="825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-1190625</wp:posOffset>
            </wp:positionV>
            <wp:extent cx="825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-1173480</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-1156335</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-1139190</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-1122680</wp:posOffset>
            </wp:positionV>
            <wp:extent cx="825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0" w:name="page31"/>
    <w:bookmarkEnd w:id="30"/>
    <w:p>
      <w:pPr>
        <w:ind w:right="160"/>
        <w:spacing w:after="0" w:line="254" w:lineRule="auto"/>
        <w:rPr>
          <w:sz w:val="20"/>
          <w:szCs w:val="20"/>
          <w:color w:val="auto"/>
        </w:rPr>
      </w:pPr>
      <w:r>
        <w:rPr>
          <w:rFonts w:ascii="Arial" w:cs="Arial" w:eastAsia="Arial" w:hAnsi="Arial"/>
          <w:sz w:val="18"/>
          <w:szCs w:val="18"/>
          <w:color w:val="auto"/>
        </w:rPr>
        <w:t>Components of net periodic benefit cost other than service cost are presented outside of operating income on the Companies' consolidated income statements, and only the service cost component is eligible for capitalization. Accordingly, the service cost component is included in the line "Other operations and maintenance" and the non-service cost components are included in the line "Other deductions" in the Companies' consolidated income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Contributions</w:t>
      </w:r>
    </w:p>
    <w:p>
      <w:pPr>
        <w:spacing w:after="0" w:line="7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Based on estimates as of June 30, 2021, the Companies expect to make contributions to the pension plans during 2021 of $467 million (of which $429 million is to be made by CECONY). The Companies’ policy is to fund the total periodic benefit cost of the qualified plan to the extent tax deductible and to also contribute to the non-qualified supplemental plans. During the first six months of 2021, the Companies contributed $81 million to the pension plans, $80 million of which was contributed by CECONY. CECONY also contributed $22 million to the external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trust for its non-qualified supplemental plan</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Note F – Other Postretirement Benefits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Periodic Benefit Cost</w:t>
      </w:r>
    </w:p>
    <w:p>
      <w:pPr>
        <w:spacing w:after="0" w:line="58"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The components of the Companies’ total periodic other postretirement benefit cost/(credit) for the three and six months ended June 30, 2021 and 2020 were as follows:</w:t>
      </w:r>
    </w:p>
    <w:p>
      <w:pPr>
        <w:spacing w:after="0" w:line="253"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80" w:type="dxa"/>
            <w:vAlign w:val="bottom"/>
            <w:tcBorders>
              <w:bottom w:val="single" w:sz="8" w:color="8C8272"/>
            </w:tcBorders>
          </w:tcPr>
          <w:p>
            <w:pPr>
              <w:spacing w:after="0"/>
              <w:rPr>
                <w:sz w:val="16"/>
                <w:szCs w:val="16"/>
                <w:color w:val="auto"/>
              </w:rPr>
            </w:pPr>
          </w:p>
        </w:tc>
        <w:tc>
          <w:tcPr>
            <w:tcW w:w="1940" w:type="dxa"/>
            <w:vAlign w:val="bottom"/>
            <w:tcBorders>
              <w:bottom w:val="single" w:sz="8" w:color="8C8272"/>
            </w:tcBorders>
            <w:gridSpan w:val="2"/>
          </w:tcPr>
          <w:p>
            <w:pPr>
              <w:ind w:left="1000"/>
              <w:spacing w:after="0"/>
              <w:rPr>
                <w:sz w:val="20"/>
                <w:szCs w:val="20"/>
                <w:color w:val="auto"/>
              </w:rPr>
            </w:pPr>
            <w:r>
              <w:rPr>
                <w:rFonts w:ascii="Arial" w:cs="Arial" w:eastAsia="Arial" w:hAnsi="Arial"/>
                <w:sz w:val="14"/>
                <w:szCs w:val="14"/>
                <w:b w:val="1"/>
                <w:bCs w:val="1"/>
                <w:color w:val="auto"/>
              </w:rPr>
              <w:t>Con Edison</w:t>
            </w:r>
          </w:p>
        </w:tc>
        <w:tc>
          <w:tcPr>
            <w:tcW w:w="460" w:type="dxa"/>
            <w:vAlign w:val="bottom"/>
            <w:tcBorders>
              <w:bottom w:val="single" w:sz="8" w:color="8C8272"/>
            </w:tcBorders>
          </w:tcPr>
          <w:p>
            <w:pPr>
              <w:spacing w:after="0"/>
              <w:rPr>
                <w:sz w:val="16"/>
                <w:szCs w:val="16"/>
                <w:color w:val="auto"/>
              </w:rPr>
            </w:pPr>
          </w:p>
        </w:tc>
        <w:tc>
          <w:tcPr>
            <w:tcW w:w="1900" w:type="dxa"/>
            <w:vAlign w:val="bottom"/>
            <w:tcBorders>
              <w:bottom w:val="single" w:sz="8" w:color="8C8272"/>
            </w:tcBorders>
            <w:gridSpan w:val="2"/>
          </w:tcPr>
          <w:p>
            <w:pPr>
              <w:ind w:left="1100"/>
              <w:spacing w:after="0"/>
              <w:rPr>
                <w:sz w:val="20"/>
                <w:szCs w:val="20"/>
                <w:color w:val="auto"/>
              </w:rPr>
            </w:pPr>
            <w:r>
              <w:rPr>
                <w:rFonts w:ascii="Arial" w:cs="Arial" w:eastAsia="Arial" w:hAnsi="Arial"/>
                <w:sz w:val="14"/>
                <w:szCs w:val="14"/>
                <w:b w:val="1"/>
                <w:bCs w:val="1"/>
                <w:color w:val="auto"/>
              </w:rPr>
              <w:t>CECONY</w:t>
            </w:r>
          </w:p>
        </w:tc>
        <w:tc>
          <w:tcPr>
            <w:tcW w:w="500" w:type="dxa"/>
            <w:vAlign w:val="bottom"/>
            <w:tcBorders>
              <w:bottom w:val="single" w:sz="8" w:color="8C8272"/>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638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2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8C8272"/>
            </w:tcBorders>
          </w:tcPr>
          <w:p>
            <w:pPr>
              <w:spacing w:after="0"/>
              <w:rPr>
                <w:sz w:val="15"/>
                <w:szCs w:val="15"/>
                <w:color w:val="auto"/>
              </w:rPr>
            </w:pPr>
          </w:p>
        </w:tc>
        <w:tc>
          <w:tcPr>
            <w:tcW w:w="4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8C8272"/>
            </w:tcBorders>
          </w:tcPr>
          <w:p>
            <w:pPr>
              <w:spacing w:after="0"/>
              <w:rPr>
                <w:sz w:val="15"/>
                <w:szCs w:val="15"/>
                <w:color w:val="auto"/>
              </w:rPr>
            </w:pPr>
          </w:p>
        </w:tc>
        <w:tc>
          <w:tcPr>
            <w:tcW w:w="5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r>
      <w:tr>
        <w:trPr>
          <w:trHeight w:val="183"/>
        </w:trPr>
        <w:tc>
          <w:tcPr>
            <w:tcW w:w="6380" w:type="dxa"/>
            <w:vAlign w:val="bottom"/>
            <w:shd w:val="clear" w:color="auto" w:fill="E5E5E5"/>
          </w:tcPr>
          <w:p>
            <w:pPr>
              <w:ind w:left="20"/>
              <w:spacing w:after="0"/>
              <w:rPr>
                <w:sz w:val="20"/>
                <w:szCs w:val="20"/>
                <w:color w:val="auto"/>
              </w:rPr>
            </w:pPr>
            <w:r>
              <w:rPr>
                <w:rFonts w:ascii="Arial" w:cs="Arial" w:eastAsia="Arial" w:hAnsi="Arial"/>
                <w:sz w:val="14"/>
                <w:szCs w:val="14"/>
                <w:color w:val="auto"/>
              </w:rPr>
              <w:t>Service cost - including administrative expenses</w:t>
            </w: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w:t>
            </w:r>
          </w:p>
        </w:tc>
        <w:tc>
          <w:tcPr>
            <w:tcW w:w="720" w:type="dxa"/>
            <w:vAlign w:val="bottom"/>
            <w:shd w:val="clear" w:color="auto" w:fill="E5E5E5"/>
          </w:tcPr>
          <w:p>
            <w:pPr>
              <w:spacing w:after="0"/>
              <w:rPr>
                <w:sz w:val="15"/>
                <w:szCs w:val="15"/>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700" w:type="dxa"/>
            <w:vAlign w:val="bottom"/>
            <w:shd w:val="clear" w:color="auto" w:fill="E5E5E5"/>
          </w:tcPr>
          <w:p>
            <w:pPr>
              <w:spacing w:after="0"/>
              <w:rPr>
                <w:sz w:val="15"/>
                <w:szCs w:val="15"/>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5"/>
                <w:szCs w:val="15"/>
                <w:color w:val="auto"/>
              </w:rPr>
            </w:pPr>
          </w:p>
        </w:tc>
      </w:tr>
      <w:tr>
        <w:trPr>
          <w:trHeight w:val="189"/>
        </w:trPr>
        <w:tc>
          <w:tcPr>
            <w:tcW w:w="6380" w:type="dxa"/>
            <w:vAlign w:val="bottom"/>
          </w:tcPr>
          <w:p>
            <w:pPr>
              <w:ind w:left="20"/>
              <w:spacing w:after="0"/>
              <w:rPr>
                <w:sz w:val="20"/>
                <w:szCs w:val="20"/>
                <w:color w:val="auto"/>
              </w:rPr>
            </w:pPr>
            <w:r>
              <w:rPr>
                <w:rFonts w:ascii="Arial" w:cs="Arial" w:eastAsia="Arial" w:hAnsi="Arial"/>
                <w:sz w:val="14"/>
                <w:szCs w:val="14"/>
                <w:color w:val="auto"/>
              </w:rPr>
              <w:t>Interest cost on projected other postretirement benefit obligation</w:t>
            </w:r>
          </w:p>
        </w:tc>
        <w:tc>
          <w:tcPr>
            <w:tcW w:w="1220" w:type="dxa"/>
            <w:vAlign w:val="bottom"/>
          </w:tcPr>
          <w:p>
            <w:pPr>
              <w:jc w:val="right"/>
              <w:spacing w:after="0"/>
              <w:rPr>
                <w:sz w:val="20"/>
                <w:szCs w:val="20"/>
                <w:color w:val="auto"/>
              </w:rPr>
            </w:pPr>
            <w:r>
              <w:rPr>
                <w:rFonts w:ascii="Arial" w:cs="Arial" w:eastAsia="Arial" w:hAnsi="Arial"/>
                <w:sz w:val="14"/>
                <w:szCs w:val="14"/>
                <w:color w:val="auto"/>
              </w:rPr>
              <w:t>8</w:t>
            </w:r>
          </w:p>
        </w:tc>
        <w:tc>
          <w:tcPr>
            <w:tcW w:w="7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w:t>
            </w:r>
          </w:p>
        </w:tc>
        <w:tc>
          <w:tcPr>
            <w:tcW w:w="1200" w:type="dxa"/>
            <w:vAlign w:val="bottom"/>
          </w:tcPr>
          <w:p>
            <w:pPr>
              <w:jc w:val="right"/>
              <w:spacing w:after="0"/>
              <w:rPr>
                <w:sz w:val="20"/>
                <w:szCs w:val="20"/>
                <w:color w:val="auto"/>
              </w:rPr>
            </w:pPr>
            <w:r>
              <w:rPr>
                <w:rFonts w:ascii="Arial" w:cs="Arial" w:eastAsia="Arial" w:hAnsi="Arial"/>
                <w:sz w:val="14"/>
                <w:szCs w:val="14"/>
                <w:color w:val="auto"/>
              </w:rPr>
              <w:t>7</w:t>
            </w:r>
          </w:p>
        </w:tc>
        <w:tc>
          <w:tcPr>
            <w:tcW w:w="7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6"/>
                <w:szCs w:val="16"/>
                <w:color w:val="auto"/>
              </w:rPr>
            </w:pPr>
          </w:p>
        </w:tc>
      </w:tr>
      <w:tr>
        <w:trPr>
          <w:trHeight w:val="189"/>
        </w:trPr>
        <w:tc>
          <w:tcPr>
            <w:tcW w:w="6380" w:type="dxa"/>
            <w:vAlign w:val="bottom"/>
            <w:shd w:val="clear" w:color="auto" w:fill="E5E5E5"/>
          </w:tcPr>
          <w:p>
            <w:pPr>
              <w:ind w:left="20"/>
              <w:spacing w:after="0"/>
              <w:rPr>
                <w:sz w:val="20"/>
                <w:szCs w:val="20"/>
                <w:color w:val="auto"/>
              </w:rPr>
            </w:pPr>
            <w:r>
              <w:rPr>
                <w:rFonts w:ascii="Arial" w:cs="Arial" w:eastAsia="Arial" w:hAnsi="Arial"/>
                <w:sz w:val="14"/>
                <w:szCs w:val="14"/>
                <w:color w:val="auto"/>
              </w:rPr>
              <w:t>Expected return on plan assets</w:t>
            </w: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w:t>
            </w:r>
          </w:p>
        </w:tc>
        <w:tc>
          <w:tcPr>
            <w:tcW w:w="720" w:type="dxa"/>
            <w:vAlign w:val="bottom"/>
            <w:shd w:val="clear" w:color="auto" w:fill="E5E5E5"/>
          </w:tcPr>
          <w:p>
            <w:pPr>
              <w:spacing w:after="0"/>
              <w:rPr>
                <w:sz w:val="16"/>
                <w:szCs w:val="16"/>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w:t>
            </w:r>
          </w:p>
        </w:tc>
        <w:tc>
          <w:tcPr>
            <w:tcW w:w="700" w:type="dxa"/>
            <w:vAlign w:val="bottom"/>
            <w:shd w:val="clear" w:color="auto" w:fill="E5E5E5"/>
          </w:tcPr>
          <w:p>
            <w:pPr>
              <w:spacing w:after="0"/>
              <w:rPr>
                <w:sz w:val="16"/>
                <w:szCs w:val="16"/>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6"/>
                <w:szCs w:val="16"/>
                <w:color w:val="auto"/>
              </w:rPr>
            </w:pPr>
          </w:p>
        </w:tc>
      </w:tr>
      <w:tr>
        <w:trPr>
          <w:trHeight w:val="189"/>
        </w:trPr>
        <w:tc>
          <w:tcPr>
            <w:tcW w:w="6380" w:type="dxa"/>
            <w:vAlign w:val="bottom"/>
          </w:tcPr>
          <w:p>
            <w:pPr>
              <w:ind w:left="20"/>
              <w:spacing w:after="0"/>
              <w:rPr>
                <w:sz w:val="20"/>
                <w:szCs w:val="20"/>
                <w:color w:val="auto"/>
              </w:rPr>
            </w:pPr>
            <w:r>
              <w:rPr>
                <w:rFonts w:ascii="Arial" w:cs="Arial" w:eastAsia="Arial" w:hAnsi="Arial"/>
                <w:sz w:val="14"/>
                <w:szCs w:val="14"/>
                <w:color w:val="auto"/>
              </w:rPr>
              <w:t>Recognition of net actuarial loss</w:t>
            </w:r>
          </w:p>
        </w:tc>
        <w:tc>
          <w:tcPr>
            <w:tcW w:w="1220" w:type="dxa"/>
            <w:vAlign w:val="bottom"/>
          </w:tcPr>
          <w:p>
            <w:pPr>
              <w:jc w:val="right"/>
              <w:spacing w:after="0"/>
              <w:rPr>
                <w:sz w:val="20"/>
                <w:szCs w:val="20"/>
                <w:color w:val="auto"/>
              </w:rPr>
            </w:pPr>
            <w:r>
              <w:rPr>
                <w:rFonts w:ascii="Arial" w:cs="Arial" w:eastAsia="Arial" w:hAnsi="Arial"/>
                <w:sz w:val="14"/>
                <w:szCs w:val="14"/>
                <w:color w:val="auto"/>
              </w:rPr>
              <w:t>6</w:t>
            </w:r>
          </w:p>
        </w:tc>
        <w:tc>
          <w:tcPr>
            <w:tcW w:w="7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7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6"/>
                <w:szCs w:val="16"/>
                <w:color w:val="auto"/>
              </w:rPr>
            </w:pPr>
          </w:p>
        </w:tc>
      </w:tr>
      <w:tr>
        <w:trPr>
          <w:trHeight w:val="189"/>
        </w:trPr>
        <w:tc>
          <w:tcPr>
            <w:tcW w:w="638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Recognition of prior service credit</w:t>
            </w:r>
          </w:p>
        </w:tc>
        <w:tc>
          <w:tcPr>
            <w:tcW w:w="12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720" w:type="dxa"/>
            <w:vAlign w:val="bottom"/>
            <w:tcBorders>
              <w:bottom w:val="single" w:sz="8" w:color="8C8272"/>
            </w:tcBorders>
            <w:shd w:val="clear" w:color="auto" w:fill="E5E5E5"/>
          </w:tcPr>
          <w:p>
            <w:pPr>
              <w:spacing w:after="0"/>
              <w:rPr>
                <w:sz w:val="16"/>
                <w:szCs w:val="16"/>
                <w:color w:val="auto"/>
              </w:rPr>
            </w:pPr>
          </w:p>
        </w:tc>
        <w:tc>
          <w:tcPr>
            <w:tcW w:w="4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900" w:type="dxa"/>
            <w:vAlign w:val="bottom"/>
            <w:tcBorders>
              <w:bottom w:val="single" w:sz="8" w:color="8C8272"/>
            </w:tcBorders>
            <w:gridSpan w:val="2"/>
            <w:shd w:val="clear" w:color="auto" w:fill="E5E5E5"/>
          </w:tcPr>
          <w:p>
            <w:pPr>
              <w:jc w:val="right"/>
              <w:ind w:right="7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r>
      <w:tr>
        <w:trPr>
          <w:trHeight w:val="183"/>
        </w:trPr>
        <w:tc>
          <w:tcPr>
            <w:tcW w:w="6380" w:type="dxa"/>
            <w:vAlign w:val="bottom"/>
          </w:tcPr>
          <w:p>
            <w:pPr>
              <w:ind w:left="20"/>
              <w:spacing w:after="0"/>
              <w:rPr>
                <w:sz w:val="20"/>
                <w:szCs w:val="20"/>
                <w:color w:val="auto"/>
              </w:rPr>
            </w:pPr>
            <w:r>
              <w:rPr>
                <w:rFonts w:ascii="Arial" w:cs="Arial" w:eastAsia="Arial" w:hAnsi="Arial"/>
                <w:sz w:val="14"/>
                <w:szCs w:val="14"/>
                <w:color w:val="auto"/>
              </w:rPr>
              <w:t>TOTAL PERIODIC OTHER POSTRETIREMENT BENEFIT COST</w:t>
            </w:r>
          </w:p>
        </w:tc>
        <w:tc>
          <w:tcPr>
            <w:tcW w:w="1220" w:type="dxa"/>
            <w:vAlign w:val="bottom"/>
          </w:tcPr>
          <w:p>
            <w:pPr>
              <w:jc w:val="right"/>
              <w:spacing w:after="0"/>
              <w:rPr>
                <w:sz w:val="20"/>
                <w:szCs w:val="20"/>
                <w:color w:val="auto"/>
              </w:rPr>
            </w:pPr>
            <w:r>
              <w:rPr>
                <w:rFonts w:ascii="Arial" w:cs="Arial" w:eastAsia="Arial" w:hAnsi="Arial"/>
                <w:sz w:val="14"/>
                <w:szCs w:val="14"/>
                <w:color w:val="auto"/>
              </w:rPr>
              <w:t>$3</w:t>
            </w:r>
          </w:p>
        </w:tc>
        <w:tc>
          <w:tcPr>
            <w:tcW w:w="7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w:t>
            </w:r>
          </w:p>
        </w:tc>
        <w:tc>
          <w:tcPr>
            <w:tcW w:w="7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r>
      <w:tr>
        <w:trPr>
          <w:trHeight w:val="189"/>
        </w:trPr>
        <w:tc>
          <w:tcPr>
            <w:tcW w:w="638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Cost capitalized</w:t>
            </w: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720" w:type="dxa"/>
            <w:vAlign w:val="bottom"/>
            <w:shd w:val="clear" w:color="auto" w:fill="E5E5E5"/>
          </w:tcPr>
          <w:p>
            <w:pPr>
              <w:spacing w:after="0"/>
              <w:rPr>
                <w:sz w:val="16"/>
                <w:szCs w:val="16"/>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700" w:type="dxa"/>
            <w:vAlign w:val="bottom"/>
            <w:shd w:val="clear" w:color="auto" w:fill="E5E5E5"/>
          </w:tcPr>
          <w:p>
            <w:pPr>
              <w:spacing w:after="0"/>
              <w:rPr>
                <w:sz w:val="16"/>
                <w:szCs w:val="16"/>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6"/>
                <w:szCs w:val="16"/>
                <w:color w:val="auto"/>
              </w:rPr>
            </w:pPr>
          </w:p>
        </w:tc>
      </w:tr>
      <w:tr>
        <w:trPr>
          <w:trHeight w:val="189"/>
        </w:trPr>
        <w:tc>
          <w:tcPr>
            <w:tcW w:w="638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Reconciliation to rate level</w:t>
            </w:r>
          </w:p>
        </w:tc>
        <w:tc>
          <w:tcPr>
            <w:tcW w:w="122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C8272"/>
            </w:tcBorders>
          </w:tcPr>
          <w:p>
            <w:pPr>
              <w:spacing w:after="0"/>
              <w:rPr>
                <w:sz w:val="16"/>
                <w:szCs w:val="16"/>
                <w:color w:val="auto"/>
              </w:rPr>
            </w:pPr>
          </w:p>
        </w:tc>
        <w:tc>
          <w:tcPr>
            <w:tcW w:w="4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w:t>
            </w:r>
          </w:p>
        </w:tc>
        <w:tc>
          <w:tcPr>
            <w:tcW w:w="12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w:t>
            </w:r>
          </w:p>
        </w:tc>
        <w:tc>
          <w:tcPr>
            <w:tcW w:w="700" w:type="dxa"/>
            <w:vAlign w:val="bottom"/>
            <w:tcBorders>
              <w:bottom w:val="single" w:sz="8" w:color="8C8272"/>
            </w:tcBorders>
          </w:tcPr>
          <w:p>
            <w:pPr>
              <w:spacing w:after="0"/>
              <w:rPr>
                <w:sz w:val="16"/>
                <w:szCs w:val="16"/>
                <w:color w:val="auto"/>
              </w:rPr>
            </w:pPr>
          </w:p>
        </w:tc>
        <w:tc>
          <w:tcPr>
            <w:tcW w:w="5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8C8272"/>
            </w:tcBorders>
          </w:tcPr>
          <w:p>
            <w:pPr>
              <w:spacing w:after="0"/>
              <w:rPr>
                <w:sz w:val="16"/>
                <w:szCs w:val="16"/>
                <w:color w:val="auto"/>
              </w:rPr>
            </w:pPr>
          </w:p>
        </w:tc>
      </w:tr>
      <w:tr>
        <w:trPr>
          <w:trHeight w:val="182"/>
        </w:trPr>
        <w:tc>
          <w:tcPr>
            <w:tcW w:w="638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Total credit recognized</w:t>
            </w:r>
          </w:p>
        </w:tc>
        <w:tc>
          <w:tcPr>
            <w:tcW w:w="1940" w:type="dxa"/>
            <w:vAlign w:val="bottom"/>
            <w:tcBorders>
              <w:bottom w:val="single" w:sz="8" w:color="8C8272"/>
            </w:tcBorders>
            <w:gridSpan w:val="2"/>
            <w:shd w:val="clear" w:color="auto" w:fill="E5E5E5"/>
          </w:tcPr>
          <w:p>
            <w:pPr>
              <w:jc w:val="right"/>
              <w:ind w:right="80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C8272"/>
            </w:tcBorders>
            <w:shd w:val="clear" w:color="auto" w:fill="E8E8E8"/>
          </w:tcPr>
          <w:p>
            <w:pPr>
              <w:jc w:val="right"/>
              <w:spacing w:after="0"/>
              <w:rPr>
                <w:sz w:val="20"/>
                <w:szCs w:val="20"/>
                <w:color w:val="auto"/>
              </w:rPr>
            </w:pPr>
            <w:r>
              <w:rPr>
                <w:rFonts w:ascii="Arial" w:cs="Arial" w:eastAsia="Arial" w:hAnsi="Arial"/>
                <w:sz w:val="14"/>
                <w:szCs w:val="14"/>
                <w:color w:val="auto"/>
              </w:rPr>
              <w:t>$(1)</w:t>
            </w:r>
          </w:p>
        </w:tc>
        <w:tc>
          <w:tcPr>
            <w:tcW w:w="700" w:type="dxa"/>
            <w:vAlign w:val="bottom"/>
            <w:tcBorders>
              <w:bottom w:val="single" w:sz="8" w:color="8C8272"/>
            </w:tcBorders>
            <w:shd w:val="clear" w:color="auto" w:fill="E5E5E5"/>
          </w:tcPr>
          <w:p>
            <w:pPr>
              <w:spacing w:after="0"/>
              <w:rPr>
                <w:sz w:val="15"/>
                <w:szCs w:val="15"/>
                <w:color w:val="auto"/>
              </w:rPr>
            </w:pPr>
          </w:p>
        </w:tc>
        <w:tc>
          <w:tcPr>
            <w:tcW w:w="5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-128270</wp:posOffset>
            </wp:positionV>
            <wp:extent cx="825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-102235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-85090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-67945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-50800</wp:posOffset>
            </wp:positionV>
            <wp:extent cx="825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-33655</wp:posOffset>
            </wp:positionV>
            <wp:extent cx="825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-16510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-256540</wp:posOffset>
            </wp:positionV>
            <wp:extent cx="8255"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-1233805</wp:posOffset>
            </wp:positionV>
            <wp:extent cx="771525" cy="11061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1525" cy="110617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80" w:type="dxa"/>
            <w:vAlign w:val="bottom"/>
            <w:tcBorders>
              <w:bottom w:val="single" w:sz="8" w:color="8C8272"/>
            </w:tcBorders>
          </w:tcPr>
          <w:p>
            <w:pPr>
              <w:spacing w:after="0"/>
              <w:rPr>
                <w:sz w:val="16"/>
                <w:szCs w:val="16"/>
                <w:color w:val="auto"/>
              </w:rPr>
            </w:pPr>
          </w:p>
        </w:tc>
        <w:tc>
          <w:tcPr>
            <w:tcW w:w="1200" w:type="dxa"/>
            <w:vAlign w:val="bottom"/>
            <w:tcBorders>
              <w:bottom w:val="single" w:sz="8" w:color="8C8272"/>
            </w:tcBorders>
          </w:tcPr>
          <w:p>
            <w:pPr>
              <w:spacing w:after="0"/>
              <w:rPr>
                <w:sz w:val="16"/>
                <w:szCs w:val="16"/>
                <w:color w:val="auto"/>
              </w:rPr>
            </w:pPr>
          </w:p>
        </w:tc>
        <w:tc>
          <w:tcPr>
            <w:tcW w:w="3000" w:type="dxa"/>
            <w:vAlign w:val="bottom"/>
            <w:tcBorders>
              <w:bottom w:val="single" w:sz="8" w:color="8C8272"/>
            </w:tcBorders>
            <w:gridSpan w:val="4"/>
          </w:tcPr>
          <w:p>
            <w:pPr>
              <w:spacing w:after="0"/>
              <w:rPr>
                <w:sz w:val="20"/>
                <w:szCs w:val="20"/>
                <w:color w:val="auto"/>
              </w:rPr>
            </w:pPr>
            <w:r>
              <w:rPr>
                <w:rFonts w:ascii="Arial" w:cs="Arial" w:eastAsia="Arial" w:hAnsi="Arial"/>
                <w:sz w:val="14"/>
                <w:szCs w:val="14"/>
                <w:b w:val="1"/>
                <w:bCs w:val="1"/>
                <w:color w:val="auto"/>
              </w:rPr>
              <w:t>For the Six Months Ended June 30,</w:t>
            </w:r>
          </w:p>
        </w:tc>
        <w:tc>
          <w:tcPr>
            <w:tcW w:w="600" w:type="dxa"/>
            <w:vAlign w:val="bottom"/>
            <w:tcBorders>
              <w:bottom w:val="single" w:sz="8" w:color="8C8272"/>
            </w:tcBorders>
          </w:tcPr>
          <w:p>
            <w:pPr>
              <w:spacing w:after="0"/>
              <w:rPr>
                <w:sz w:val="16"/>
                <w:szCs w:val="16"/>
                <w:color w:val="auto"/>
              </w:rPr>
            </w:pPr>
          </w:p>
        </w:tc>
      </w:tr>
      <w:tr>
        <w:trPr>
          <w:trHeight w:val="223"/>
        </w:trPr>
        <w:tc>
          <w:tcPr>
            <w:tcW w:w="6380" w:type="dxa"/>
            <w:vAlign w:val="bottom"/>
            <w:tcBorders>
              <w:bottom w:val="single" w:sz="8" w:color="8C8272"/>
            </w:tcBorders>
          </w:tcPr>
          <w:p>
            <w:pPr>
              <w:spacing w:after="0"/>
              <w:rPr>
                <w:sz w:val="19"/>
                <w:szCs w:val="19"/>
                <w:color w:val="auto"/>
              </w:rPr>
            </w:pPr>
          </w:p>
        </w:tc>
        <w:tc>
          <w:tcPr>
            <w:tcW w:w="2400" w:type="dxa"/>
            <w:vAlign w:val="bottom"/>
            <w:tcBorders>
              <w:bottom w:val="single" w:sz="8" w:color="8C8272"/>
            </w:tcBorders>
            <w:gridSpan w:val="3"/>
          </w:tcPr>
          <w:p>
            <w:pPr>
              <w:jc w:val="right"/>
              <w:ind w:right="728"/>
              <w:spacing w:after="0"/>
              <w:rPr>
                <w:sz w:val="20"/>
                <w:szCs w:val="20"/>
                <w:color w:val="auto"/>
              </w:rPr>
            </w:pPr>
            <w:r>
              <w:rPr>
                <w:rFonts w:ascii="Arial" w:cs="Arial" w:eastAsia="Arial" w:hAnsi="Arial"/>
                <w:sz w:val="14"/>
                <w:szCs w:val="14"/>
                <w:b w:val="1"/>
                <w:bCs w:val="1"/>
                <w:color w:val="auto"/>
              </w:rPr>
              <w:t>Con Edison</w:t>
            </w:r>
          </w:p>
        </w:tc>
        <w:tc>
          <w:tcPr>
            <w:tcW w:w="1800" w:type="dxa"/>
            <w:vAlign w:val="bottom"/>
            <w:tcBorders>
              <w:bottom w:val="single" w:sz="8" w:color="8C8272"/>
            </w:tcBorders>
            <w:gridSpan w:val="2"/>
          </w:tcPr>
          <w:p>
            <w:pPr>
              <w:ind w:left="900"/>
              <w:spacing w:after="0"/>
              <w:rPr>
                <w:sz w:val="20"/>
                <w:szCs w:val="20"/>
                <w:color w:val="auto"/>
              </w:rPr>
            </w:pPr>
            <w:r>
              <w:rPr>
                <w:rFonts w:ascii="Arial" w:cs="Arial" w:eastAsia="Arial" w:hAnsi="Arial"/>
                <w:sz w:val="14"/>
                <w:szCs w:val="14"/>
                <w:b w:val="1"/>
                <w:bCs w:val="1"/>
                <w:color w:val="auto"/>
              </w:rPr>
              <w:t>CECONY</w:t>
            </w:r>
          </w:p>
        </w:tc>
        <w:tc>
          <w:tcPr>
            <w:tcW w:w="600" w:type="dxa"/>
            <w:vAlign w:val="bottom"/>
            <w:tcBorders>
              <w:bottom w:val="single" w:sz="8" w:color="8C8272"/>
            </w:tcBorders>
          </w:tcPr>
          <w:p>
            <w:pPr>
              <w:spacing w:after="0"/>
              <w:rPr>
                <w:sz w:val="19"/>
                <w:szCs w:val="19"/>
                <w:color w:val="auto"/>
              </w:rPr>
            </w:pPr>
          </w:p>
        </w:tc>
      </w:tr>
      <w:tr>
        <w:trPr>
          <w:trHeight w:val="183"/>
        </w:trPr>
        <w:tc>
          <w:tcPr>
            <w:tcW w:w="638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2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8C8272"/>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8C8272"/>
            </w:tcBorders>
          </w:tcPr>
          <w:p>
            <w:pPr>
              <w:spacing w:after="0"/>
              <w:rPr>
                <w:sz w:val="15"/>
                <w:szCs w:val="15"/>
                <w:color w:val="auto"/>
              </w:rPr>
            </w:pPr>
          </w:p>
        </w:tc>
        <w:tc>
          <w:tcPr>
            <w:tcW w:w="6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6380" w:type="dxa"/>
            <w:vAlign w:val="bottom"/>
            <w:shd w:val="clear" w:color="auto" w:fill="E5E5E5"/>
          </w:tcPr>
          <w:p>
            <w:pPr>
              <w:ind w:left="20"/>
              <w:spacing w:after="0"/>
              <w:rPr>
                <w:sz w:val="20"/>
                <w:szCs w:val="20"/>
                <w:color w:val="auto"/>
              </w:rPr>
            </w:pPr>
            <w:r>
              <w:rPr>
                <w:rFonts w:ascii="Arial" w:cs="Arial" w:eastAsia="Arial" w:hAnsi="Arial"/>
                <w:sz w:val="14"/>
                <w:szCs w:val="14"/>
                <w:color w:val="auto"/>
              </w:rPr>
              <w:t>Service cost - including administrative expenses</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w:t>
            </w:r>
          </w:p>
        </w:tc>
        <w:tc>
          <w:tcPr>
            <w:tcW w:w="12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600" w:type="dxa"/>
            <w:vAlign w:val="bottom"/>
            <w:shd w:val="clear" w:color="auto" w:fill="E5E5E5"/>
          </w:tcPr>
          <w:p>
            <w:pPr>
              <w:spacing w:after="0"/>
              <w:rPr>
                <w:sz w:val="15"/>
                <w:szCs w:val="15"/>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w:t>
            </w:r>
          </w:p>
        </w:tc>
      </w:tr>
      <w:tr>
        <w:trPr>
          <w:trHeight w:val="189"/>
        </w:trPr>
        <w:tc>
          <w:tcPr>
            <w:tcW w:w="6380" w:type="dxa"/>
            <w:vAlign w:val="bottom"/>
          </w:tcPr>
          <w:p>
            <w:pPr>
              <w:ind w:left="20"/>
              <w:spacing w:after="0"/>
              <w:rPr>
                <w:sz w:val="20"/>
                <w:szCs w:val="20"/>
                <w:color w:val="auto"/>
              </w:rPr>
            </w:pPr>
            <w:r>
              <w:rPr>
                <w:rFonts w:ascii="Arial" w:cs="Arial" w:eastAsia="Arial" w:hAnsi="Arial"/>
                <w:sz w:val="14"/>
                <w:szCs w:val="14"/>
                <w:color w:val="auto"/>
              </w:rPr>
              <w:t>Interest cost on projected other postretirement benefit obligation</w:t>
            </w:r>
          </w:p>
        </w:tc>
        <w:tc>
          <w:tcPr>
            <w:tcW w:w="1200" w:type="dxa"/>
            <w:vAlign w:val="bottom"/>
          </w:tcPr>
          <w:p>
            <w:pPr>
              <w:jc w:val="right"/>
              <w:spacing w:after="0"/>
              <w:rPr>
                <w:sz w:val="20"/>
                <w:szCs w:val="20"/>
                <w:color w:val="auto"/>
              </w:rPr>
            </w:pPr>
            <w:r>
              <w:rPr>
                <w:rFonts w:ascii="Arial" w:cs="Arial" w:eastAsia="Arial" w:hAnsi="Arial"/>
                <w:sz w:val="14"/>
                <w:szCs w:val="14"/>
                <w:color w:val="auto"/>
              </w:rPr>
              <w:t>16</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1200" w:type="dxa"/>
            <w:vAlign w:val="bottom"/>
          </w:tcPr>
          <w:p>
            <w:pPr>
              <w:jc w:val="right"/>
              <w:spacing w:after="0"/>
              <w:rPr>
                <w:sz w:val="20"/>
                <w:szCs w:val="20"/>
                <w:color w:val="auto"/>
              </w:rPr>
            </w:pPr>
            <w:r>
              <w:rPr>
                <w:rFonts w:ascii="Arial" w:cs="Arial" w:eastAsia="Arial" w:hAnsi="Arial"/>
                <w:sz w:val="14"/>
                <w:szCs w:val="14"/>
                <w:color w:val="auto"/>
              </w:rPr>
              <w:t>13</w:t>
            </w:r>
          </w:p>
        </w:tc>
        <w:tc>
          <w:tcPr>
            <w:tcW w:w="6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9"/>
        </w:trPr>
        <w:tc>
          <w:tcPr>
            <w:tcW w:w="6380" w:type="dxa"/>
            <w:vAlign w:val="bottom"/>
            <w:shd w:val="clear" w:color="auto" w:fill="E5E5E5"/>
          </w:tcPr>
          <w:p>
            <w:pPr>
              <w:ind w:left="20"/>
              <w:spacing w:after="0"/>
              <w:rPr>
                <w:sz w:val="20"/>
                <w:szCs w:val="20"/>
                <w:color w:val="auto"/>
              </w:rPr>
            </w:pPr>
            <w:r>
              <w:rPr>
                <w:rFonts w:ascii="Arial" w:cs="Arial" w:eastAsia="Arial" w:hAnsi="Arial"/>
                <w:sz w:val="14"/>
                <w:szCs w:val="14"/>
                <w:color w:val="auto"/>
              </w:rPr>
              <w:t>Expected return on plan assets</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w:t>
            </w:r>
          </w:p>
        </w:tc>
        <w:tc>
          <w:tcPr>
            <w:tcW w:w="12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(33)</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w:t>
            </w:r>
          </w:p>
        </w:tc>
        <w:tc>
          <w:tcPr>
            <w:tcW w:w="600" w:type="dxa"/>
            <w:vAlign w:val="bottom"/>
            <w:shd w:val="clear" w:color="auto" w:fill="E5E5E5"/>
          </w:tcPr>
          <w:p>
            <w:pPr>
              <w:spacing w:after="0"/>
              <w:rPr>
                <w:sz w:val="16"/>
                <w:szCs w:val="16"/>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w:t>
            </w:r>
          </w:p>
        </w:tc>
      </w:tr>
      <w:tr>
        <w:trPr>
          <w:trHeight w:val="189"/>
        </w:trPr>
        <w:tc>
          <w:tcPr>
            <w:tcW w:w="6380" w:type="dxa"/>
            <w:vAlign w:val="bottom"/>
          </w:tcPr>
          <w:p>
            <w:pPr>
              <w:ind w:left="20"/>
              <w:spacing w:after="0"/>
              <w:rPr>
                <w:sz w:val="20"/>
                <w:szCs w:val="20"/>
                <w:color w:val="auto"/>
              </w:rPr>
            </w:pPr>
            <w:r>
              <w:rPr>
                <w:rFonts w:ascii="Arial" w:cs="Arial" w:eastAsia="Arial" w:hAnsi="Arial"/>
                <w:sz w:val="14"/>
                <w:szCs w:val="14"/>
                <w:color w:val="auto"/>
              </w:rPr>
              <w:t>Recognition of net actuarial loss</w:t>
            </w:r>
          </w:p>
        </w:tc>
        <w:tc>
          <w:tcPr>
            <w:tcW w:w="1200" w:type="dxa"/>
            <w:vAlign w:val="bottom"/>
          </w:tcPr>
          <w:p>
            <w:pPr>
              <w:jc w:val="right"/>
              <w:spacing w:after="0"/>
              <w:rPr>
                <w:sz w:val="20"/>
                <w:szCs w:val="20"/>
                <w:color w:val="auto"/>
              </w:rPr>
            </w:pPr>
            <w:r>
              <w:rPr>
                <w:rFonts w:ascii="Arial" w:cs="Arial" w:eastAsia="Arial" w:hAnsi="Arial"/>
                <w:sz w:val="14"/>
                <w:szCs w:val="14"/>
                <w:color w:val="auto"/>
              </w:rPr>
              <w:t>12</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6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89"/>
        </w:trPr>
        <w:tc>
          <w:tcPr>
            <w:tcW w:w="638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Recognition of prior service credit</w:t>
            </w:r>
          </w:p>
        </w:tc>
        <w:tc>
          <w:tcPr>
            <w:tcW w:w="12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0" w:type="dxa"/>
            <w:vAlign w:val="bottom"/>
            <w:tcBorders>
              <w:bottom w:val="single" w:sz="8" w:color="8C8272"/>
            </w:tcBorders>
            <w:gridSpan w:val="2"/>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600" w:type="dxa"/>
            <w:vAlign w:val="bottom"/>
            <w:tcBorders>
              <w:bottom w:val="single" w:sz="8" w:color="8C8272"/>
            </w:tcBorders>
            <w:shd w:val="clear" w:color="auto" w:fill="E5E5E5"/>
          </w:tcPr>
          <w:p>
            <w:pPr>
              <w:spacing w:after="0"/>
              <w:rPr>
                <w:sz w:val="16"/>
                <w:szCs w:val="16"/>
                <w:color w:val="auto"/>
              </w:rPr>
            </w:pPr>
          </w:p>
        </w:tc>
        <w:tc>
          <w:tcPr>
            <w:tcW w:w="6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w:t>
            </w:r>
          </w:p>
        </w:tc>
      </w:tr>
      <w:tr>
        <w:trPr>
          <w:trHeight w:val="182"/>
        </w:trPr>
        <w:tc>
          <w:tcPr>
            <w:tcW w:w="6380" w:type="dxa"/>
            <w:vAlign w:val="bottom"/>
          </w:tcPr>
          <w:p>
            <w:pPr>
              <w:ind w:left="20"/>
              <w:spacing w:after="0"/>
              <w:rPr>
                <w:sz w:val="20"/>
                <w:szCs w:val="20"/>
                <w:color w:val="auto"/>
              </w:rPr>
            </w:pPr>
            <w:r>
              <w:rPr>
                <w:rFonts w:ascii="Arial" w:cs="Arial" w:eastAsia="Arial" w:hAnsi="Arial"/>
                <w:sz w:val="14"/>
                <w:szCs w:val="14"/>
                <w:color w:val="auto"/>
              </w:rPr>
              <w:t>TOTAL PERIODIC OTHER POSTRETIREMENT BENEFIT COST</w:t>
            </w: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6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89"/>
        </w:trPr>
        <w:tc>
          <w:tcPr>
            <w:tcW w:w="638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Cost capitalized</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12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600" w:type="dxa"/>
            <w:vAlign w:val="bottom"/>
            <w:shd w:val="clear" w:color="auto" w:fill="E5E5E5"/>
          </w:tcPr>
          <w:p>
            <w:pPr>
              <w:spacing w:after="0"/>
              <w:rPr>
                <w:sz w:val="16"/>
                <w:szCs w:val="16"/>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6380" w:type="dxa"/>
            <w:vAlign w:val="bottom"/>
          </w:tcPr>
          <w:p>
            <w:pPr>
              <w:ind w:left="20"/>
              <w:spacing w:after="0"/>
              <w:rPr>
                <w:sz w:val="20"/>
                <w:szCs w:val="20"/>
                <w:color w:val="auto"/>
              </w:rPr>
            </w:pPr>
            <w:r>
              <w:rPr>
                <w:rFonts w:ascii="Arial" w:cs="Arial" w:eastAsia="Arial" w:hAnsi="Arial"/>
                <w:sz w:val="14"/>
                <w:szCs w:val="14"/>
                <w:color w:val="auto"/>
              </w:rPr>
              <w:t>Reconciliation to rate level</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1200" w:type="dxa"/>
            <w:vAlign w:val="bottom"/>
          </w:tcPr>
          <w:p>
            <w:pPr>
              <w:jc w:val="right"/>
              <w:spacing w:after="0"/>
              <w:rPr>
                <w:sz w:val="20"/>
                <w:szCs w:val="20"/>
                <w:color w:val="auto"/>
              </w:rPr>
            </w:pPr>
            <w:r>
              <w:rPr>
                <w:rFonts w:ascii="Arial" w:cs="Arial" w:eastAsia="Arial" w:hAnsi="Arial"/>
                <w:sz w:val="14"/>
                <w:szCs w:val="14"/>
                <w:color w:val="auto"/>
              </w:rPr>
              <w:t>(3)</w:t>
            </w:r>
          </w:p>
        </w:tc>
        <w:tc>
          <w:tcPr>
            <w:tcW w:w="6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83"/>
        </w:trPr>
        <w:tc>
          <w:tcPr>
            <w:tcW w:w="6380" w:type="dxa"/>
            <w:vAlign w:val="bottom"/>
            <w:tcBorders>
              <w:top w:val="single" w:sz="8" w:color="8C8272"/>
              <w:bottom w:val="single" w:sz="8" w:color="929292"/>
            </w:tcBorders>
            <w:shd w:val="clear" w:color="auto" w:fill="E5E5E5"/>
          </w:tcPr>
          <w:p>
            <w:pPr>
              <w:ind w:left="20"/>
              <w:spacing w:after="0"/>
              <w:rPr>
                <w:sz w:val="20"/>
                <w:szCs w:val="20"/>
                <w:color w:val="auto"/>
              </w:rPr>
            </w:pPr>
            <w:r>
              <w:rPr>
                <w:rFonts w:ascii="Arial" w:cs="Arial" w:eastAsia="Arial" w:hAnsi="Arial"/>
                <w:sz w:val="14"/>
                <w:szCs w:val="14"/>
                <w:color w:val="auto"/>
              </w:rPr>
              <w:t>Total credit recognized</w:t>
            </w:r>
          </w:p>
        </w:tc>
        <w:tc>
          <w:tcPr>
            <w:tcW w:w="1200" w:type="dxa"/>
            <w:vAlign w:val="bottom"/>
            <w:tcBorders>
              <w:top w:val="single" w:sz="8" w:color="929292"/>
              <w:bottom w:val="single" w:sz="8" w:color="929292"/>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929292"/>
              <w:bottom w:val="single" w:sz="8" w:color="929292"/>
            </w:tcBorders>
            <w:shd w:val="clear" w:color="auto" w:fill="E5E5E5"/>
          </w:tcPr>
          <w:p>
            <w:pPr>
              <w:spacing w:after="0"/>
              <w:rPr>
                <w:sz w:val="15"/>
                <w:szCs w:val="15"/>
                <w:color w:val="auto"/>
              </w:rPr>
            </w:pPr>
          </w:p>
        </w:tc>
        <w:tc>
          <w:tcPr>
            <w:tcW w:w="1180" w:type="dxa"/>
            <w:vAlign w:val="bottom"/>
            <w:tcBorders>
              <w:top w:val="single" w:sz="8" w:color="8C8272"/>
              <w:bottom w:val="single" w:sz="8" w:color="929292"/>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8C8272"/>
              <w:bottom w:val="single" w:sz="8" w:color="929292"/>
            </w:tcBorders>
            <w:shd w:val="clear" w:color="auto" w:fill="E8E8E8"/>
          </w:tcPr>
          <w:p>
            <w:pPr>
              <w:jc w:val="right"/>
              <w:spacing w:after="0"/>
              <w:rPr>
                <w:sz w:val="20"/>
                <w:szCs w:val="20"/>
                <w:color w:val="auto"/>
              </w:rPr>
            </w:pPr>
            <w:r>
              <w:rPr>
                <w:rFonts w:ascii="Arial" w:cs="Arial" w:eastAsia="Arial" w:hAnsi="Arial"/>
                <w:sz w:val="14"/>
                <w:szCs w:val="14"/>
                <w:color w:val="auto"/>
              </w:rPr>
              <w:t>$(3)</w:t>
            </w:r>
          </w:p>
        </w:tc>
        <w:tc>
          <w:tcPr>
            <w:tcW w:w="600" w:type="dxa"/>
            <w:vAlign w:val="bottom"/>
            <w:tcBorders>
              <w:top w:val="single" w:sz="8" w:color="8C8272"/>
              <w:bottom w:val="single" w:sz="8" w:color="929292"/>
            </w:tcBorders>
            <w:shd w:val="clear" w:color="auto" w:fill="E5E5E5"/>
          </w:tcPr>
          <w:p>
            <w:pPr>
              <w:spacing w:after="0"/>
              <w:rPr>
                <w:sz w:val="15"/>
                <w:szCs w:val="15"/>
                <w:color w:val="auto"/>
              </w:rPr>
            </w:pPr>
          </w:p>
        </w:tc>
        <w:tc>
          <w:tcPr>
            <w:tcW w:w="600" w:type="dxa"/>
            <w:vAlign w:val="bottom"/>
            <w:tcBorders>
              <w:top w:val="single" w:sz="8" w:color="8C8272"/>
              <w:bottom w:val="single" w:sz="8" w:color="929292"/>
            </w:tcBorders>
            <w:shd w:val="clear" w:color="auto" w:fill="E5E5E5"/>
          </w:tcPr>
          <w:p>
            <w:pPr>
              <w:jc w:val="right"/>
              <w:spacing w:after="0"/>
              <w:rPr>
                <w:sz w:val="20"/>
                <w:szCs w:val="20"/>
                <w:color w:val="auto"/>
              </w:rPr>
            </w:pPr>
            <w:r>
              <w:rPr>
                <w:rFonts w:ascii="Arial" w:cs="Arial" w:eastAsia="Arial" w:hAnsi="Arial"/>
                <w:sz w:val="14"/>
                <w:szCs w:val="14"/>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-128270</wp:posOffset>
            </wp:positionV>
            <wp:extent cx="825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-102235</wp:posOffset>
            </wp:positionV>
            <wp:extent cx="82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-85090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-67945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-50800</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-33655</wp:posOffset>
            </wp:positionV>
            <wp:extent cx="82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-16510</wp:posOffset>
            </wp:positionV>
            <wp:extent cx="82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-1233805</wp:posOffset>
            </wp:positionV>
            <wp:extent cx="771525" cy="11055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1525" cy="110553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the presentation of the components of other postretirement benefit costs, see Note 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Contributions</w:t>
      </w:r>
    </w:p>
    <w:p>
      <w:pPr>
        <w:spacing w:after="0" w:line="7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Based on estimates as of June 30, 2021, the Companies expect to make a contribution of $2 million (all of which is to be made by CECONY) to the other postretirement benefit plans in 2021. The Companies' policy is to fund the total periodic benefit cost of the plans to the extent tax deductible.</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31" w:name="page32"/>
    <w:bookmarkEnd w:id="31"/>
    <w:p>
      <w:pPr>
        <w:ind w:left="100"/>
        <w:spacing w:after="0"/>
        <w:rPr>
          <w:sz w:val="20"/>
          <w:szCs w:val="20"/>
          <w:color w:val="auto"/>
        </w:rPr>
      </w:pPr>
      <w:r>
        <w:rPr>
          <w:rFonts w:ascii="Arial" w:cs="Arial" w:eastAsia="Arial" w:hAnsi="Arial"/>
          <w:sz w:val="18"/>
          <w:szCs w:val="18"/>
          <w:b w:val="1"/>
          <w:bCs w:val="1"/>
          <w:color w:val="8C8272"/>
        </w:rPr>
        <w:t>Note G – Environmental Matters</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Superfund Sites</w:t>
      </w:r>
    </w:p>
    <w:p>
      <w:pPr>
        <w:spacing w:after="0" w:line="72" w:lineRule="exact"/>
        <w:rPr>
          <w:sz w:val="20"/>
          <w:szCs w:val="20"/>
          <w:color w:val="auto"/>
        </w:rPr>
      </w:pPr>
    </w:p>
    <w:p>
      <w:pPr>
        <w:ind w:left="100" w:right="160"/>
        <w:spacing w:after="0" w:line="256" w:lineRule="auto"/>
        <w:rPr>
          <w:sz w:val="20"/>
          <w:szCs w:val="20"/>
          <w:color w:val="auto"/>
        </w:rPr>
      </w:pPr>
      <w:r>
        <w:rPr>
          <w:rFonts w:ascii="Arial" w:cs="Arial" w:eastAsia="Arial" w:hAnsi="Arial"/>
          <w:sz w:val="18"/>
          <w:szCs w:val="18"/>
          <w:color w:val="auto"/>
        </w:rPr>
        <w:t>Hazardous substances, such as asbestos, polychlorinated biphenyls (PCBs) and coal tar, have been used or generated in the course of operations of the Utilities and their predecessors and are present at sites and in facilities and equipment they currently or previously owned, including sites at which gas was manufactured or stored.</w:t>
      </w:r>
    </w:p>
    <w:p>
      <w:pPr>
        <w:spacing w:after="0" w:line="107" w:lineRule="exact"/>
        <w:rPr>
          <w:sz w:val="20"/>
          <w:szCs w:val="20"/>
          <w:color w:val="auto"/>
        </w:rPr>
      </w:pPr>
    </w:p>
    <w:p>
      <w:pPr>
        <w:ind w:left="100"/>
        <w:spacing w:after="0" w:line="252" w:lineRule="auto"/>
        <w:rPr>
          <w:sz w:val="20"/>
          <w:szCs w:val="20"/>
          <w:color w:val="auto"/>
        </w:rPr>
      </w:pPr>
      <w:r>
        <w:rPr>
          <w:rFonts w:ascii="Arial" w:cs="Arial" w:eastAsia="Arial" w:hAnsi="Arial"/>
          <w:sz w:val="18"/>
          <w:szCs w:val="18"/>
          <w:color w:val="auto"/>
        </w:rPr>
        <w:t>The Federal Comprehensive Environmental Response, Compensation and Liability Act of 1980 and similar state statutes (Superfund) impose joint and several liability, regardless of fault, upon generators of hazardous substances for investigation and remediation costs (which include costs of demolition, removal, disposal, storage, replacement, containment and monitoring) and natural resource damages. Liability under these laws can be material and may be imposed for contamination from past acts, even though such past acts may have been lawful at the time they occurred. The sites at which the Utilities have been asserted to have liability under these laws, including their manufactured gas plant sites and any neighboring areas to which contamination may have migrated, are referred to herein as “Superfund Sites.”</w:t>
      </w:r>
    </w:p>
    <w:p>
      <w:pPr>
        <w:spacing w:after="0" w:line="113" w:lineRule="exact"/>
        <w:rPr>
          <w:sz w:val="20"/>
          <w:szCs w:val="20"/>
          <w:color w:val="auto"/>
        </w:rPr>
      </w:pPr>
    </w:p>
    <w:p>
      <w:pPr>
        <w:ind w:left="100" w:right="40"/>
        <w:spacing w:after="0" w:line="252" w:lineRule="auto"/>
        <w:rPr>
          <w:sz w:val="20"/>
          <w:szCs w:val="20"/>
          <w:color w:val="auto"/>
        </w:rPr>
      </w:pPr>
      <w:r>
        <w:rPr>
          <w:rFonts w:ascii="Arial" w:cs="Arial" w:eastAsia="Arial" w:hAnsi="Arial"/>
          <w:sz w:val="18"/>
          <w:szCs w:val="18"/>
          <w:color w:val="auto"/>
        </w:rPr>
        <w:t>For Superfund Sites where there are other potentially responsible parties and the Utilities are not managing the site investigation and remediation, the accrued liability represents an estimate of the amount the Utilities will need to pay to investigate and, where determinable, discharge their related obligations. For Superfund Sites (including the manufactured gas plant sites) for which one of the Utilities is managing the investigation and remediation, the accrued liability represents an estimate of the company’s share of the undiscounted cost to investigate the sites and, for sites that have been investigated in whole or in part, the cost to remediate the sites, if remediation is necessary and if a reasonable estimate of such cost can be made. Remediation costs are estimated in light of the information available, applicable remediation standards and experience with similar sites.</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accrued liabilities and regulatory assets related to Superfund Sites at June 30, 2021 and December 31, 2020 were as follows:</w:t>
      </w:r>
    </w:p>
    <w:p>
      <w:pPr>
        <w:spacing w:after="0" w:line="253"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4620" w:type="dxa"/>
            <w:vAlign w:val="bottom"/>
            <w:tcBorders>
              <w:bottom w:val="single" w:sz="8" w:color="8C8272"/>
            </w:tcBorders>
          </w:tcPr>
          <w:p>
            <w:pPr>
              <w:spacing w:after="0"/>
              <w:rPr>
                <w:sz w:val="16"/>
                <w:szCs w:val="16"/>
                <w:color w:val="auto"/>
              </w:rPr>
            </w:pPr>
          </w:p>
        </w:tc>
        <w:tc>
          <w:tcPr>
            <w:tcW w:w="3680" w:type="dxa"/>
            <w:vAlign w:val="bottom"/>
            <w:tcBorders>
              <w:bottom w:val="single" w:sz="8" w:color="8C8272"/>
            </w:tcBorders>
          </w:tcPr>
          <w:p>
            <w:pPr>
              <w:jc w:val="right"/>
              <w:ind w:right="88"/>
              <w:spacing w:after="0"/>
              <w:rPr>
                <w:sz w:val="20"/>
                <w:szCs w:val="20"/>
                <w:color w:val="auto"/>
              </w:rPr>
            </w:pPr>
            <w:r>
              <w:rPr>
                <w:rFonts w:ascii="Arial" w:cs="Arial" w:eastAsia="Arial" w:hAnsi="Arial"/>
                <w:sz w:val="14"/>
                <w:szCs w:val="14"/>
                <w:b w:val="1"/>
                <w:bCs w:val="1"/>
                <w:color w:val="auto"/>
              </w:rPr>
              <w:t>Con Edison</w:t>
            </w:r>
          </w:p>
        </w:tc>
        <w:tc>
          <w:tcPr>
            <w:tcW w:w="900" w:type="dxa"/>
            <w:vAlign w:val="bottom"/>
            <w:tcBorders>
              <w:bottom w:val="single" w:sz="8" w:color="8C8272"/>
            </w:tcBorders>
          </w:tcPr>
          <w:p>
            <w:pPr>
              <w:spacing w:after="0"/>
              <w:rPr>
                <w:sz w:val="16"/>
                <w:szCs w:val="16"/>
                <w:color w:val="auto"/>
              </w:rPr>
            </w:pPr>
          </w:p>
        </w:tc>
        <w:tc>
          <w:tcPr>
            <w:tcW w:w="146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CECONY</w:t>
            </w:r>
          </w:p>
        </w:tc>
        <w:tc>
          <w:tcPr>
            <w:tcW w:w="520" w:type="dxa"/>
            <w:vAlign w:val="bottom"/>
            <w:tcBorders>
              <w:bottom w:val="single" w:sz="8" w:color="8C8272"/>
            </w:tcBorders>
          </w:tcPr>
          <w:p>
            <w:pPr>
              <w:spacing w:after="0"/>
              <w:rPr>
                <w:sz w:val="16"/>
                <w:szCs w:val="16"/>
                <w:color w:val="auto"/>
              </w:rPr>
            </w:pPr>
          </w:p>
        </w:tc>
      </w:tr>
      <w:tr>
        <w:trPr>
          <w:trHeight w:val="183"/>
        </w:trPr>
        <w:tc>
          <w:tcPr>
            <w:tcW w:w="462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680" w:type="dxa"/>
            <w:vAlign w:val="bottom"/>
            <w:tcBorders>
              <w:bottom w:val="single" w:sz="8" w:color="8C8272"/>
            </w:tcBorders>
          </w:tcPr>
          <w:p>
            <w:pPr>
              <w:jc w:val="right"/>
              <w:ind w:right="668"/>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8C8272"/>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460" w:type="dxa"/>
            <w:vAlign w:val="bottom"/>
            <w:tcBorders>
              <w:bottom w:val="single" w:sz="8" w:color="8C8272"/>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4620" w:type="dxa"/>
            <w:vAlign w:val="bottom"/>
            <w:shd w:val="clear" w:color="auto" w:fill="E5E5E5"/>
          </w:tcPr>
          <w:p>
            <w:pPr>
              <w:ind w:left="20"/>
              <w:spacing w:after="0"/>
              <w:rPr>
                <w:sz w:val="20"/>
                <w:szCs w:val="20"/>
                <w:color w:val="auto"/>
              </w:rPr>
            </w:pPr>
            <w:r>
              <w:rPr>
                <w:rFonts w:ascii="Arial" w:cs="Arial" w:eastAsia="Arial" w:hAnsi="Arial"/>
                <w:sz w:val="14"/>
                <w:szCs w:val="14"/>
                <w:color w:val="auto"/>
              </w:rPr>
              <w:t>Accrued Liabilities:</w:t>
            </w:r>
          </w:p>
        </w:tc>
        <w:tc>
          <w:tcPr>
            <w:tcW w:w="368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146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r>
      <w:tr>
        <w:trPr>
          <w:trHeight w:val="189"/>
        </w:trPr>
        <w:tc>
          <w:tcPr>
            <w:tcW w:w="4620" w:type="dxa"/>
            <w:vAlign w:val="bottom"/>
          </w:tcPr>
          <w:p>
            <w:pPr>
              <w:ind w:left="140"/>
              <w:spacing w:after="0"/>
              <w:rPr>
                <w:sz w:val="20"/>
                <w:szCs w:val="20"/>
                <w:color w:val="auto"/>
              </w:rPr>
            </w:pPr>
            <w:r>
              <w:rPr>
                <w:rFonts w:ascii="Arial" w:cs="Arial" w:eastAsia="Arial" w:hAnsi="Arial"/>
                <w:sz w:val="14"/>
                <w:szCs w:val="14"/>
                <w:color w:val="auto"/>
              </w:rPr>
              <w:t>Manufactured gas plant sites</w:t>
            </w:r>
          </w:p>
        </w:tc>
        <w:tc>
          <w:tcPr>
            <w:tcW w:w="3680" w:type="dxa"/>
            <w:vAlign w:val="bottom"/>
          </w:tcPr>
          <w:p>
            <w:pPr>
              <w:jc w:val="right"/>
              <w:ind w:right="668"/>
              <w:spacing w:after="0"/>
              <w:rPr>
                <w:sz w:val="20"/>
                <w:szCs w:val="20"/>
                <w:color w:val="auto"/>
              </w:rPr>
            </w:pPr>
            <w:r>
              <w:rPr>
                <w:rFonts w:ascii="Arial" w:cs="Arial" w:eastAsia="Arial" w:hAnsi="Arial"/>
                <w:sz w:val="14"/>
                <w:szCs w:val="14"/>
                <w:color w:val="auto"/>
              </w:rPr>
              <w:t>$742</w:t>
            </w: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$752</w:t>
            </w:r>
          </w:p>
        </w:tc>
        <w:tc>
          <w:tcPr>
            <w:tcW w:w="1460" w:type="dxa"/>
            <w:vAlign w:val="bottom"/>
          </w:tcPr>
          <w:p>
            <w:pPr>
              <w:jc w:val="right"/>
              <w:ind w:right="628"/>
              <w:spacing w:after="0"/>
              <w:rPr>
                <w:sz w:val="20"/>
                <w:szCs w:val="20"/>
                <w:color w:val="auto"/>
              </w:rPr>
            </w:pPr>
            <w:r>
              <w:rPr>
                <w:rFonts w:ascii="Arial" w:cs="Arial" w:eastAsia="Arial" w:hAnsi="Arial"/>
                <w:sz w:val="14"/>
                <w:szCs w:val="14"/>
                <w:color w:val="auto"/>
              </w:rPr>
              <w:t>$666</w:t>
            </w:r>
          </w:p>
        </w:tc>
        <w:tc>
          <w:tcPr>
            <w:tcW w:w="520" w:type="dxa"/>
            <w:vAlign w:val="bottom"/>
          </w:tcPr>
          <w:p>
            <w:pPr>
              <w:jc w:val="right"/>
              <w:spacing w:after="0"/>
              <w:rPr>
                <w:sz w:val="20"/>
                <w:szCs w:val="20"/>
                <w:color w:val="auto"/>
              </w:rPr>
            </w:pPr>
            <w:r>
              <w:rPr>
                <w:rFonts w:ascii="Arial" w:cs="Arial" w:eastAsia="Arial" w:hAnsi="Arial"/>
                <w:sz w:val="14"/>
                <w:szCs w:val="14"/>
                <w:color w:val="auto"/>
              </w:rPr>
              <w:t>$676</w:t>
            </w:r>
          </w:p>
        </w:tc>
      </w:tr>
      <w:tr>
        <w:trPr>
          <w:trHeight w:val="189"/>
        </w:trPr>
        <w:tc>
          <w:tcPr>
            <w:tcW w:w="462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Other Superfund Sites</w:t>
            </w:r>
          </w:p>
        </w:tc>
        <w:tc>
          <w:tcPr>
            <w:tcW w:w="3680" w:type="dxa"/>
            <w:vAlign w:val="bottom"/>
            <w:tcBorders>
              <w:bottom w:val="single" w:sz="8" w:color="8C8272"/>
            </w:tcBorders>
            <w:shd w:val="clear" w:color="auto" w:fill="E5E5E5"/>
          </w:tcPr>
          <w:p>
            <w:pPr>
              <w:jc w:val="right"/>
              <w:ind w:right="668"/>
              <w:spacing w:after="0"/>
              <w:rPr>
                <w:sz w:val="20"/>
                <w:szCs w:val="20"/>
                <w:color w:val="auto"/>
              </w:rPr>
            </w:pPr>
            <w:r>
              <w:rPr>
                <w:rFonts w:ascii="Arial" w:cs="Arial" w:eastAsia="Arial" w:hAnsi="Arial"/>
                <w:sz w:val="14"/>
                <w:szCs w:val="14"/>
                <w:color w:val="auto"/>
              </w:rPr>
              <w:t>105</w:t>
            </w:r>
          </w:p>
        </w:tc>
        <w:tc>
          <w:tcPr>
            <w:tcW w:w="900" w:type="dxa"/>
            <w:vAlign w:val="bottom"/>
            <w:tcBorders>
              <w:bottom w:val="single" w:sz="8" w:color="8C8272"/>
            </w:tcBorders>
            <w:shd w:val="clear" w:color="auto" w:fill="E5E5E5"/>
          </w:tcPr>
          <w:p>
            <w:pPr>
              <w:jc w:val="right"/>
              <w:ind w:right="368"/>
              <w:spacing w:after="0"/>
              <w:rPr>
                <w:sz w:val="20"/>
                <w:szCs w:val="20"/>
                <w:color w:val="auto"/>
              </w:rPr>
            </w:pPr>
            <w:r>
              <w:rPr>
                <w:rFonts w:ascii="Arial" w:cs="Arial" w:eastAsia="Arial" w:hAnsi="Arial"/>
                <w:sz w:val="14"/>
                <w:szCs w:val="14"/>
                <w:color w:val="auto"/>
              </w:rPr>
              <w:t>105</w:t>
            </w:r>
          </w:p>
        </w:tc>
        <w:tc>
          <w:tcPr>
            <w:tcW w:w="1460" w:type="dxa"/>
            <w:vAlign w:val="bottom"/>
            <w:tcBorders>
              <w:bottom w:val="single" w:sz="8" w:color="8C8272"/>
            </w:tcBorders>
            <w:shd w:val="clear" w:color="auto" w:fill="E5E5E5"/>
          </w:tcPr>
          <w:p>
            <w:pPr>
              <w:jc w:val="right"/>
              <w:ind w:right="628"/>
              <w:spacing w:after="0"/>
              <w:rPr>
                <w:sz w:val="20"/>
                <w:szCs w:val="20"/>
                <w:color w:val="auto"/>
              </w:rPr>
            </w:pPr>
            <w:r>
              <w:rPr>
                <w:rFonts w:ascii="Arial" w:cs="Arial" w:eastAsia="Arial" w:hAnsi="Arial"/>
                <w:sz w:val="14"/>
                <w:szCs w:val="14"/>
                <w:color w:val="auto"/>
              </w:rPr>
              <w:t>104</w:t>
            </w:r>
          </w:p>
        </w:tc>
        <w:tc>
          <w:tcPr>
            <w:tcW w:w="5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104</w:t>
            </w:r>
          </w:p>
        </w:tc>
      </w:tr>
      <w:tr>
        <w:trPr>
          <w:trHeight w:val="183"/>
        </w:trPr>
        <w:tc>
          <w:tcPr>
            <w:tcW w:w="46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Total</w:t>
            </w:r>
          </w:p>
        </w:tc>
        <w:tc>
          <w:tcPr>
            <w:tcW w:w="3680" w:type="dxa"/>
            <w:vAlign w:val="bottom"/>
            <w:tcBorders>
              <w:bottom w:val="single" w:sz="8" w:color="8C8272"/>
            </w:tcBorders>
          </w:tcPr>
          <w:p>
            <w:pPr>
              <w:jc w:val="right"/>
              <w:ind w:right="668"/>
              <w:spacing w:after="0"/>
              <w:rPr>
                <w:sz w:val="20"/>
                <w:szCs w:val="20"/>
                <w:color w:val="auto"/>
              </w:rPr>
            </w:pPr>
            <w:r>
              <w:rPr>
                <w:rFonts w:ascii="Arial" w:cs="Arial" w:eastAsia="Arial" w:hAnsi="Arial"/>
                <w:sz w:val="14"/>
                <w:szCs w:val="14"/>
                <w:color w:val="auto"/>
              </w:rPr>
              <w:t>$847</w:t>
            </w:r>
          </w:p>
        </w:tc>
        <w:tc>
          <w:tcPr>
            <w:tcW w:w="900" w:type="dxa"/>
            <w:vAlign w:val="bottom"/>
            <w:tcBorders>
              <w:bottom w:val="single" w:sz="8" w:color="8C8272"/>
            </w:tcBorders>
          </w:tcPr>
          <w:p>
            <w:pPr>
              <w:jc w:val="right"/>
              <w:ind w:right="368"/>
              <w:spacing w:after="0"/>
              <w:rPr>
                <w:sz w:val="20"/>
                <w:szCs w:val="20"/>
                <w:color w:val="auto"/>
              </w:rPr>
            </w:pPr>
            <w:r>
              <w:rPr>
                <w:rFonts w:ascii="Arial" w:cs="Arial" w:eastAsia="Arial" w:hAnsi="Arial"/>
                <w:sz w:val="14"/>
                <w:szCs w:val="14"/>
                <w:color w:val="auto"/>
              </w:rPr>
              <w:t>$857</w:t>
            </w:r>
          </w:p>
        </w:tc>
        <w:tc>
          <w:tcPr>
            <w:tcW w:w="1460" w:type="dxa"/>
            <w:vAlign w:val="bottom"/>
            <w:tcBorders>
              <w:bottom w:val="single" w:sz="8" w:color="8C8272"/>
            </w:tcBorders>
          </w:tcPr>
          <w:p>
            <w:pPr>
              <w:jc w:val="right"/>
              <w:ind w:right="628"/>
              <w:spacing w:after="0"/>
              <w:rPr>
                <w:sz w:val="20"/>
                <w:szCs w:val="20"/>
                <w:color w:val="auto"/>
              </w:rPr>
            </w:pPr>
            <w:r>
              <w:rPr>
                <w:rFonts w:ascii="Arial" w:cs="Arial" w:eastAsia="Arial" w:hAnsi="Arial"/>
                <w:sz w:val="14"/>
                <w:szCs w:val="14"/>
                <w:color w:val="auto"/>
              </w:rPr>
              <w:t>$770</w:t>
            </w:r>
          </w:p>
        </w:tc>
        <w:tc>
          <w:tcPr>
            <w:tcW w:w="5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$780</w:t>
            </w:r>
          </w:p>
        </w:tc>
      </w:tr>
      <w:tr>
        <w:trPr>
          <w:trHeight w:val="183"/>
        </w:trPr>
        <w:tc>
          <w:tcPr>
            <w:tcW w:w="462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Regulatory assets</w:t>
            </w:r>
          </w:p>
        </w:tc>
        <w:tc>
          <w:tcPr>
            <w:tcW w:w="3680" w:type="dxa"/>
            <w:vAlign w:val="bottom"/>
            <w:tcBorders>
              <w:bottom w:val="single" w:sz="8" w:color="8C8272"/>
            </w:tcBorders>
            <w:shd w:val="clear" w:color="auto" w:fill="E5E5E5"/>
          </w:tcPr>
          <w:p>
            <w:pPr>
              <w:jc w:val="right"/>
              <w:ind w:right="668"/>
              <w:spacing w:after="0"/>
              <w:rPr>
                <w:sz w:val="20"/>
                <w:szCs w:val="20"/>
                <w:color w:val="auto"/>
              </w:rPr>
            </w:pPr>
            <w:r>
              <w:rPr>
                <w:rFonts w:ascii="Arial" w:cs="Arial" w:eastAsia="Arial" w:hAnsi="Arial"/>
                <w:sz w:val="14"/>
                <w:szCs w:val="14"/>
                <w:color w:val="auto"/>
              </w:rPr>
              <w:t>$852</w:t>
            </w:r>
          </w:p>
        </w:tc>
        <w:tc>
          <w:tcPr>
            <w:tcW w:w="900" w:type="dxa"/>
            <w:vAlign w:val="bottom"/>
            <w:tcBorders>
              <w:bottom w:val="single" w:sz="8" w:color="8C8272"/>
            </w:tcBorders>
            <w:shd w:val="clear" w:color="auto" w:fill="E5E5E5"/>
          </w:tcPr>
          <w:p>
            <w:pPr>
              <w:jc w:val="right"/>
              <w:ind w:right="368"/>
              <w:spacing w:after="0"/>
              <w:rPr>
                <w:sz w:val="20"/>
                <w:szCs w:val="20"/>
                <w:color w:val="auto"/>
              </w:rPr>
            </w:pPr>
            <w:r>
              <w:rPr>
                <w:rFonts w:ascii="Arial" w:cs="Arial" w:eastAsia="Arial" w:hAnsi="Arial"/>
                <w:sz w:val="14"/>
                <w:szCs w:val="14"/>
                <w:color w:val="auto"/>
              </w:rPr>
              <w:t>$865</w:t>
            </w:r>
          </w:p>
        </w:tc>
        <w:tc>
          <w:tcPr>
            <w:tcW w:w="1460" w:type="dxa"/>
            <w:vAlign w:val="bottom"/>
            <w:tcBorders>
              <w:bottom w:val="single" w:sz="8" w:color="8C8272"/>
            </w:tcBorders>
            <w:shd w:val="clear" w:color="auto" w:fill="E5E5E5"/>
          </w:tcPr>
          <w:p>
            <w:pPr>
              <w:jc w:val="right"/>
              <w:ind w:right="628"/>
              <w:spacing w:after="0"/>
              <w:rPr>
                <w:sz w:val="20"/>
                <w:szCs w:val="20"/>
                <w:color w:val="auto"/>
              </w:rPr>
            </w:pPr>
            <w:r>
              <w:rPr>
                <w:rFonts w:ascii="Arial" w:cs="Arial" w:eastAsia="Arial" w:hAnsi="Arial"/>
                <w:sz w:val="14"/>
                <w:szCs w:val="14"/>
                <w:color w:val="auto"/>
              </w:rPr>
              <w:t>$783</w:t>
            </w:r>
          </w:p>
        </w:tc>
        <w:tc>
          <w:tcPr>
            <w:tcW w:w="5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$791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5640705</wp:posOffset>
            </wp:positionH>
            <wp:positionV relativeFrom="paragraph">
              <wp:posOffset>-128270</wp:posOffset>
            </wp:positionV>
            <wp:extent cx="825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-102235</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-85090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-67945</wp:posOffset>
            </wp:positionV>
            <wp:extent cx="82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-50800</wp:posOffset>
            </wp:positionV>
            <wp:extent cx="82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-33655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-16510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-256540</wp:posOffset>
            </wp:positionV>
            <wp:extent cx="825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-231140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-213995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-196850</wp:posOffset>
            </wp:positionV>
            <wp:extent cx="825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-179705</wp:posOffset>
            </wp:positionV>
            <wp:extent cx="825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-162560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-145415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-359410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-342265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-325120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-307975</wp:posOffset>
            </wp:positionV>
            <wp:extent cx="825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-290830</wp:posOffset>
            </wp:positionV>
            <wp:extent cx="825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-273685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-479425</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-462280</wp:posOffset>
            </wp:positionV>
            <wp:extent cx="825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-445135</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-427990</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-410845</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-393700</wp:posOffset>
            </wp:positionV>
            <wp:extent cx="825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-625475</wp:posOffset>
            </wp:positionV>
            <wp:extent cx="825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-599440</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-582295</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-565150</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-548005</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-530860</wp:posOffset>
            </wp:positionV>
            <wp:extent cx="825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-513715</wp:posOffset>
            </wp:positionV>
            <wp:extent cx="825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-753745</wp:posOffset>
            </wp:positionV>
            <wp:extent cx="825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-728345</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-711200</wp:posOffset>
            </wp:positionV>
            <wp:extent cx="825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-693420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-676910</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-659130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-642620</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84" w:lineRule="exact"/>
        <w:rPr>
          <w:sz w:val="20"/>
          <w:szCs w:val="20"/>
          <w:color w:val="auto"/>
        </w:rPr>
      </w:pPr>
    </w:p>
    <w:p>
      <w:pPr>
        <w:ind w:left="100" w:right="120"/>
        <w:spacing w:after="0" w:line="253" w:lineRule="auto"/>
        <w:rPr>
          <w:sz w:val="20"/>
          <w:szCs w:val="20"/>
          <w:color w:val="auto"/>
        </w:rPr>
      </w:pPr>
      <w:r>
        <w:rPr>
          <w:rFonts w:ascii="Arial" w:cs="Arial" w:eastAsia="Arial" w:hAnsi="Arial"/>
          <w:sz w:val="18"/>
          <w:szCs w:val="18"/>
          <w:color w:val="auto"/>
        </w:rPr>
        <w:t>Most of the accrued Superfund Site liability relates to sites that have been investigated, in whole or in part. However, for some of the sites, the extent and associated cost of the required remediation has not yet been determined. As investigations progress and information pertaining to the required remediation becomes available, the Utilities expect that additional liability may be accrued, the amount of which is not presently determinable but may be material. The Utilities are permitted to recover or defer as regulatory assets (for subsequent recovery through rates) prudently incurred site investigation and remediation costs.</w:t>
      </w:r>
    </w:p>
    <w:p>
      <w:pPr>
        <w:spacing w:after="0" w:line="111" w:lineRule="exact"/>
        <w:rPr>
          <w:sz w:val="20"/>
          <w:szCs w:val="20"/>
          <w:color w:val="auto"/>
        </w:rPr>
      </w:pPr>
    </w:p>
    <w:p>
      <w:pPr>
        <w:ind w:left="100" w:right="280"/>
        <w:spacing w:after="0" w:line="261" w:lineRule="auto"/>
        <w:rPr>
          <w:sz w:val="20"/>
          <w:szCs w:val="20"/>
          <w:color w:val="auto"/>
        </w:rPr>
      </w:pPr>
      <w:r>
        <w:rPr>
          <w:rFonts w:ascii="Arial" w:cs="Arial" w:eastAsia="Arial" w:hAnsi="Arial"/>
          <w:sz w:val="18"/>
          <w:szCs w:val="18"/>
          <w:color w:val="auto"/>
        </w:rPr>
        <w:t>Environmental remediation costs incurred related to Superfund Sites for the three and six months ended June 30, 2021 and 2020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6160" w:type="dxa"/>
            <w:vAlign w:val="bottom"/>
            <w:tcBorders>
              <w:bottom w:val="single" w:sz="8" w:color="8C8272"/>
            </w:tcBorders>
          </w:tcPr>
          <w:p>
            <w:pPr>
              <w:spacing w:after="0"/>
              <w:rPr>
                <w:sz w:val="16"/>
                <w:szCs w:val="16"/>
                <w:color w:val="auto"/>
              </w:rPr>
            </w:pPr>
          </w:p>
        </w:tc>
        <w:tc>
          <w:tcPr>
            <w:tcW w:w="220" w:type="dxa"/>
            <w:vAlign w:val="bottom"/>
            <w:tcBorders>
              <w:bottom w:val="single" w:sz="8" w:color="8C8272"/>
            </w:tcBorders>
          </w:tcPr>
          <w:p>
            <w:pPr>
              <w:spacing w:after="0"/>
              <w:rPr>
                <w:sz w:val="16"/>
                <w:szCs w:val="16"/>
                <w:color w:val="auto"/>
              </w:rPr>
            </w:pPr>
          </w:p>
        </w:tc>
        <w:tc>
          <w:tcPr>
            <w:tcW w:w="4080" w:type="dxa"/>
            <w:vAlign w:val="bottom"/>
            <w:tcBorders>
              <w:bottom w:val="single" w:sz="8" w:color="929292"/>
            </w:tcBorders>
            <w:gridSpan w:val="3"/>
          </w:tcPr>
          <w:p>
            <w:pPr>
              <w:jc w:val="right"/>
              <w:ind w:right="328"/>
              <w:spacing w:after="0"/>
              <w:rPr>
                <w:sz w:val="20"/>
                <w:szCs w:val="20"/>
                <w:color w:val="auto"/>
              </w:rPr>
            </w:pPr>
            <w:r>
              <w:rPr>
                <w:rFonts w:ascii="Arial" w:cs="Arial" w:eastAsia="Arial" w:hAnsi="Arial"/>
                <w:sz w:val="14"/>
                <w:szCs w:val="14"/>
                <w:b w:val="1"/>
                <w:bCs w:val="1"/>
                <w:color w:val="auto"/>
              </w:rPr>
              <w:t>For the Three Months Ended June 30,</w:t>
            </w:r>
          </w:p>
        </w:tc>
        <w:tc>
          <w:tcPr>
            <w:tcW w:w="400" w:type="dxa"/>
            <w:vAlign w:val="bottom"/>
            <w:tcBorders>
              <w:bottom w:val="single" w:sz="8" w:color="929292"/>
            </w:tcBorders>
          </w:tcPr>
          <w:p>
            <w:pPr>
              <w:spacing w:after="0"/>
              <w:rPr>
                <w:sz w:val="16"/>
                <w:szCs w:val="16"/>
                <w:color w:val="auto"/>
              </w:rPr>
            </w:pPr>
          </w:p>
        </w:tc>
        <w:tc>
          <w:tcPr>
            <w:tcW w:w="320" w:type="dxa"/>
            <w:vAlign w:val="bottom"/>
            <w:tcBorders>
              <w:bottom w:val="single" w:sz="8" w:color="929292"/>
            </w:tcBorders>
          </w:tcPr>
          <w:p>
            <w:pPr>
              <w:spacing w:after="0"/>
              <w:rPr>
                <w:sz w:val="16"/>
                <w:szCs w:val="16"/>
                <w:color w:val="auto"/>
              </w:rPr>
            </w:pPr>
          </w:p>
        </w:tc>
      </w:tr>
      <w:tr>
        <w:trPr>
          <w:trHeight w:val="183"/>
        </w:trPr>
        <w:tc>
          <w:tcPr>
            <w:tcW w:w="100" w:type="dxa"/>
            <w:vAlign w:val="bottom"/>
          </w:tcPr>
          <w:p>
            <w:pPr>
              <w:spacing w:after="0"/>
              <w:rPr>
                <w:sz w:val="15"/>
                <w:szCs w:val="15"/>
                <w:color w:val="auto"/>
              </w:rPr>
            </w:pPr>
          </w:p>
        </w:tc>
        <w:tc>
          <w:tcPr>
            <w:tcW w:w="6160" w:type="dxa"/>
            <w:vAlign w:val="bottom"/>
            <w:tcBorders>
              <w:bottom w:val="single" w:sz="8" w:color="8C8272"/>
            </w:tcBorders>
          </w:tcPr>
          <w:p>
            <w:pPr>
              <w:spacing w:after="0"/>
              <w:rPr>
                <w:sz w:val="15"/>
                <w:szCs w:val="15"/>
                <w:color w:val="auto"/>
              </w:rPr>
            </w:pPr>
          </w:p>
        </w:tc>
        <w:tc>
          <w:tcPr>
            <w:tcW w:w="220" w:type="dxa"/>
            <w:vAlign w:val="bottom"/>
            <w:tcBorders>
              <w:bottom w:val="single" w:sz="8" w:color="8C8272"/>
            </w:tcBorders>
          </w:tcPr>
          <w:p>
            <w:pPr>
              <w:spacing w:after="0"/>
              <w:rPr>
                <w:sz w:val="15"/>
                <w:szCs w:val="15"/>
                <w:color w:val="auto"/>
              </w:rPr>
            </w:pPr>
          </w:p>
        </w:tc>
        <w:tc>
          <w:tcPr>
            <w:tcW w:w="2660" w:type="dxa"/>
            <w:vAlign w:val="bottom"/>
            <w:tcBorders>
              <w:bottom w:val="single" w:sz="8" w:color="8C8272"/>
            </w:tcBorders>
            <w:gridSpan w:val="2"/>
          </w:tcPr>
          <w:p>
            <w:pPr>
              <w:jc w:val="right"/>
              <w:ind w:right="788"/>
              <w:spacing w:after="0"/>
              <w:rPr>
                <w:sz w:val="20"/>
                <w:szCs w:val="20"/>
                <w:color w:val="auto"/>
              </w:rPr>
            </w:pPr>
            <w:r>
              <w:rPr>
                <w:rFonts w:ascii="Arial" w:cs="Arial" w:eastAsia="Arial" w:hAnsi="Arial"/>
                <w:sz w:val="14"/>
                <w:szCs w:val="14"/>
                <w:b w:val="1"/>
                <w:bCs w:val="1"/>
                <w:color w:val="auto"/>
              </w:rPr>
              <w:t>Con Edison</w:t>
            </w:r>
          </w:p>
        </w:tc>
        <w:tc>
          <w:tcPr>
            <w:tcW w:w="14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CECONY</w:t>
            </w:r>
          </w:p>
        </w:tc>
        <w:tc>
          <w:tcPr>
            <w:tcW w:w="400" w:type="dxa"/>
            <w:vAlign w:val="bottom"/>
            <w:tcBorders>
              <w:bottom w:val="single" w:sz="8" w:color="8C8272"/>
            </w:tcBorders>
          </w:tcPr>
          <w:p>
            <w:pPr>
              <w:spacing w:after="0"/>
              <w:rPr>
                <w:sz w:val="15"/>
                <w:szCs w:val="15"/>
                <w:color w:val="auto"/>
              </w:rPr>
            </w:pPr>
          </w:p>
        </w:tc>
        <w:tc>
          <w:tcPr>
            <w:tcW w:w="320" w:type="dxa"/>
            <w:vAlign w:val="bottom"/>
            <w:tcBorders>
              <w:bottom w:val="single" w:sz="8" w:color="8C8272"/>
            </w:tcBorders>
          </w:tcPr>
          <w:p>
            <w:pPr>
              <w:spacing w:after="0"/>
              <w:rPr>
                <w:sz w:val="15"/>
                <w:szCs w:val="15"/>
                <w:color w:val="auto"/>
              </w:rPr>
            </w:pPr>
          </w:p>
        </w:tc>
      </w:tr>
      <w:tr>
        <w:trPr>
          <w:trHeight w:val="183"/>
        </w:trPr>
        <w:tc>
          <w:tcPr>
            <w:tcW w:w="100" w:type="dxa"/>
            <w:vAlign w:val="bottom"/>
          </w:tcPr>
          <w:p>
            <w:pPr>
              <w:spacing w:after="0"/>
              <w:rPr>
                <w:sz w:val="15"/>
                <w:szCs w:val="15"/>
                <w:color w:val="auto"/>
              </w:rPr>
            </w:pPr>
          </w:p>
        </w:tc>
        <w:tc>
          <w:tcPr>
            <w:tcW w:w="6380" w:type="dxa"/>
            <w:vAlign w:val="bottom"/>
            <w:tcBorders>
              <w:bottom w:val="single" w:sz="8" w:color="8C8272"/>
            </w:tcBorders>
            <w:gridSpan w:val="2"/>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600" w:type="dxa"/>
            <w:vAlign w:val="bottom"/>
            <w:tcBorders>
              <w:bottom w:val="single" w:sz="8" w:color="8C8272"/>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8C8272"/>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420" w:type="dxa"/>
            <w:vAlign w:val="bottom"/>
            <w:tcBorders>
              <w:bottom w:val="single" w:sz="8" w:color="8C8272"/>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8C8272"/>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r>
      <w:tr>
        <w:trPr>
          <w:trHeight w:val="183"/>
        </w:trPr>
        <w:tc>
          <w:tcPr>
            <w:tcW w:w="100" w:type="dxa"/>
            <w:vAlign w:val="bottom"/>
          </w:tcPr>
          <w:p>
            <w:pPr>
              <w:spacing w:after="0"/>
              <w:rPr>
                <w:sz w:val="15"/>
                <w:szCs w:val="15"/>
                <w:color w:val="auto"/>
              </w:rPr>
            </w:pPr>
          </w:p>
        </w:tc>
        <w:tc>
          <w:tcPr>
            <w:tcW w:w="6380" w:type="dxa"/>
            <w:vAlign w:val="bottom"/>
            <w:tcBorders>
              <w:bottom w:val="single" w:sz="8" w:color="828282"/>
            </w:tcBorders>
            <w:gridSpan w:val="2"/>
            <w:shd w:val="clear" w:color="auto" w:fill="E5E5E5"/>
          </w:tcPr>
          <w:p>
            <w:pPr>
              <w:ind w:left="20"/>
              <w:spacing w:after="0"/>
              <w:rPr>
                <w:sz w:val="20"/>
                <w:szCs w:val="20"/>
                <w:color w:val="auto"/>
              </w:rPr>
            </w:pPr>
            <w:r>
              <w:rPr>
                <w:rFonts w:ascii="Arial" w:cs="Arial" w:eastAsia="Arial" w:hAnsi="Arial"/>
                <w:sz w:val="14"/>
                <w:szCs w:val="14"/>
                <w:color w:val="auto"/>
              </w:rPr>
              <w:t>Remediation costs incurred</w:t>
            </w:r>
          </w:p>
        </w:tc>
        <w:tc>
          <w:tcPr>
            <w:tcW w:w="1600" w:type="dxa"/>
            <w:vAlign w:val="bottom"/>
            <w:tcBorders>
              <w:bottom w:val="single" w:sz="8" w:color="828282"/>
            </w:tcBorders>
            <w:shd w:val="clear" w:color="auto" w:fill="E5E5E5"/>
          </w:tcPr>
          <w:p>
            <w:pPr>
              <w:jc w:val="right"/>
              <w:ind w:right="348"/>
              <w:spacing w:after="0"/>
              <w:rPr>
                <w:sz w:val="20"/>
                <w:szCs w:val="20"/>
                <w:color w:val="auto"/>
              </w:rPr>
            </w:pPr>
            <w:r>
              <w:rPr>
                <w:rFonts w:ascii="Arial" w:cs="Arial" w:eastAsia="Arial" w:hAnsi="Arial"/>
                <w:sz w:val="14"/>
                <w:szCs w:val="14"/>
                <w:color w:val="auto"/>
              </w:rPr>
              <w:t>$5</w:t>
            </w:r>
          </w:p>
        </w:tc>
        <w:tc>
          <w:tcPr>
            <w:tcW w:w="1060" w:type="dxa"/>
            <w:vAlign w:val="bottom"/>
            <w:tcBorders>
              <w:bottom w:val="single" w:sz="8" w:color="828282"/>
            </w:tcBorders>
            <w:shd w:val="clear" w:color="auto" w:fill="E5E5E5"/>
          </w:tcPr>
          <w:p>
            <w:pPr>
              <w:jc w:val="right"/>
              <w:ind w:right="208"/>
              <w:spacing w:after="0"/>
              <w:rPr>
                <w:sz w:val="20"/>
                <w:szCs w:val="20"/>
                <w:color w:val="auto"/>
              </w:rPr>
            </w:pPr>
            <w:r>
              <w:rPr>
                <w:rFonts w:ascii="Arial" w:cs="Arial" w:eastAsia="Arial" w:hAnsi="Arial"/>
                <w:sz w:val="14"/>
                <w:szCs w:val="14"/>
                <w:color w:val="auto"/>
              </w:rPr>
              <w:t>$3</w:t>
            </w:r>
          </w:p>
        </w:tc>
        <w:tc>
          <w:tcPr>
            <w:tcW w:w="1420" w:type="dxa"/>
            <w:vAlign w:val="bottom"/>
            <w:tcBorders>
              <w:bottom w:val="single" w:sz="8" w:color="828282"/>
            </w:tcBorders>
            <w:shd w:val="clear" w:color="auto" w:fill="E5E5E5"/>
          </w:tcPr>
          <w:p>
            <w:pPr>
              <w:jc w:val="right"/>
              <w:ind w:right="428"/>
              <w:spacing w:after="0"/>
              <w:rPr>
                <w:sz w:val="20"/>
                <w:szCs w:val="20"/>
                <w:color w:val="auto"/>
              </w:rPr>
            </w:pPr>
            <w:r>
              <w:rPr>
                <w:rFonts w:ascii="Arial" w:cs="Arial" w:eastAsia="Arial" w:hAnsi="Arial"/>
                <w:sz w:val="14"/>
                <w:szCs w:val="14"/>
                <w:color w:val="auto"/>
              </w:rPr>
              <w:t>$5</w:t>
            </w:r>
          </w:p>
        </w:tc>
        <w:tc>
          <w:tcPr>
            <w:tcW w:w="720" w:type="dxa"/>
            <w:vAlign w:val="bottom"/>
            <w:tcBorders>
              <w:bottom w:val="single" w:sz="8" w:color="828282"/>
            </w:tcBorders>
            <w:gridSpan w:val="2"/>
            <w:shd w:val="clear" w:color="auto" w:fill="E5E5E5"/>
          </w:tcPr>
          <w:p>
            <w:pPr>
              <w:jc w:val="right"/>
              <w:ind w:right="20"/>
              <w:spacing w:after="0"/>
              <w:rPr>
                <w:sz w:val="20"/>
                <w:szCs w:val="20"/>
                <w:color w:val="auto"/>
              </w:rPr>
            </w:pPr>
            <w:r>
              <w:rPr>
                <w:rFonts w:ascii="Arial" w:cs="Arial" w:eastAsia="Arial" w:hAnsi="Arial"/>
                <w:sz w:val="14"/>
                <w:szCs w:val="14"/>
                <w:color w:val="auto"/>
              </w:rPr>
              <w:t>$3</w:t>
            </w:r>
          </w:p>
        </w:tc>
      </w:tr>
      <w:tr>
        <w:trPr>
          <w:trHeight w:val="547"/>
        </w:trPr>
        <w:tc>
          <w:tcPr>
            <w:tcW w:w="100" w:type="dxa"/>
            <w:vAlign w:val="bottom"/>
          </w:tcPr>
          <w:p>
            <w:pPr>
              <w:spacing w:after="0"/>
              <w:rPr>
                <w:sz w:val="24"/>
                <w:szCs w:val="24"/>
                <w:color w:val="auto"/>
              </w:rPr>
            </w:pPr>
          </w:p>
        </w:tc>
        <w:tc>
          <w:tcPr>
            <w:tcW w:w="6160" w:type="dxa"/>
            <w:vAlign w:val="bottom"/>
            <w:tcBorders>
              <w:bottom w:val="single" w:sz="8" w:color="8C8272"/>
            </w:tcBorders>
          </w:tcPr>
          <w:p>
            <w:pPr>
              <w:spacing w:after="0"/>
              <w:rPr>
                <w:sz w:val="24"/>
                <w:szCs w:val="24"/>
                <w:color w:val="auto"/>
              </w:rPr>
            </w:pPr>
          </w:p>
        </w:tc>
        <w:tc>
          <w:tcPr>
            <w:tcW w:w="220" w:type="dxa"/>
            <w:vAlign w:val="bottom"/>
            <w:tcBorders>
              <w:bottom w:val="single" w:sz="8" w:color="929292"/>
            </w:tcBorders>
          </w:tcPr>
          <w:p>
            <w:pPr>
              <w:spacing w:after="0"/>
              <w:rPr>
                <w:sz w:val="24"/>
                <w:szCs w:val="24"/>
                <w:color w:val="auto"/>
              </w:rPr>
            </w:pPr>
          </w:p>
        </w:tc>
        <w:tc>
          <w:tcPr>
            <w:tcW w:w="4080" w:type="dxa"/>
            <w:vAlign w:val="bottom"/>
            <w:tcBorders>
              <w:bottom w:val="single" w:sz="8" w:color="929292"/>
            </w:tcBorders>
            <w:gridSpan w:val="3"/>
          </w:tcPr>
          <w:p>
            <w:pPr>
              <w:jc w:val="right"/>
              <w:ind w:right="848"/>
              <w:spacing w:after="0"/>
              <w:rPr>
                <w:sz w:val="20"/>
                <w:szCs w:val="20"/>
                <w:color w:val="auto"/>
              </w:rPr>
            </w:pPr>
            <w:r>
              <w:rPr>
                <w:rFonts w:ascii="Arial" w:cs="Arial" w:eastAsia="Arial" w:hAnsi="Arial"/>
                <w:sz w:val="14"/>
                <w:szCs w:val="14"/>
                <w:b w:val="1"/>
                <w:bCs w:val="1"/>
                <w:color w:val="auto"/>
              </w:rPr>
              <w:t>For the Six Months Ended June 30,</w:t>
            </w:r>
          </w:p>
        </w:tc>
        <w:tc>
          <w:tcPr>
            <w:tcW w:w="400" w:type="dxa"/>
            <w:vAlign w:val="bottom"/>
            <w:tcBorders>
              <w:bottom w:val="single" w:sz="8" w:color="929292"/>
            </w:tcBorders>
          </w:tcPr>
          <w:p>
            <w:pPr>
              <w:spacing w:after="0"/>
              <w:rPr>
                <w:sz w:val="24"/>
                <w:szCs w:val="24"/>
                <w:color w:val="auto"/>
              </w:rPr>
            </w:pPr>
          </w:p>
        </w:tc>
        <w:tc>
          <w:tcPr>
            <w:tcW w:w="320" w:type="dxa"/>
            <w:vAlign w:val="bottom"/>
          </w:tcPr>
          <w:p>
            <w:pPr>
              <w:spacing w:after="0"/>
              <w:rPr>
                <w:sz w:val="24"/>
                <w:szCs w:val="24"/>
                <w:color w:val="auto"/>
              </w:rPr>
            </w:pPr>
          </w:p>
        </w:tc>
      </w:tr>
      <w:tr>
        <w:trPr>
          <w:trHeight w:val="183"/>
        </w:trPr>
        <w:tc>
          <w:tcPr>
            <w:tcW w:w="100" w:type="dxa"/>
            <w:vAlign w:val="bottom"/>
          </w:tcPr>
          <w:p>
            <w:pPr>
              <w:spacing w:after="0"/>
              <w:rPr>
                <w:sz w:val="15"/>
                <w:szCs w:val="15"/>
                <w:color w:val="auto"/>
              </w:rPr>
            </w:pPr>
          </w:p>
        </w:tc>
        <w:tc>
          <w:tcPr>
            <w:tcW w:w="6160" w:type="dxa"/>
            <w:vAlign w:val="bottom"/>
            <w:tcBorders>
              <w:bottom w:val="single" w:sz="8" w:color="8C8272"/>
            </w:tcBorders>
          </w:tcPr>
          <w:p>
            <w:pPr>
              <w:spacing w:after="0"/>
              <w:rPr>
                <w:sz w:val="15"/>
                <w:szCs w:val="15"/>
                <w:color w:val="auto"/>
              </w:rPr>
            </w:pPr>
          </w:p>
        </w:tc>
        <w:tc>
          <w:tcPr>
            <w:tcW w:w="220" w:type="dxa"/>
            <w:vAlign w:val="bottom"/>
            <w:tcBorders>
              <w:bottom w:val="single" w:sz="8" w:color="8C8272"/>
            </w:tcBorders>
          </w:tcPr>
          <w:p>
            <w:pPr>
              <w:spacing w:after="0"/>
              <w:rPr>
                <w:sz w:val="15"/>
                <w:szCs w:val="15"/>
                <w:color w:val="auto"/>
              </w:rPr>
            </w:pPr>
          </w:p>
        </w:tc>
        <w:tc>
          <w:tcPr>
            <w:tcW w:w="160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Con Edison</w:t>
            </w:r>
          </w:p>
        </w:tc>
        <w:tc>
          <w:tcPr>
            <w:tcW w:w="1060" w:type="dxa"/>
            <w:vAlign w:val="bottom"/>
            <w:tcBorders>
              <w:bottom w:val="single" w:sz="8" w:color="8C8272"/>
            </w:tcBorders>
          </w:tcPr>
          <w:p>
            <w:pPr>
              <w:spacing w:after="0"/>
              <w:rPr>
                <w:sz w:val="15"/>
                <w:szCs w:val="15"/>
                <w:color w:val="auto"/>
              </w:rPr>
            </w:pPr>
          </w:p>
        </w:tc>
        <w:tc>
          <w:tcPr>
            <w:tcW w:w="1420" w:type="dxa"/>
            <w:vAlign w:val="bottom"/>
            <w:tcBorders>
              <w:bottom w:val="single" w:sz="8" w:color="8C8272"/>
            </w:tcBorders>
          </w:tcPr>
          <w:p>
            <w:pPr>
              <w:jc w:val="right"/>
              <w:ind w:right="448"/>
              <w:spacing w:after="0"/>
              <w:rPr>
                <w:sz w:val="20"/>
                <w:szCs w:val="20"/>
                <w:color w:val="auto"/>
              </w:rPr>
            </w:pPr>
            <w:r>
              <w:rPr>
                <w:rFonts w:ascii="Arial" w:cs="Arial" w:eastAsia="Arial" w:hAnsi="Arial"/>
                <w:sz w:val="14"/>
                <w:szCs w:val="14"/>
                <w:b w:val="1"/>
                <w:bCs w:val="1"/>
                <w:color w:val="auto"/>
              </w:rPr>
              <w:t>CECONY</w:t>
            </w:r>
          </w:p>
        </w:tc>
        <w:tc>
          <w:tcPr>
            <w:tcW w:w="400" w:type="dxa"/>
            <w:vAlign w:val="bottom"/>
            <w:tcBorders>
              <w:bottom w:val="single" w:sz="8" w:color="8C8272"/>
            </w:tcBorders>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64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llions of Dollars)</w:t>
            </w:r>
          </w:p>
        </w:tc>
        <w:tc>
          <w:tcPr>
            <w:tcW w:w="1600" w:type="dxa"/>
            <w:vAlign w:val="bottom"/>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420" w:type="dxa"/>
            <w:vAlign w:val="bottom"/>
          </w:tcPr>
          <w:p>
            <w:pPr>
              <w:jc w:val="right"/>
              <w:ind w:right="728"/>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r>
      <w:tr>
        <w:trPr>
          <w:trHeight w:val="183"/>
        </w:trPr>
        <w:tc>
          <w:tcPr>
            <w:tcW w:w="100" w:type="dxa"/>
            <w:vAlign w:val="bottom"/>
          </w:tcPr>
          <w:p>
            <w:pPr>
              <w:spacing w:after="0"/>
              <w:rPr>
                <w:sz w:val="15"/>
                <w:szCs w:val="15"/>
                <w:color w:val="auto"/>
              </w:rPr>
            </w:pPr>
          </w:p>
        </w:tc>
        <w:tc>
          <w:tcPr>
            <w:tcW w:w="6380" w:type="dxa"/>
            <w:vAlign w:val="bottom"/>
            <w:tcBorders>
              <w:top w:val="single" w:sz="8" w:color="8C8272"/>
              <w:bottom w:val="single" w:sz="8" w:color="929292"/>
            </w:tcBorders>
            <w:gridSpan w:val="2"/>
            <w:shd w:val="clear" w:color="auto" w:fill="E5E5E5"/>
          </w:tcPr>
          <w:p>
            <w:pPr>
              <w:spacing w:after="0"/>
              <w:rPr>
                <w:sz w:val="20"/>
                <w:szCs w:val="20"/>
                <w:color w:val="auto"/>
              </w:rPr>
            </w:pPr>
            <w:r>
              <w:rPr>
                <w:rFonts w:ascii="Arial" w:cs="Arial" w:eastAsia="Arial" w:hAnsi="Arial"/>
                <w:sz w:val="14"/>
                <w:szCs w:val="14"/>
                <w:color w:val="auto"/>
              </w:rPr>
              <w:t>mediation costs incurred</w:t>
            </w:r>
          </w:p>
        </w:tc>
        <w:tc>
          <w:tcPr>
            <w:tcW w:w="1600" w:type="dxa"/>
            <w:vAlign w:val="bottom"/>
            <w:tcBorders>
              <w:top w:val="single" w:sz="8" w:color="8C8272"/>
              <w:bottom w:val="single" w:sz="8" w:color="929292"/>
            </w:tcBorders>
            <w:shd w:val="clear" w:color="auto" w:fill="E5E5E5"/>
          </w:tcPr>
          <w:p>
            <w:pPr>
              <w:jc w:val="right"/>
              <w:ind w:right="588"/>
              <w:spacing w:after="0"/>
              <w:rPr>
                <w:sz w:val="20"/>
                <w:szCs w:val="20"/>
                <w:color w:val="auto"/>
              </w:rPr>
            </w:pPr>
            <w:r>
              <w:rPr>
                <w:rFonts w:ascii="Arial" w:cs="Arial" w:eastAsia="Arial" w:hAnsi="Arial"/>
                <w:sz w:val="14"/>
                <w:szCs w:val="14"/>
                <w:color w:val="auto"/>
              </w:rPr>
              <w:t>$13</w:t>
            </w:r>
          </w:p>
        </w:tc>
        <w:tc>
          <w:tcPr>
            <w:tcW w:w="1060" w:type="dxa"/>
            <w:vAlign w:val="bottom"/>
            <w:tcBorders>
              <w:top w:val="single" w:sz="8" w:color="8C8272"/>
              <w:bottom w:val="single" w:sz="8" w:color="929292"/>
            </w:tcBorders>
            <w:shd w:val="clear" w:color="auto" w:fill="E5E5E5"/>
          </w:tcPr>
          <w:p>
            <w:pPr>
              <w:jc w:val="right"/>
              <w:ind w:right="468"/>
              <w:spacing w:after="0"/>
              <w:rPr>
                <w:sz w:val="20"/>
                <w:szCs w:val="20"/>
                <w:color w:val="auto"/>
              </w:rPr>
            </w:pPr>
            <w:r>
              <w:rPr>
                <w:rFonts w:ascii="Arial" w:cs="Arial" w:eastAsia="Arial" w:hAnsi="Arial"/>
                <w:sz w:val="14"/>
                <w:szCs w:val="14"/>
                <w:color w:val="auto"/>
              </w:rPr>
              <w:t>$8</w:t>
            </w:r>
          </w:p>
        </w:tc>
        <w:tc>
          <w:tcPr>
            <w:tcW w:w="1420" w:type="dxa"/>
            <w:vAlign w:val="bottom"/>
            <w:tcBorders>
              <w:top w:val="single" w:sz="8" w:color="8C8272"/>
              <w:bottom w:val="single" w:sz="8" w:color="929292"/>
            </w:tcBorders>
            <w:shd w:val="clear" w:color="auto" w:fill="E5E5E5"/>
          </w:tcPr>
          <w:p>
            <w:pPr>
              <w:jc w:val="right"/>
              <w:ind w:right="728"/>
              <w:spacing w:after="0"/>
              <w:rPr>
                <w:sz w:val="20"/>
                <w:szCs w:val="20"/>
                <w:color w:val="auto"/>
              </w:rPr>
            </w:pPr>
            <w:r>
              <w:rPr>
                <w:rFonts w:ascii="Arial" w:cs="Arial" w:eastAsia="Arial" w:hAnsi="Arial"/>
                <w:sz w:val="14"/>
                <w:szCs w:val="14"/>
                <w:color w:val="auto"/>
              </w:rPr>
              <w:t>$13</w:t>
            </w:r>
          </w:p>
        </w:tc>
        <w:tc>
          <w:tcPr>
            <w:tcW w:w="400" w:type="dxa"/>
            <w:vAlign w:val="bottom"/>
            <w:tcBorders>
              <w:top w:val="single" w:sz="8" w:color="8C8272"/>
              <w:bottom w:val="single" w:sz="8" w:color="929292"/>
            </w:tcBorders>
            <w:shd w:val="clear" w:color="auto" w:fill="E5E5E5"/>
          </w:tcPr>
          <w:p>
            <w:pPr>
              <w:jc w:val="right"/>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5640705</wp:posOffset>
            </wp:positionH>
            <wp:positionV relativeFrom="paragraph">
              <wp:posOffset>-873760</wp:posOffset>
            </wp:positionV>
            <wp:extent cx="825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-847725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-830580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-814070</wp:posOffset>
            </wp:positionV>
            <wp:extent cx="825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-796290</wp:posOffset>
            </wp:positionV>
            <wp:extent cx="825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-779145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-762000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-1002030</wp:posOffset>
            </wp:positionV>
            <wp:extent cx="825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-976630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-959485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-942340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-925195</wp:posOffset>
            </wp:positionV>
            <wp:extent cx="825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-908050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-890905</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-128270</wp:posOffset>
            </wp:positionV>
            <wp:extent cx="825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-102235</wp:posOffset>
            </wp:positionV>
            <wp:extent cx="825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-85090</wp:posOffset>
            </wp:positionV>
            <wp:extent cx="825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-67945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-50800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-33655</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-16510</wp:posOffset>
            </wp:positionV>
            <wp:extent cx="825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-256540</wp:posOffset>
            </wp:positionV>
            <wp:extent cx="825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-230505</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-213995</wp:posOffset>
            </wp:positionV>
            <wp:extent cx="825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-196215</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-179070</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-161925</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-145415</wp:posOffset>
            </wp:positionV>
            <wp:extent cx="825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303" w:lineRule="exact"/>
        <w:rPr>
          <w:sz w:val="20"/>
          <w:szCs w:val="20"/>
          <w:color w:val="auto"/>
        </w:rPr>
      </w:pPr>
    </w:p>
    <w:p>
      <w:pPr>
        <w:ind w:left="100" w:right="20"/>
        <w:spacing w:after="0" w:line="261" w:lineRule="auto"/>
        <w:rPr>
          <w:sz w:val="20"/>
          <w:szCs w:val="20"/>
          <w:color w:val="auto"/>
        </w:rPr>
      </w:pPr>
      <w:r>
        <w:rPr>
          <w:rFonts w:ascii="Arial" w:cs="Arial" w:eastAsia="Arial" w:hAnsi="Arial"/>
          <w:sz w:val="18"/>
          <w:szCs w:val="18"/>
          <w:color w:val="auto"/>
        </w:rPr>
        <w:t>Insurance and other third-party recoveries received by Con Edison or CECONY were immaterial for the three and six months ended June 30, 2021 and 2020.</w:t>
      </w: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62230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102" w:right="339" w:bottom="1440" w:gutter="0" w:footer="0" w:header="0"/>
        </w:sectPr>
      </w:pPr>
    </w:p>
    <w:bookmarkStart w:id="32" w:name="page33"/>
    <w:bookmarkEnd w:id="32"/>
    <w:p>
      <w:pPr>
        <w:ind w:right="200"/>
        <w:spacing w:after="0" w:line="253" w:lineRule="auto"/>
        <w:rPr>
          <w:sz w:val="20"/>
          <w:szCs w:val="20"/>
          <w:color w:val="auto"/>
        </w:rPr>
      </w:pPr>
      <w:r>
        <w:rPr>
          <w:rFonts w:ascii="Arial" w:cs="Arial" w:eastAsia="Arial" w:hAnsi="Arial"/>
          <w:sz w:val="18"/>
          <w:szCs w:val="18"/>
          <w:color w:val="auto"/>
        </w:rPr>
        <w:t>In 2020, Con Edison and CECONY estimated that for their manufactured gas plant sites (including CECONY’s Astoria site), the aggregate undiscounted potential liability for the investigation and remediation of coal tar and/or other environmental contaminants could range up to $2.7 billion and $2.6 billion, respectively. These estimates were based on the assumption that there is contamination at all sites, including those that have not yet been fully investigated and additional assumptions about the extent of the contamination and the type and extent of the remediation that may be required. Actual experience may be materially different.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Proceedings</w:t>
      </w:r>
    </w:p>
    <w:p>
      <w:pPr>
        <w:spacing w:after="0" w:line="7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Suits have been brought in New York State and federal courts against the Utilities and many other defendants, wherein a large number of plaintiffs sought large amounts of compensatory and punitive damages for deaths and injuries allegedly caused by exposure to asbestos at various premises of the Utilities. The suits that have been resolved, which are many, have been resolved without any payment by the Utilities, or for amounts that were not, in the aggregate, material to them. The amounts specified in all the remaining thousands of suits total billions of dollars; however, the Utilities believe that these amounts are greatly exaggerated, based on the disposition of previous claims. At June 30, 2021, Con Edison and CECONY have accrued their estimated aggregate undiscounted potential liabilities for these suits and additional suits that may be brought over the next 15 years as shown in the following table. These estimates were based upon a combination of modeling, historical data analysis and risk factor assessment. Courts have begun, and unless otherwise determined on appeal may continue, to apply different standards for determining liability in asbestos suits than the standard that applied historically. As a result, the Companies currently believe that there is a reasonable possibility of an exposure to loss in excess of the liability accrued for the suits. The Companies are unable to estimate the amount or range of such loss. In addition, certain current and former employees have claimed or are claiming workers’ compensation benefits based on alleged disability from exposure to asbestos. CECONY is permitted to defer as regulatory assets (for subsequent recovery through rates) costs incurred for its asbestos lawsuits and workers’ compensation claims.</w:t>
      </w:r>
    </w:p>
    <w:p>
      <w:pPr>
        <w:spacing w:after="0" w:line="11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accrued liability for asbestos suits and workers’ compensation proceedings (including those related to asbestos exposure) and the amounts deferred as regulatory assets or liabilities for the Companies at June 30, 2021 and December 31, 2020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Borders>
              <w:bottom w:val="single" w:sz="8" w:color="8C8272"/>
            </w:tcBorders>
          </w:tcPr>
          <w:p>
            <w:pPr>
              <w:spacing w:after="0"/>
              <w:rPr>
                <w:sz w:val="16"/>
                <w:szCs w:val="16"/>
                <w:color w:val="auto"/>
              </w:rPr>
            </w:pPr>
          </w:p>
        </w:tc>
        <w:tc>
          <w:tcPr>
            <w:tcW w:w="328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Con Edison</w:t>
            </w:r>
          </w:p>
        </w:tc>
        <w:tc>
          <w:tcPr>
            <w:tcW w:w="880" w:type="dxa"/>
            <w:vAlign w:val="bottom"/>
            <w:tcBorders>
              <w:bottom w:val="single" w:sz="8" w:color="8C8272"/>
            </w:tcBorders>
          </w:tcPr>
          <w:p>
            <w:pPr>
              <w:spacing w:after="0"/>
              <w:rPr>
                <w:sz w:val="16"/>
                <w:szCs w:val="16"/>
                <w:color w:val="auto"/>
              </w:rPr>
            </w:pPr>
          </w:p>
        </w:tc>
        <w:tc>
          <w:tcPr>
            <w:tcW w:w="1420" w:type="dxa"/>
            <w:vAlign w:val="bottom"/>
            <w:tcBorders>
              <w:bottom w:val="single" w:sz="8" w:color="8C8272"/>
            </w:tcBorders>
          </w:tcPr>
          <w:p>
            <w:pPr>
              <w:jc w:val="right"/>
              <w:ind w:right="148"/>
              <w:spacing w:after="0"/>
              <w:rPr>
                <w:sz w:val="20"/>
                <w:szCs w:val="20"/>
                <w:color w:val="auto"/>
              </w:rPr>
            </w:pPr>
            <w:r>
              <w:rPr>
                <w:rFonts w:ascii="Arial" w:cs="Arial" w:eastAsia="Arial" w:hAnsi="Arial"/>
                <w:sz w:val="14"/>
                <w:szCs w:val="14"/>
                <w:b w:val="1"/>
                <w:bCs w:val="1"/>
                <w:color w:val="auto"/>
              </w:rPr>
              <w:t>CECONY</w:t>
            </w:r>
          </w:p>
        </w:tc>
        <w:tc>
          <w:tcPr>
            <w:tcW w:w="560" w:type="dxa"/>
            <w:vAlign w:val="bottom"/>
            <w:tcBorders>
              <w:bottom w:val="single" w:sz="8" w:color="8C8272"/>
            </w:tcBorders>
          </w:tcPr>
          <w:p>
            <w:pPr>
              <w:spacing w:after="0"/>
              <w:rPr>
                <w:sz w:val="16"/>
                <w:szCs w:val="16"/>
                <w:color w:val="auto"/>
              </w:rPr>
            </w:pPr>
          </w:p>
        </w:tc>
      </w:tr>
      <w:tr>
        <w:trPr>
          <w:trHeight w:val="183"/>
        </w:trPr>
        <w:tc>
          <w:tcPr>
            <w:tcW w:w="504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280" w:type="dxa"/>
            <w:vAlign w:val="bottom"/>
            <w:tcBorders>
              <w:bottom w:val="single" w:sz="8" w:color="8C8272"/>
            </w:tcBorders>
          </w:tcPr>
          <w:p>
            <w:pPr>
              <w:jc w:val="right"/>
              <w:ind w:right="688"/>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8C8272"/>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420" w:type="dxa"/>
            <w:vAlign w:val="bottom"/>
            <w:tcBorders>
              <w:bottom w:val="single" w:sz="8" w:color="8C8272"/>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2"/>
        </w:trPr>
        <w:tc>
          <w:tcPr>
            <w:tcW w:w="5040" w:type="dxa"/>
            <w:vAlign w:val="bottom"/>
            <w:shd w:val="clear" w:color="auto" w:fill="E5E5E5"/>
          </w:tcPr>
          <w:p>
            <w:pPr>
              <w:ind w:left="20"/>
              <w:spacing w:after="0"/>
              <w:rPr>
                <w:sz w:val="20"/>
                <w:szCs w:val="20"/>
                <w:color w:val="auto"/>
              </w:rPr>
            </w:pPr>
            <w:r>
              <w:rPr>
                <w:rFonts w:ascii="Arial" w:cs="Arial" w:eastAsia="Arial" w:hAnsi="Arial"/>
                <w:sz w:val="14"/>
                <w:szCs w:val="14"/>
                <w:color w:val="auto"/>
              </w:rPr>
              <w:t>Accrued liability – asbestos suits</w:t>
            </w:r>
          </w:p>
        </w:tc>
        <w:tc>
          <w:tcPr>
            <w:tcW w:w="3280" w:type="dxa"/>
            <w:vAlign w:val="bottom"/>
            <w:shd w:val="clear" w:color="auto" w:fill="E5E5E5"/>
          </w:tcPr>
          <w:p>
            <w:pPr>
              <w:jc w:val="right"/>
              <w:ind w:right="688"/>
              <w:spacing w:after="0"/>
              <w:rPr>
                <w:sz w:val="20"/>
                <w:szCs w:val="20"/>
                <w:color w:val="auto"/>
              </w:rPr>
            </w:pPr>
            <w:r>
              <w:rPr>
                <w:rFonts w:ascii="Arial" w:cs="Arial" w:eastAsia="Arial" w:hAnsi="Arial"/>
                <w:sz w:val="14"/>
                <w:szCs w:val="14"/>
                <w:color w:val="auto"/>
              </w:rPr>
              <w:t>$8</w:t>
            </w:r>
          </w:p>
        </w:tc>
        <w:tc>
          <w:tcPr>
            <w:tcW w:w="88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$8</w:t>
            </w:r>
          </w:p>
        </w:tc>
        <w:tc>
          <w:tcPr>
            <w:tcW w:w="1420" w:type="dxa"/>
            <w:vAlign w:val="bottom"/>
            <w:shd w:val="clear" w:color="auto" w:fill="E5E5E5"/>
          </w:tcPr>
          <w:p>
            <w:pPr>
              <w:jc w:val="right"/>
              <w:ind w:right="588"/>
              <w:spacing w:after="0"/>
              <w:rPr>
                <w:sz w:val="20"/>
                <w:szCs w:val="20"/>
                <w:color w:val="auto"/>
              </w:rPr>
            </w:pPr>
            <w:r>
              <w:rPr>
                <w:rFonts w:ascii="Arial" w:cs="Arial" w:eastAsia="Arial" w:hAnsi="Arial"/>
                <w:sz w:val="14"/>
                <w:szCs w:val="14"/>
                <w:color w:val="auto"/>
              </w:rPr>
              <w:t>$7</w:t>
            </w:r>
          </w:p>
        </w:tc>
        <w:tc>
          <w:tcPr>
            <w:tcW w:w="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w:t>
            </w:r>
          </w:p>
        </w:tc>
      </w:tr>
      <w:tr>
        <w:trPr>
          <w:trHeight w:val="189"/>
        </w:trPr>
        <w:tc>
          <w:tcPr>
            <w:tcW w:w="504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Regulatory assets – asbestos suits</w:t>
            </w:r>
          </w:p>
        </w:tc>
        <w:tc>
          <w:tcPr>
            <w:tcW w:w="3280" w:type="dxa"/>
            <w:vAlign w:val="bottom"/>
            <w:tcBorders>
              <w:bottom w:val="single" w:sz="8" w:color="8C8272"/>
            </w:tcBorders>
          </w:tcPr>
          <w:p>
            <w:pPr>
              <w:jc w:val="right"/>
              <w:ind w:right="688"/>
              <w:spacing w:after="0"/>
              <w:rPr>
                <w:sz w:val="20"/>
                <w:szCs w:val="20"/>
                <w:color w:val="auto"/>
              </w:rPr>
            </w:pPr>
            <w:r>
              <w:rPr>
                <w:rFonts w:ascii="Arial" w:cs="Arial" w:eastAsia="Arial" w:hAnsi="Arial"/>
                <w:sz w:val="14"/>
                <w:szCs w:val="14"/>
                <w:color w:val="auto"/>
              </w:rPr>
              <w:t>$8</w:t>
            </w:r>
          </w:p>
        </w:tc>
        <w:tc>
          <w:tcPr>
            <w:tcW w:w="880" w:type="dxa"/>
            <w:vAlign w:val="bottom"/>
            <w:tcBorders>
              <w:bottom w:val="single" w:sz="8" w:color="8C8272"/>
            </w:tcBorders>
          </w:tcPr>
          <w:p>
            <w:pPr>
              <w:jc w:val="right"/>
              <w:ind w:right="368"/>
              <w:spacing w:after="0"/>
              <w:rPr>
                <w:sz w:val="20"/>
                <w:szCs w:val="20"/>
                <w:color w:val="auto"/>
              </w:rPr>
            </w:pPr>
            <w:r>
              <w:rPr>
                <w:rFonts w:ascii="Arial" w:cs="Arial" w:eastAsia="Arial" w:hAnsi="Arial"/>
                <w:sz w:val="14"/>
                <w:szCs w:val="14"/>
                <w:color w:val="auto"/>
              </w:rPr>
              <w:t>$8</w:t>
            </w:r>
          </w:p>
        </w:tc>
        <w:tc>
          <w:tcPr>
            <w:tcW w:w="1420" w:type="dxa"/>
            <w:vAlign w:val="bottom"/>
            <w:tcBorders>
              <w:bottom w:val="single" w:sz="8" w:color="8C8272"/>
            </w:tcBorders>
          </w:tcPr>
          <w:p>
            <w:pPr>
              <w:jc w:val="right"/>
              <w:ind w:right="588"/>
              <w:spacing w:after="0"/>
              <w:rPr>
                <w:sz w:val="20"/>
                <w:szCs w:val="20"/>
                <w:color w:val="auto"/>
              </w:rPr>
            </w:pPr>
            <w:r>
              <w:rPr>
                <w:rFonts w:ascii="Arial" w:cs="Arial" w:eastAsia="Arial" w:hAnsi="Arial"/>
                <w:sz w:val="14"/>
                <w:szCs w:val="14"/>
                <w:color w:val="auto"/>
              </w:rPr>
              <w:t>$7</w:t>
            </w:r>
          </w:p>
        </w:tc>
        <w:tc>
          <w:tcPr>
            <w:tcW w:w="5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$7</w:t>
            </w:r>
          </w:p>
        </w:tc>
      </w:tr>
      <w:tr>
        <w:trPr>
          <w:trHeight w:val="183"/>
        </w:trPr>
        <w:tc>
          <w:tcPr>
            <w:tcW w:w="5040" w:type="dxa"/>
            <w:vAlign w:val="bottom"/>
            <w:shd w:val="clear" w:color="auto" w:fill="E5E5E5"/>
          </w:tcPr>
          <w:p>
            <w:pPr>
              <w:ind w:left="20"/>
              <w:spacing w:after="0"/>
              <w:rPr>
                <w:sz w:val="20"/>
                <w:szCs w:val="20"/>
                <w:color w:val="auto"/>
              </w:rPr>
            </w:pPr>
            <w:r>
              <w:rPr>
                <w:rFonts w:ascii="Arial" w:cs="Arial" w:eastAsia="Arial" w:hAnsi="Arial"/>
                <w:sz w:val="14"/>
                <w:szCs w:val="14"/>
                <w:color w:val="auto"/>
              </w:rPr>
              <w:t>Accrued liability – workers’ compensation</w:t>
            </w:r>
          </w:p>
        </w:tc>
        <w:tc>
          <w:tcPr>
            <w:tcW w:w="3280" w:type="dxa"/>
            <w:vAlign w:val="bottom"/>
            <w:shd w:val="clear" w:color="auto" w:fill="E5E5E5"/>
          </w:tcPr>
          <w:p>
            <w:pPr>
              <w:jc w:val="right"/>
              <w:ind w:right="688"/>
              <w:spacing w:after="0"/>
              <w:rPr>
                <w:sz w:val="20"/>
                <w:szCs w:val="20"/>
                <w:color w:val="auto"/>
              </w:rPr>
            </w:pPr>
            <w:r>
              <w:rPr>
                <w:rFonts w:ascii="Arial" w:cs="Arial" w:eastAsia="Arial" w:hAnsi="Arial"/>
                <w:sz w:val="14"/>
                <w:szCs w:val="14"/>
                <w:color w:val="auto"/>
              </w:rPr>
              <w:t>$70</w:t>
            </w:r>
          </w:p>
        </w:tc>
        <w:tc>
          <w:tcPr>
            <w:tcW w:w="88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$72</w:t>
            </w:r>
          </w:p>
        </w:tc>
        <w:tc>
          <w:tcPr>
            <w:tcW w:w="1420" w:type="dxa"/>
            <w:vAlign w:val="bottom"/>
            <w:shd w:val="clear" w:color="auto" w:fill="E5E5E5"/>
          </w:tcPr>
          <w:p>
            <w:pPr>
              <w:jc w:val="right"/>
              <w:ind w:right="588"/>
              <w:spacing w:after="0"/>
              <w:rPr>
                <w:sz w:val="20"/>
                <w:szCs w:val="20"/>
                <w:color w:val="auto"/>
              </w:rPr>
            </w:pPr>
            <w:r>
              <w:rPr>
                <w:rFonts w:ascii="Arial" w:cs="Arial" w:eastAsia="Arial" w:hAnsi="Arial"/>
                <w:sz w:val="14"/>
                <w:szCs w:val="14"/>
                <w:color w:val="auto"/>
              </w:rPr>
              <w:t>$67</w:t>
            </w:r>
          </w:p>
        </w:tc>
        <w:tc>
          <w:tcPr>
            <w:tcW w:w="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$68</w:t>
            </w:r>
          </w:p>
        </w:tc>
      </w:tr>
      <w:tr>
        <w:trPr>
          <w:trHeight w:val="189"/>
        </w:trPr>
        <w:tc>
          <w:tcPr>
            <w:tcW w:w="504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Regulatory liability – workers’ compensation</w:t>
            </w:r>
          </w:p>
        </w:tc>
        <w:tc>
          <w:tcPr>
            <w:tcW w:w="3280" w:type="dxa"/>
            <w:vAlign w:val="bottom"/>
            <w:tcBorders>
              <w:bottom w:val="single" w:sz="8" w:color="8C8272"/>
            </w:tcBorders>
          </w:tcPr>
          <w:p>
            <w:pPr>
              <w:jc w:val="right"/>
              <w:ind w:right="688"/>
              <w:spacing w:after="0"/>
              <w:rPr>
                <w:sz w:val="20"/>
                <w:szCs w:val="20"/>
                <w:color w:val="auto"/>
              </w:rPr>
            </w:pPr>
            <w:r>
              <w:rPr>
                <w:rFonts w:ascii="Arial" w:cs="Arial" w:eastAsia="Arial" w:hAnsi="Arial"/>
                <w:sz w:val="14"/>
                <w:szCs w:val="14"/>
                <w:color w:val="auto"/>
              </w:rPr>
              <w:t>$4</w:t>
            </w:r>
          </w:p>
        </w:tc>
        <w:tc>
          <w:tcPr>
            <w:tcW w:w="880" w:type="dxa"/>
            <w:vAlign w:val="bottom"/>
            <w:tcBorders>
              <w:bottom w:val="single" w:sz="8" w:color="8C8272"/>
            </w:tcBorders>
          </w:tcPr>
          <w:p>
            <w:pPr>
              <w:jc w:val="right"/>
              <w:ind w:right="368"/>
              <w:spacing w:after="0"/>
              <w:rPr>
                <w:sz w:val="20"/>
                <w:szCs w:val="20"/>
                <w:color w:val="auto"/>
              </w:rPr>
            </w:pPr>
            <w:r>
              <w:rPr>
                <w:rFonts w:ascii="Arial" w:cs="Arial" w:eastAsia="Arial" w:hAnsi="Arial"/>
                <w:sz w:val="14"/>
                <w:szCs w:val="14"/>
                <w:color w:val="auto"/>
              </w:rPr>
              <w:t>$3</w:t>
            </w:r>
          </w:p>
        </w:tc>
        <w:tc>
          <w:tcPr>
            <w:tcW w:w="1420" w:type="dxa"/>
            <w:vAlign w:val="bottom"/>
            <w:tcBorders>
              <w:bottom w:val="single" w:sz="8" w:color="8C8272"/>
            </w:tcBorders>
          </w:tcPr>
          <w:p>
            <w:pPr>
              <w:jc w:val="right"/>
              <w:ind w:right="588"/>
              <w:spacing w:after="0"/>
              <w:rPr>
                <w:sz w:val="20"/>
                <w:szCs w:val="20"/>
                <w:color w:val="auto"/>
              </w:rPr>
            </w:pPr>
            <w:r>
              <w:rPr>
                <w:rFonts w:ascii="Arial" w:cs="Arial" w:eastAsia="Arial" w:hAnsi="Arial"/>
                <w:sz w:val="14"/>
                <w:szCs w:val="14"/>
                <w:color w:val="auto"/>
              </w:rPr>
              <w:t>$4</w:t>
            </w:r>
          </w:p>
        </w:tc>
        <w:tc>
          <w:tcPr>
            <w:tcW w:w="5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-102235</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-85090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-67945</wp:posOffset>
            </wp:positionV>
            <wp:extent cx="825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-50800</wp:posOffset>
            </wp:positionV>
            <wp:extent cx="825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-33655</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-16510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-248285</wp:posOffset>
            </wp:positionV>
            <wp:extent cx="825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-222250</wp:posOffset>
            </wp:positionV>
            <wp:extent cx="825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-205105</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-187960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-153670</wp:posOffset>
            </wp:positionV>
            <wp:extent cx="825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-136525</wp:posOffset>
            </wp:positionV>
            <wp:extent cx="825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-351155</wp:posOffset>
            </wp:positionV>
            <wp:extent cx="825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-334010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-316865</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-299720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-282575</wp:posOffset>
            </wp:positionV>
            <wp:extent cx="825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-265430</wp:posOffset>
            </wp:positionV>
            <wp:extent cx="825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-496570</wp:posOffset>
            </wp:positionV>
            <wp:extent cx="825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-471170</wp:posOffset>
            </wp:positionV>
            <wp:extent cx="825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-453390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-436880</wp:posOffset>
            </wp:positionV>
            <wp:extent cx="825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-419735</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-402590</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-385445</wp:posOffset>
            </wp:positionV>
            <wp:extent cx="825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-624840</wp:posOffset>
            </wp:positionV>
            <wp:extent cx="825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-599440</wp:posOffset>
            </wp:positionV>
            <wp:extent cx="825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-582295</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-565150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-548005</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-530860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-513715</wp:posOffset>
            </wp:positionV>
            <wp:extent cx="825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8C8272"/>
        </w:rPr>
        <w:t>Note H – Other Material Contingencies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Manhattan Explosion and Fire</w:t>
      </w:r>
    </w:p>
    <w:p>
      <w:pPr>
        <w:spacing w:after="0" w:line="3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On March 12, 2014, two multi-use five-story tall buildings located on Park Avenue between 116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and 117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Streets in Manhattan were destroyed by an explosion and fire. CECONY had delivered gas to the buildings through service lines from a distribution main located below ground on Park Avenue. Eight people died and more than 50 people were injured. Additional buildings were also damaged. The National Transportation Safety Board (NTSB) investigated. The parties to the investigation included the company, the City of New York, the Pipeline and Hazardous Materials Safety Administration and the NYSPSC. In June 2015, the NTSB issued a final report concerning the incident, its probable cause and safety recommendations. The NTSB determined that the probable cause of the incident was (1) the failure of a defective fusion joint at a service tee (which joined a plastic service line to a plastic distribution main) installed by the company that allowed gas to leak from the distribution main and migrate into a building where it ignited and (2) a breach in a City sewer line that allowed groundwater and soil to flow into the sewer, resulting in a loss of support for the distribution main, which caused it to sag and overstressed the defective fusion joint. The NTSB also made safety recommendations, including recommendations to the company that addressed its procedures for the preparation and examination of plastic fusions, training of its staff on conditions for notifications to the City’s Fire Department and extension of its gas main isolation valve installation program. In February 2017, the NYSPSC approved a settlement agreement with the company related to the NYSPSC's investigations of the incident and the practices of qualifying persons to perform plastic fusions. Pursuant to the agreement, the company is providing $ 27 million of future benefits to customers (for which it has accrued a regulatory liability) and will not recover from customers $126 million of costs for gas emergency response activities that it had previously incurred and expensed. Approximately eighty suits are pending against the company seeking generally unspecified damages and, in some cases, punitive damages, for wrongful death, personal injury, property damage and business interruption. The company notified its insurers of the incident and believes that the policies in force at the time of the incident will cover the company’s costs, in excess of a required retention (the amount of which is not material), to satisfy any liability it may have for damages in connection with the incident. In the company’s estimation, there is not a reasonable possibility that an exposure to loss exists for the suits that is materially in excess of the estimated liability accrued. At June 30, 2021, the company has accrued its estimated liability for the suits of $40 million and an insurance receivable in the same amount.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contingencies, see "Other Regulatory Matters" in Note B, Note G and “Uncertain Tax Positions” in Note J.</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7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Con Edison and its subsidiaries have entered into various agreements providing financial or performance assurance primarily to third parties on behalf of their subsidiaries. Maximum amounts guaranteed by Con Edison and its subsidiaries under these agreements totaled $2,311 million and $2,042 million at June 30, 2021 and December 31, 2020, respectively.</w:t>
      </w:r>
    </w:p>
    <w:p>
      <w:pPr>
        <w:spacing w:after="0" w:line="10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 summary, by type and term, of amounts guaranteed by Con Edison and its subsidiaries under these agreements at June 30, 2021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color w:val="auto"/>
              </w:rPr>
              <w:t>Guarantee Type</w:t>
            </w:r>
          </w:p>
        </w:tc>
        <w:tc>
          <w:tcPr>
            <w:tcW w:w="2900" w:type="dxa"/>
            <w:vAlign w:val="bottom"/>
            <w:tcBorders>
              <w:bottom w:val="single" w:sz="8" w:color="8C8272"/>
            </w:tcBorders>
          </w:tcPr>
          <w:p>
            <w:pPr>
              <w:jc w:val="right"/>
              <w:ind w:right="248"/>
              <w:spacing w:after="0"/>
              <w:rPr>
                <w:sz w:val="20"/>
                <w:szCs w:val="20"/>
                <w:color w:val="auto"/>
              </w:rPr>
            </w:pPr>
            <w:r>
              <w:rPr>
                <w:rFonts w:ascii="Arial" w:cs="Arial" w:eastAsia="Arial" w:hAnsi="Arial"/>
                <w:sz w:val="14"/>
                <w:szCs w:val="14"/>
                <w:b w:val="1"/>
                <w:bCs w:val="1"/>
                <w:color w:val="auto"/>
              </w:rPr>
              <w:t>0 – 3 years</w:t>
            </w:r>
          </w:p>
        </w:tc>
        <w:tc>
          <w:tcPr>
            <w:tcW w:w="1820" w:type="dxa"/>
            <w:vAlign w:val="bottom"/>
            <w:tcBorders>
              <w:bottom w:val="single" w:sz="8" w:color="8C8272"/>
            </w:tcBorders>
          </w:tcPr>
          <w:p>
            <w:pPr>
              <w:jc w:val="right"/>
              <w:ind w:right="628"/>
              <w:spacing w:after="0"/>
              <w:rPr>
                <w:sz w:val="20"/>
                <w:szCs w:val="20"/>
                <w:color w:val="auto"/>
              </w:rPr>
            </w:pPr>
            <w:r>
              <w:rPr>
                <w:rFonts w:ascii="Arial" w:cs="Arial" w:eastAsia="Arial" w:hAnsi="Arial"/>
                <w:sz w:val="14"/>
                <w:szCs w:val="14"/>
                <w:b w:val="1"/>
                <w:bCs w:val="1"/>
                <w:color w:val="auto"/>
              </w:rPr>
              <w:t>4 – 10 years</w:t>
            </w:r>
          </w:p>
        </w:tc>
        <w:tc>
          <w:tcPr>
            <w:tcW w:w="1220" w:type="dxa"/>
            <w:vAlign w:val="bottom"/>
            <w:tcBorders>
              <w:bottom w:val="single" w:sz="8" w:color="8C8272"/>
            </w:tcBorders>
          </w:tcPr>
          <w:p>
            <w:pPr>
              <w:jc w:val="right"/>
              <w:ind w:right="408"/>
              <w:spacing w:after="0"/>
              <w:rPr>
                <w:sz w:val="20"/>
                <w:szCs w:val="20"/>
                <w:color w:val="auto"/>
              </w:rPr>
            </w:pPr>
            <w:r>
              <w:rPr>
                <w:rFonts w:ascii="Arial" w:cs="Arial" w:eastAsia="Arial" w:hAnsi="Arial"/>
                <w:sz w:val="14"/>
                <w:szCs w:val="14"/>
                <w:b w:val="1"/>
                <w:bCs w:val="1"/>
                <w:color w:val="auto"/>
              </w:rPr>
              <w:t>&gt; 10 years</w:t>
            </w:r>
          </w:p>
        </w:tc>
        <w:tc>
          <w:tcPr>
            <w:tcW w:w="9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183"/>
        </w:trPr>
        <w:tc>
          <w:tcPr>
            <w:tcW w:w="43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(Millions of Dollars)</w:t>
            </w: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9"/>
        </w:trPr>
        <w:tc>
          <w:tcPr>
            <w:tcW w:w="434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Con Edison Transmission</w:t>
            </w:r>
          </w:p>
        </w:tc>
        <w:tc>
          <w:tcPr>
            <w:tcW w:w="290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$547</w:t>
            </w:r>
          </w:p>
        </w:tc>
        <w:tc>
          <w:tcPr>
            <w:tcW w:w="1820" w:type="dxa"/>
            <w:vAlign w:val="bottom"/>
            <w:shd w:val="clear" w:color="auto" w:fill="E5E5E5"/>
          </w:tcPr>
          <w:p>
            <w:pPr>
              <w:jc w:val="right"/>
              <w:ind w:right="6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5E5"/>
          </w:tcPr>
          <w:p>
            <w:pPr>
              <w:jc w:val="right"/>
              <w:ind w:right="46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$547</w:t>
            </w:r>
          </w:p>
        </w:tc>
      </w:tr>
      <w:tr>
        <w:trPr>
          <w:trHeight w:val="189"/>
        </w:trPr>
        <w:tc>
          <w:tcPr>
            <w:tcW w:w="4340" w:type="dxa"/>
            <w:vAlign w:val="bottom"/>
          </w:tcPr>
          <w:p>
            <w:pPr>
              <w:ind w:left="20"/>
              <w:spacing w:after="0"/>
              <w:rPr>
                <w:sz w:val="20"/>
                <w:szCs w:val="20"/>
                <w:color w:val="auto"/>
              </w:rPr>
            </w:pPr>
            <w:r>
              <w:rPr>
                <w:rFonts w:ascii="Arial" w:cs="Arial" w:eastAsia="Arial" w:hAnsi="Arial"/>
                <w:sz w:val="14"/>
                <w:szCs w:val="14"/>
                <w:color w:val="auto"/>
              </w:rPr>
              <w:t>Energy transactions</w:t>
            </w:r>
          </w:p>
        </w:tc>
        <w:tc>
          <w:tcPr>
            <w:tcW w:w="2900" w:type="dxa"/>
            <w:vAlign w:val="bottom"/>
          </w:tcPr>
          <w:p>
            <w:pPr>
              <w:jc w:val="right"/>
              <w:ind w:right="248"/>
              <w:spacing w:after="0"/>
              <w:rPr>
                <w:sz w:val="20"/>
                <w:szCs w:val="20"/>
                <w:color w:val="auto"/>
              </w:rPr>
            </w:pPr>
            <w:r>
              <w:rPr>
                <w:rFonts w:ascii="Arial" w:cs="Arial" w:eastAsia="Arial" w:hAnsi="Arial"/>
                <w:sz w:val="14"/>
                <w:szCs w:val="14"/>
                <w:color w:val="auto"/>
              </w:rPr>
              <w:t>453</w:t>
            </w:r>
          </w:p>
        </w:tc>
        <w:tc>
          <w:tcPr>
            <w:tcW w:w="1820" w:type="dxa"/>
            <w:vAlign w:val="bottom"/>
          </w:tcPr>
          <w:p>
            <w:pPr>
              <w:jc w:val="right"/>
              <w:ind w:right="628"/>
              <w:spacing w:after="0"/>
              <w:rPr>
                <w:sz w:val="20"/>
                <w:szCs w:val="20"/>
                <w:color w:val="auto"/>
              </w:rPr>
            </w:pPr>
            <w:r>
              <w:rPr>
                <w:rFonts w:ascii="Arial" w:cs="Arial" w:eastAsia="Arial" w:hAnsi="Arial"/>
                <w:sz w:val="14"/>
                <w:szCs w:val="14"/>
                <w:color w:val="auto"/>
              </w:rPr>
              <w:t>57</w:t>
            </w:r>
          </w:p>
        </w:tc>
        <w:tc>
          <w:tcPr>
            <w:tcW w:w="1220" w:type="dxa"/>
            <w:vAlign w:val="bottom"/>
          </w:tcPr>
          <w:p>
            <w:pPr>
              <w:jc w:val="right"/>
              <w:ind w:right="408"/>
              <w:spacing w:after="0"/>
              <w:rPr>
                <w:sz w:val="20"/>
                <w:szCs w:val="20"/>
                <w:color w:val="auto"/>
              </w:rPr>
            </w:pPr>
            <w:r>
              <w:rPr>
                <w:rFonts w:ascii="Arial" w:cs="Arial" w:eastAsia="Arial" w:hAnsi="Arial"/>
                <w:sz w:val="14"/>
                <w:szCs w:val="14"/>
                <w:color w:val="auto"/>
              </w:rPr>
              <w:t>321</w:t>
            </w:r>
          </w:p>
        </w:tc>
        <w:tc>
          <w:tcPr>
            <w:tcW w:w="960" w:type="dxa"/>
            <w:vAlign w:val="bottom"/>
          </w:tcPr>
          <w:p>
            <w:pPr>
              <w:jc w:val="right"/>
              <w:spacing w:after="0"/>
              <w:rPr>
                <w:sz w:val="20"/>
                <w:szCs w:val="20"/>
                <w:color w:val="auto"/>
              </w:rPr>
            </w:pPr>
            <w:r>
              <w:rPr>
                <w:rFonts w:ascii="Arial" w:cs="Arial" w:eastAsia="Arial" w:hAnsi="Arial"/>
                <w:sz w:val="14"/>
                <w:szCs w:val="14"/>
                <w:color w:val="auto"/>
              </w:rPr>
              <w:t>831</w:t>
            </w:r>
          </w:p>
        </w:tc>
      </w:tr>
      <w:tr>
        <w:trPr>
          <w:trHeight w:val="189"/>
        </w:trPr>
        <w:tc>
          <w:tcPr>
            <w:tcW w:w="4340" w:type="dxa"/>
            <w:vAlign w:val="bottom"/>
            <w:shd w:val="clear" w:color="auto" w:fill="E5E5E5"/>
          </w:tcPr>
          <w:p>
            <w:pPr>
              <w:ind w:left="20"/>
              <w:spacing w:after="0"/>
              <w:rPr>
                <w:sz w:val="20"/>
                <w:szCs w:val="20"/>
                <w:color w:val="auto"/>
              </w:rPr>
            </w:pPr>
            <w:r>
              <w:rPr>
                <w:rFonts w:ascii="Arial" w:cs="Arial" w:eastAsia="Arial" w:hAnsi="Arial"/>
                <w:sz w:val="14"/>
                <w:szCs w:val="14"/>
                <w:color w:val="auto"/>
              </w:rPr>
              <w:t>Renewable electric production projects</w:t>
            </w:r>
          </w:p>
        </w:tc>
        <w:tc>
          <w:tcPr>
            <w:tcW w:w="290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364</w:t>
            </w:r>
          </w:p>
        </w:tc>
        <w:tc>
          <w:tcPr>
            <w:tcW w:w="1820" w:type="dxa"/>
            <w:vAlign w:val="bottom"/>
            <w:shd w:val="clear" w:color="auto" w:fill="E5E5E5"/>
          </w:tcPr>
          <w:p>
            <w:pPr>
              <w:jc w:val="right"/>
              <w:ind w:right="628"/>
              <w:spacing w:after="0"/>
              <w:rPr>
                <w:sz w:val="20"/>
                <w:szCs w:val="20"/>
                <w:color w:val="auto"/>
              </w:rPr>
            </w:pPr>
            <w:r>
              <w:rPr>
                <w:rFonts w:ascii="Arial" w:cs="Arial" w:eastAsia="Arial" w:hAnsi="Arial"/>
                <w:sz w:val="14"/>
                <w:szCs w:val="14"/>
                <w:color w:val="auto"/>
              </w:rPr>
              <w:t>119</w:t>
            </w:r>
          </w:p>
        </w:tc>
        <w:tc>
          <w:tcPr>
            <w:tcW w:w="1220" w:type="dxa"/>
            <w:vAlign w:val="bottom"/>
            <w:shd w:val="clear" w:color="auto" w:fill="E5E5E5"/>
          </w:tcPr>
          <w:p>
            <w:pPr>
              <w:jc w:val="right"/>
              <w:ind w:right="408"/>
              <w:spacing w:after="0"/>
              <w:rPr>
                <w:sz w:val="20"/>
                <w:szCs w:val="20"/>
                <w:color w:val="auto"/>
              </w:rPr>
            </w:pPr>
            <w:r>
              <w:rPr>
                <w:rFonts w:ascii="Arial" w:cs="Arial" w:eastAsia="Arial" w:hAnsi="Arial"/>
                <w:sz w:val="14"/>
                <w:szCs w:val="14"/>
                <w:color w:val="auto"/>
              </w:rPr>
              <w:t>380</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863</w:t>
            </w:r>
          </w:p>
        </w:tc>
      </w:tr>
      <w:tr>
        <w:trPr>
          <w:trHeight w:val="189"/>
        </w:trPr>
        <w:tc>
          <w:tcPr>
            <w:tcW w:w="434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Other</w:t>
            </w:r>
          </w:p>
        </w:tc>
        <w:tc>
          <w:tcPr>
            <w:tcW w:w="2900" w:type="dxa"/>
            <w:vAlign w:val="bottom"/>
            <w:tcBorders>
              <w:bottom w:val="single" w:sz="8" w:color="8C8272"/>
            </w:tcBorders>
          </w:tcPr>
          <w:p>
            <w:pPr>
              <w:jc w:val="right"/>
              <w:ind w:right="248"/>
              <w:spacing w:after="0"/>
              <w:rPr>
                <w:sz w:val="20"/>
                <w:szCs w:val="20"/>
                <w:color w:val="auto"/>
              </w:rPr>
            </w:pPr>
            <w:r>
              <w:rPr>
                <w:rFonts w:ascii="Arial" w:cs="Arial" w:eastAsia="Arial" w:hAnsi="Arial"/>
                <w:sz w:val="14"/>
                <w:szCs w:val="14"/>
                <w:color w:val="auto"/>
              </w:rPr>
              <w:t>70</w:t>
            </w:r>
          </w:p>
        </w:tc>
        <w:tc>
          <w:tcPr>
            <w:tcW w:w="1820" w:type="dxa"/>
            <w:vAlign w:val="bottom"/>
            <w:tcBorders>
              <w:bottom w:val="single" w:sz="8" w:color="8C8272"/>
            </w:tcBorders>
          </w:tcPr>
          <w:p>
            <w:pPr>
              <w:jc w:val="right"/>
              <w:ind w:right="6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8C8272"/>
            </w:tcBorders>
          </w:tcPr>
          <w:p>
            <w:pPr>
              <w:jc w:val="right"/>
              <w:ind w:right="4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70</w:t>
            </w:r>
          </w:p>
        </w:tc>
      </w:tr>
      <w:tr>
        <w:trPr>
          <w:trHeight w:val="183"/>
        </w:trPr>
        <w:tc>
          <w:tcPr>
            <w:tcW w:w="434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Total</w:t>
            </w:r>
          </w:p>
        </w:tc>
        <w:tc>
          <w:tcPr>
            <w:tcW w:w="2900" w:type="dxa"/>
            <w:vAlign w:val="bottom"/>
            <w:tcBorders>
              <w:bottom w:val="single" w:sz="8" w:color="8C8272"/>
            </w:tcBorders>
            <w:shd w:val="clear" w:color="auto" w:fill="E5E5E5"/>
          </w:tcPr>
          <w:p>
            <w:pPr>
              <w:jc w:val="right"/>
              <w:ind w:right="248"/>
              <w:spacing w:after="0"/>
              <w:rPr>
                <w:sz w:val="20"/>
                <w:szCs w:val="20"/>
                <w:color w:val="auto"/>
              </w:rPr>
            </w:pPr>
            <w:r>
              <w:rPr>
                <w:rFonts w:ascii="Arial" w:cs="Arial" w:eastAsia="Arial" w:hAnsi="Arial"/>
                <w:sz w:val="14"/>
                <w:szCs w:val="14"/>
                <w:color w:val="auto"/>
              </w:rPr>
              <w:t>$1,434</w:t>
            </w:r>
          </w:p>
        </w:tc>
        <w:tc>
          <w:tcPr>
            <w:tcW w:w="1820" w:type="dxa"/>
            <w:vAlign w:val="bottom"/>
            <w:tcBorders>
              <w:bottom w:val="single" w:sz="8" w:color="8C8272"/>
            </w:tcBorders>
            <w:shd w:val="clear" w:color="auto" w:fill="E5E5E5"/>
          </w:tcPr>
          <w:p>
            <w:pPr>
              <w:jc w:val="right"/>
              <w:ind w:right="628"/>
              <w:spacing w:after="0"/>
              <w:rPr>
                <w:sz w:val="20"/>
                <w:szCs w:val="20"/>
                <w:color w:val="auto"/>
              </w:rPr>
            </w:pPr>
            <w:r>
              <w:rPr>
                <w:rFonts w:ascii="Arial" w:cs="Arial" w:eastAsia="Arial" w:hAnsi="Arial"/>
                <w:sz w:val="14"/>
                <w:szCs w:val="14"/>
                <w:color w:val="auto"/>
              </w:rPr>
              <w:t>$176</w:t>
            </w:r>
          </w:p>
        </w:tc>
        <w:tc>
          <w:tcPr>
            <w:tcW w:w="1220" w:type="dxa"/>
            <w:vAlign w:val="bottom"/>
            <w:tcBorders>
              <w:bottom w:val="single" w:sz="8" w:color="8C8272"/>
            </w:tcBorders>
            <w:shd w:val="clear" w:color="auto" w:fill="E5E5E5"/>
          </w:tcPr>
          <w:p>
            <w:pPr>
              <w:jc w:val="right"/>
              <w:ind w:right="408"/>
              <w:spacing w:after="0"/>
              <w:rPr>
                <w:sz w:val="20"/>
                <w:szCs w:val="20"/>
                <w:color w:val="auto"/>
              </w:rPr>
            </w:pPr>
            <w:r>
              <w:rPr>
                <w:rFonts w:ascii="Arial" w:cs="Arial" w:eastAsia="Arial" w:hAnsi="Arial"/>
                <w:sz w:val="14"/>
                <w:szCs w:val="14"/>
                <w:color w:val="auto"/>
              </w:rPr>
              <w:t>$701</w:t>
            </w:r>
          </w:p>
        </w:tc>
        <w:tc>
          <w:tcPr>
            <w:tcW w:w="9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$2,311</w:t>
            </w:r>
          </w:p>
        </w:tc>
      </w:tr>
    </w:tbl>
    <w:p>
      <w:pPr>
        <w:spacing w:after="0" w:line="200" w:lineRule="exact"/>
        <w:rPr>
          <w:sz w:val="20"/>
          <w:szCs w:val="20"/>
          <w:color w:val="auto"/>
        </w:rPr>
      </w:pPr>
    </w:p>
    <w:p>
      <w:pPr>
        <w:spacing w:after="0" w:line="23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color w:val="auto"/>
        </w:rPr>
        <w:t xml:space="preserve">Con Edison Transmission — </w:t>
      </w:r>
      <w:r>
        <w:rPr>
          <w:rFonts w:ascii="Arial" w:cs="Arial" w:eastAsia="Arial" w:hAnsi="Arial"/>
          <w:sz w:val="18"/>
          <w:szCs w:val="18"/>
          <w:color w:val="auto"/>
        </w:rPr>
        <w:t>Con Edison has guaranteed payment by CET Electric of the contributions CET Electric agreed to make to</w:t>
      </w:r>
      <w:r>
        <w:rPr>
          <w:rFonts w:ascii="Arial" w:cs="Arial" w:eastAsia="Arial" w:hAnsi="Arial"/>
          <w:sz w:val="18"/>
          <w:szCs w:val="18"/>
          <w:b w:val="1"/>
          <w:bCs w:val="1"/>
          <w:color w:val="auto"/>
        </w:rPr>
        <w:t xml:space="preserve"> </w:t>
      </w:r>
      <w:r>
        <w:rPr>
          <w:rFonts w:ascii="Arial" w:cs="Arial" w:eastAsia="Arial" w:hAnsi="Arial"/>
          <w:sz w:val="18"/>
          <w:szCs w:val="18"/>
          <w:color w:val="auto"/>
        </w:rPr>
        <w:t>New York Transco LLC (NY Transco). CET Electric owns a 45.7 percent interest in NY Transco. In April 2019, the New York Independent System Operator (NYISO) selected a transmission project that was jointly proposed by National Grid and NY Transco. The siting, construction and operation of the project will require approvals and permits from appropriate governmental agencies and authorities, including the NYSPSC. The NYISO indicated it will work with the developers to enter into agreements for the development and operation of the projects, including a schedule for entry into service by December 2023. Guarantee amount shown includes the</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4" w:name="page35"/>
    <w:bookmarkEnd w:id="34"/>
    <w:p>
      <w:pPr>
        <w:ind w:right="80"/>
        <w:spacing w:after="0" w:line="254" w:lineRule="auto"/>
        <w:rPr>
          <w:sz w:val="20"/>
          <w:szCs w:val="20"/>
          <w:color w:val="auto"/>
        </w:rPr>
      </w:pPr>
      <w:r>
        <w:rPr>
          <w:rFonts w:ascii="Arial" w:cs="Arial" w:eastAsia="Arial" w:hAnsi="Arial"/>
          <w:sz w:val="18"/>
          <w:szCs w:val="18"/>
          <w:color w:val="auto"/>
        </w:rPr>
        <w:t>maximum possible required amount of CET Electric’s contributions for this project as calculated based on the assumptions that the project is completed at 175 percent of its estimated costs and NY Transco does not use any debt financing for the project. Guarantee amount shown also includes a $7 million guarantee from Con Edison Transmission on behalf of a subsidiary of CET Gas related to the sale of Stagecoach. See "Investments" in Note A.</w:t>
      </w:r>
    </w:p>
    <w:p>
      <w:pPr>
        <w:spacing w:after="0" w:line="101" w:lineRule="exact"/>
        <w:rPr>
          <w:sz w:val="20"/>
          <w:szCs w:val="20"/>
          <w:color w:val="auto"/>
        </w:rPr>
      </w:pPr>
    </w:p>
    <w:p>
      <w:pPr>
        <w:jc w:val="both"/>
        <w:ind w:right="460"/>
        <w:spacing w:after="0" w:line="262" w:lineRule="auto"/>
        <w:rPr>
          <w:sz w:val="20"/>
          <w:szCs w:val="20"/>
          <w:color w:val="auto"/>
        </w:rPr>
      </w:pPr>
      <w:r>
        <w:rPr>
          <w:rFonts w:ascii="Arial" w:cs="Arial" w:eastAsia="Arial" w:hAnsi="Arial"/>
          <w:sz w:val="18"/>
          <w:szCs w:val="18"/>
          <w:b w:val="1"/>
          <w:bCs w:val="1"/>
          <w:color w:val="auto"/>
        </w:rPr>
        <w:t xml:space="preserve">Energy Transactions — </w:t>
      </w:r>
      <w:r>
        <w:rPr>
          <w:rFonts w:ascii="Arial" w:cs="Arial" w:eastAsia="Arial" w:hAnsi="Arial"/>
          <w:sz w:val="18"/>
          <w:szCs w:val="18"/>
          <w:color w:val="auto"/>
        </w:rPr>
        <w:t>Con Edison and the Clean Energy Businesses guarantee payments on behalf of their subsidiaries in order to</w:t>
      </w:r>
      <w:r>
        <w:rPr>
          <w:rFonts w:ascii="Arial" w:cs="Arial" w:eastAsia="Arial" w:hAnsi="Arial"/>
          <w:sz w:val="18"/>
          <w:szCs w:val="18"/>
          <w:b w:val="1"/>
          <w:bCs w:val="1"/>
          <w:color w:val="auto"/>
        </w:rPr>
        <w:t xml:space="preserve"> </w:t>
      </w:r>
      <w:r>
        <w:rPr>
          <w:rFonts w:ascii="Arial" w:cs="Arial" w:eastAsia="Arial" w:hAnsi="Arial"/>
          <w:sz w:val="18"/>
          <w:szCs w:val="18"/>
          <w:color w:val="auto"/>
        </w:rPr>
        <w:t>facilitate physical and financial transactions in electricity, gas, pipeline capacity, transportation, oil, renewable energy credits and energy services. To the extent that liabilities exist under the contracts subject to these guarantees, such liabilities are included in Con Edison’s consolidated balance sheet.</w:t>
      </w:r>
    </w:p>
    <w:p>
      <w:pPr>
        <w:spacing w:after="0" w:line="8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 xml:space="preserve">Renewable Electric Production Projects — </w:t>
      </w:r>
      <w:r>
        <w:rPr>
          <w:rFonts w:ascii="Arial" w:cs="Arial" w:eastAsia="Arial" w:hAnsi="Arial"/>
          <w:sz w:val="18"/>
          <w:szCs w:val="18"/>
          <w:color w:val="auto"/>
        </w:rPr>
        <w:t>Con Edison and the Clean Energy Businesses guarantee payments on behalf of their wholly-owned subsidiaries associated with their investment in, or development for others of, solar and wind energy facilities.</w:t>
      </w:r>
    </w:p>
    <w:p>
      <w:pPr>
        <w:spacing w:after="0" w:line="5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color w:val="auto"/>
        </w:rPr>
        <w:t xml:space="preserve">Other — </w:t>
      </w:r>
      <w:r>
        <w:rPr>
          <w:rFonts w:ascii="Arial" w:cs="Arial" w:eastAsia="Arial" w:hAnsi="Arial"/>
          <w:sz w:val="18"/>
          <w:szCs w:val="18"/>
          <w:color w:val="auto"/>
        </w:rPr>
        <w:t>Other guarantees include $70 million in guarantees provided by Con Edison to Travelers Insurance Company for indemnity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for surety bonds in connection with the operation of solar energy facilities and energy service projects of the Clean Energy Businesses.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Note I – Leases</w:t>
      </w:r>
    </w:p>
    <w:p>
      <w:pPr>
        <w:spacing w:after="0" w:line="7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Operating lease cost and cash paid for amounts included in the measurement of lease liabilities for the three and six months ended June 30, 2021 and 2020 were as follows:</w:t>
      </w:r>
    </w:p>
    <w:p>
      <w:pPr>
        <w:spacing w:after="0" w:line="10"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For the Three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380" w:type="dxa"/>
            <w:vAlign w:val="bottom"/>
            <w:tcBorders>
              <w:top w:val="single" w:sz="8" w:color="8C8272"/>
              <w:bottom w:val="single" w:sz="8" w:color="8C8272"/>
            </w:tcBorders>
          </w:tcPr>
          <w:p>
            <w:pPr>
              <w:spacing w:after="0"/>
              <w:rPr>
                <w:sz w:val="15"/>
                <w:szCs w:val="15"/>
                <w:color w:val="auto"/>
              </w:rPr>
            </w:pPr>
          </w:p>
        </w:tc>
        <w:tc>
          <w:tcPr>
            <w:tcW w:w="20" w:type="dxa"/>
            <w:vAlign w:val="bottom"/>
            <w:tcBorders>
              <w:top w:val="single" w:sz="8" w:color="8C8272"/>
              <w:bottom w:val="single" w:sz="8" w:color="8C8272"/>
            </w:tcBorders>
          </w:tcPr>
          <w:p>
            <w:pPr>
              <w:spacing w:after="0"/>
              <w:rPr>
                <w:sz w:val="15"/>
                <w:szCs w:val="15"/>
                <w:color w:val="auto"/>
              </w:rPr>
            </w:pPr>
          </w:p>
        </w:tc>
        <w:tc>
          <w:tcPr>
            <w:tcW w:w="1820" w:type="dxa"/>
            <w:vAlign w:val="bottom"/>
            <w:tcBorders>
              <w:top w:val="single" w:sz="8" w:color="8C8272"/>
              <w:bottom w:val="single" w:sz="8" w:color="8C8272"/>
            </w:tcBorders>
          </w:tcPr>
          <w:p>
            <w:pPr>
              <w:ind w:left="800"/>
              <w:spacing w:after="0"/>
              <w:rPr>
                <w:sz w:val="20"/>
                <w:szCs w:val="20"/>
                <w:color w:val="auto"/>
              </w:rPr>
            </w:pPr>
            <w:r>
              <w:rPr>
                <w:rFonts w:ascii="Arial" w:cs="Arial" w:eastAsia="Arial" w:hAnsi="Arial"/>
                <w:sz w:val="14"/>
                <w:szCs w:val="14"/>
                <w:b w:val="1"/>
                <w:bCs w:val="1"/>
                <w:color w:val="auto"/>
              </w:rPr>
              <w:t>Con Edison</w:t>
            </w:r>
          </w:p>
        </w:tc>
        <w:tc>
          <w:tcPr>
            <w:tcW w:w="1000" w:type="dxa"/>
            <w:vAlign w:val="bottom"/>
            <w:tcBorders>
              <w:top w:val="single" w:sz="8" w:color="8C8272"/>
              <w:bottom w:val="single" w:sz="8" w:color="8C8272"/>
            </w:tcBorders>
          </w:tcPr>
          <w:p>
            <w:pPr>
              <w:spacing w:after="0"/>
              <w:rPr>
                <w:sz w:val="15"/>
                <w:szCs w:val="15"/>
                <w:color w:val="auto"/>
              </w:rPr>
            </w:pPr>
          </w:p>
        </w:tc>
        <w:tc>
          <w:tcPr>
            <w:tcW w:w="1360" w:type="dxa"/>
            <w:vAlign w:val="bottom"/>
            <w:tcBorders>
              <w:top w:val="single" w:sz="8" w:color="8C8272"/>
              <w:bottom w:val="single" w:sz="8" w:color="8C8272"/>
            </w:tcBorders>
          </w:tcPr>
          <w:p>
            <w:pPr>
              <w:jc w:val="right"/>
              <w:ind w:right="188"/>
              <w:spacing w:after="0"/>
              <w:rPr>
                <w:sz w:val="20"/>
                <w:szCs w:val="20"/>
                <w:color w:val="auto"/>
              </w:rPr>
            </w:pPr>
            <w:r>
              <w:rPr>
                <w:rFonts w:ascii="Arial" w:cs="Arial" w:eastAsia="Arial" w:hAnsi="Arial"/>
                <w:sz w:val="14"/>
                <w:szCs w:val="14"/>
                <w:b w:val="1"/>
                <w:bCs w:val="1"/>
                <w:color w:val="auto"/>
              </w:rPr>
              <w:t>CECONY</w:t>
            </w:r>
          </w:p>
        </w:tc>
        <w:tc>
          <w:tcPr>
            <w:tcW w:w="620" w:type="dxa"/>
            <w:vAlign w:val="bottom"/>
            <w:tcBorders>
              <w:top w:val="single" w:sz="8" w:color="8C8272"/>
              <w:bottom w:val="single" w:sz="8" w:color="8C8272"/>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400" w:type="dxa"/>
            <w:vAlign w:val="bottom"/>
            <w:tcBorders>
              <w:bottom w:val="single" w:sz="8" w:color="8C8272"/>
            </w:tcBorders>
            <w:gridSpan w:val="2"/>
          </w:tcPr>
          <w:p>
            <w:pPr>
              <w:ind w:left="20"/>
              <w:spacing w:after="0"/>
              <w:rPr>
                <w:sz w:val="20"/>
                <w:szCs w:val="20"/>
                <w:color w:val="auto"/>
              </w:rPr>
            </w:pPr>
            <w:r>
              <w:rPr>
                <w:rFonts w:ascii="Arial" w:cs="Arial" w:eastAsia="Arial" w:hAnsi="Arial"/>
                <w:sz w:val="14"/>
                <w:szCs w:val="14"/>
                <w:b w:val="1"/>
                <w:bCs w:val="1"/>
                <w:i w:val="1"/>
                <w:iCs w:val="1"/>
                <w:color w:val="424242"/>
              </w:rPr>
              <w:t>(Millions of Dollars)</w:t>
            </w:r>
          </w:p>
        </w:tc>
        <w:tc>
          <w:tcPr>
            <w:tcW w:w="1820" w:type="dxa"/>
            <w:vAlign w:val="bottom"/>
            <w:tcBorders>
              <w:bottom w:val="single" w:sz="8" w:color="828282"/>
            </w:tcBorders>
          </w:tcPr>
          <w:p>
            <w:pPr>
              <w:ind w:left="860"/>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828282"/>
            </w:tcBorders>
          </w:tcPr>
          <w:p>
            <w:pPr>
              <w:ind w:left="240"/>
              <w:spacing w:after="0"/>
              <w:rPr>
                <w:sz w:val="20"/>
                <w:szCs w:val="20"/>
                <w:color w:val="auto"/>
              </w:rPr>
            </w:pPr>
            <w:r>
              <w:rPr>
                <w:rFonts w:ascii="Arial" w:cs="Arial" w:eastAsia="Arial" w:hAnsi="Arial"/>
                <w:sz w:val="14"/>
                <w:szCs w:val="14"/>
                <w:b w:val="1"/>
                <w:bCs w:val="1"/>
                <w:color w:val="auto"/>
              </w:rPr>
              <w:t>2020</w:t>
            </w:r>
          </w:p>
        </w:tc>
        <w:tc>
          <w:tcPr>
            <w:tcW w:w="1360" w:type="dxa"/>
            <w:vAlign w:val="bottom"/>
            <w:tcBorders>
              <w:bottom w:val="single" w:sz="8" w:color="828282"/>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82828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20" w:type="dxa"/>
            <w:vAlign w:val="bottom"/>
          </w:tcPr>
          <w:p>
            <w:pPr>
              <w:spacing w:after="0"/>
              <w:rPr>
                <w:sz w:val="15"/>
                <w:szCs w:val="15"/>
                <w:color w:val="auto"/>
              </w:rPr>
            </w:pPr>
          </w:p>
        </w:tc>
        <w:tc>
          <w:tcPr>
            <w:tcW w:w="6400" w:type="dxa"/>
            <w:vAlign w:val="bottom"/>
            <w:gridSpan w:val="2"/>
            <w:shd w:val="clear" w:color="auto" w:fill="E5E5E5"/>
          </w:tcPr>
          <w:p>
            <w:pPr>
              <w:ind w:left="140"/>
              <w:spacing w:after="0"/>
              <w:rPr>
                <w:sz w:val="20"/>
                <w:szCs w:val="20"/>
                <w:color w:val="auto"/>
              </w:rPr>
            </w:pPr>
            <w:r>
              <w:rPr>
                <w:rFonts w:ascii="Arial" w:cs="Arial" w:eastAsia="Arial" w:hAnsi="Arial"/>
                <w:sz w:val="14"/>
                <w:szCs w:val="14"/>
                <w:color w:val="auto"/>
              </w:rPr>
              <w:t>Operating lease cost</w:t>
            </w:r>
          </w:p>
        </w:tc>
        <w:tc>
          <w:tcPr>
            <w:tcW w:w="1820" w:type="dxa"/>
            <w:vAlign w:val="bottom"/>
            <w:shd w:val="clear" w:color="auto" w:fill="E5E5E5"/>
          </w:tcPr>
          <w:p>
            <w:pPr>
              <w:jc w:val="right"/>
              <w:ind w:right="608"/>
              <w:spacing w:after="0"/>
              <w:rPr>
                <w:sz w:val="20"/>
                <w:szCs w:val="20"/>
                <w:color w:val="auto"/>
              </w:rPr>
            </w:pPr>
            <w:r>
              <w:rPr>
                <w:rFonts w:ascii="Arial" w:cs="Arial" w:eastAsia="Arial" w:hAnsi="Arial"/>
                <w:sz w:val="14"/>
                <w:szCs w:val="14"/>
                <w:color w:val="auto"/>
              </w:rPr>
              <w:t>$22</w:t>
            </w:r>
          </w:p>
        </w:tc>
        <w:tc>
          <w:tcPr>
            <w:tcW w:w="1000" w:type="dxa"/>
            <w:vAlign w:val="bottom"/>
            <w:shd w:val="clear" w:color="auto" w:fill="E5E5E5"/>
          </w:tcPr>
          <w:p>
            <w:pPr>
              <w:jc w:val="right"/>
              <w:ind w:right="408"/>
              <w:spacing w:after="0"/>
              <w:rPr>
                <w:sz w:val="20"/>
                <w:szCs w:val="20"/>
                <w:color w:val="auto"/>
              </w:rPr>
            </w:pPr>
            <w:r>
              <w:rPr>
                <w:rFonts w:ascii="Arial" w:cs="Arial" w:eastAsia="Arial" w:hAnsi="Arial"/>
                <w:sz w:val="14"/>
                <w:szCs w:val="14"/>
                <w:color w:val="auto"/>
              </w:rPr>
              <w:t>$21</w:t>
            </w:r>
          </w:p>
        </w:tc>
        <w:tc>
          <w:tcPr>
            <w:tcW w:w="1360" w:type="dxa"/>
            <w:vAlign w:val="bottom"/>
            <w:shd w:val="clear" w:color="auto" w:fill="E5E5E5"/>
          </w:tcPr>
          <w:p>
            <w:pPr>
              <w:jc w:val="right"/>
              <w:ind w:right="568"/>
              <w:spacing w:after="0"/>
              <w:rPr>
                <w:sz w:val="20"/>
                <w:szCs w:val="20"/>
                <w:color w:val="auto"/>
              </w:rPr>
            </w:pPr>
            <w:r>
              <w:rPr>
                <w:rFonts w:ascii="Arial" w:cs="Arial" w:eastAsia="Arial" w:hAnsi="Arial"/>
                <w:sz w:val="14"/>
                <w:szCs w:val="14"/>
                <w:color w:val="auto"/>
              </w:rPr>
              <w:t>$16</w:t>
            </w:r>
          </w:p>
        </w:tc>
        <w:tc>
          <w:tcPr>
            <w:tcW w:w="6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w:t>
            </w:r>
          </w:p>
        </w:tc>
      </w:tr>
      <w:tr>
        <w:trPr>
          <w:trHeight w:val="189"/>
        </w:trPr>
        <w:tc>
          <w:tcPr>
            <w:tcW w:w="20" w:type="dxa"/>
            <w:vAlign w:val="bottom"/>
          </w:tcPr>
          <w:p>
            <w:pPr>
              <w:spacing w:after="0"/>
              <w:rPr>
                <w:sz w:val="16"/>
                <w:szCs w:val="16"/>
                <w:color w:val="auto"/>
              </w:rPr>
            </w:pPr>
          </w:p>
        </w:tc>
        <w:tc>
          <w:tcPr>
            <w:tcW w:w="6400" w:type="dxa"/>
            <w:vAlign w:val="bottom"/>
            <w:tcBorders>
              <w:bottom w:val="single" w:sz="8" w:color="828282"/>
            </w:tcBorders>
            <w:gridSpan w:val="2"/>
          </w:tcPr>
          <w:p>
            <w:pPr>
              <w:ind w:left="140"/>
              <w:spacing w:after="0"/>
              <w:rPr>
                <w:sz w:val="20"/>
                <w:szCs w:val="20"/>
                <w:color w:val="auto"/>
              </w:rPr>
            </w:pPr>
            <w:r>
              <w:rPr>
                <w:rFonts w:ascii="Arial" w:cs="Arial" w:eastAsia="Arial" w:hAnsi="Arial"/>
                <w:sz w:val="14"/>
                <w:szCs w:val="14"/>
                <w:color w:val="auto"/>
              </w:rPr>
              <w:t>Operating lease cash flows</w:t>
            </w:r>
          </w:p>
        </w:tc>
        <w:tc>
          <w:tcPr>
            <w:tcW w:w="1820" w:type="dxa"/>
            <w:vAlign w:val="bottom"/>
            <w:tcBorders>
              <w:bottom w:val="single" w:sz="8" w:color="828282"/>
            </w:tcBorders>
          </w:tcPr>
          <w:p>
            <w:pPr>
              <w:jc w:val="right"/>
              <w:ind w:right="608"/>
              <w:spacing w:after="0"/>
              <w:rPr>
                <w:sz w:val="20"/>
                <w:szCs w:val="20"/>
                <w:color w:val="auto"/>
              </w:rPr>
            </w:pPr>
            <w:r>
              <w:rPr>
                <w:rFonts w:ascii="Arial" w:cs="Arial" w:eastAsia="Arial" w:hAnsi="Arial"/>
                <w:sz w:val="14"/>
                <w:szCs w:val="14"/>
                <w:color w:val="auto"/>
              </w:rPr>
              <w:t>$8</w:t>
            </w:r>
          </w:p>
        </w:tc>
        <w:tc>
          <w:tcPr>
            <w:tcW w:w="1000" w:type="dxa"/>
            <w:vAlign w:val="bottom"/>
            <w:tcBorders>
              <w:bottom w:val="single" w:sz="8" w:color="828282"/>
            </w:tcBorders>
          </w:tcPr>
          <w:p>
            <w:pPr>
              <w:jc w:val="right"/>
              <w:ind w:right="408"/>
              <w:spacing w:after="0"/>
              <w:rPr>
                <w:sz w:val="20"/>
                <w:szCs w:val="20"/>
                <w:color w:val="auto"/>
              </w:rPr>
            </w:pPr>
            <w:r>
              <w:rPr>
                <w:rFonts w:ascii="Arial" w:cs="Arial" w:eastAsia="Arial" w:hAnsi="Arial"/>
                <w:sz w:val="14"/>
                <w:szCs w:val="14"/>
                <w:color w:val="auto"/>
              </w:rPr>
              <w:t>$8</w:t>
            </w:r>
          </w:p>
        </w:tc>
        <w:tc>
          <w:tcPr>
            <w:tcW w:w="1360" w:type="dxa"/>
            <w:vAlign w:val="bottom"/>
            <w:tcBorders>
              <w:bottom w:val="single" w:sz="8" w:color="828282"/>
            </w:tcBorders>
          </w:tcPr>
          <w:p>
            <w:pPr>
              <w:jc w:val="right"/>
              <w:ind w:right="568"/>
              <w:spacing w:after="0"/>
              <w:rPr>
                <w:sz w:val="20"/>
                <w:szCs w:val="20"/>
                <w:color w:val="auto"/>
              </w:rPr>
            </w:pPr>
            <w:r>
              <w:rPr>
                <w:rFonts w:ascii="Arial" w:cs="Arial" w:eastAsia="Arial" w:hAnsi="Arial"/>
                <w:sz w:val="14"/>
                <w:szCs w:val="14"/>
                <w:color w:val="auto"/>
              </w:rPr>
              <w:t>$4</w:t>
            </w:r>
          </w:p>
        </w:tc>
        <w:tc>
          <w:tcPr>
            <w:tcW w:w="62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$4</w:t>
            </w:r>
          </w:p>
        </w:tc>
      </w:tr>
      <w:tr>
        <w:trPr>
          <w:trHeight w:val="547"/>
        </w:trPr>
        <w:tc>
          <w:tcPr>
            <w:tcW w:w="20" w:type="dxa"/>
            <w:vAlign w:val="bottom"/>
            <w:tcBorders>
              <w:bottom w:val="single" w:sz="8" w:color="8C8272"/>
            </w:tcBorders>
          </w:tcPr>
          <w:p>
            <w:pPr>
              <w:spacing w:after="0"/>
              <w:rPr>
                <w:sz w:val="24"/>
                <w:szCs w:val="24"/>
                <w:color w:val="auto"/>
              </w:rPr>
            </w:pPr>
          </w:p>
        </w:tc>
        <w:tc>
          <w:tcPr>
            <w:tcW w:w="6380" w:type="dxa"/>
            <w:vAlign w:val="bottom"/>
            <w:tcBorders>
              <w:bottom w:val="single" w:sz="8" w:color="8C8272"/>
            </w:tcBorders>
          </w:tcPr>
          <w:p>
            <w:pPr>
              <w:spacing w:after="0"/>
              <w:rPr>
                <w:sz w:val="24"/>
                <w:szCs w:val="24"/>
                <w:color w:val="auto"/>
              </w:rPr>
            </w:pPr>
          </w:p>
        </w:tc>
        <w:tc>
          <w:tcPr>
            <w:tcW w:w="20" w:type="dxa"/>
            <w:vAlign w:val="bottom"/>
            <w:tcBorders>
              <w:bottom w:val="single" w:sz="8" w:color="8C8272"/>
            </w:tcBorders>
          </w:tcPr>
          <w:p>
            <w:pPr>
              <w:spacing w:after="0"/>
              <w:rPr>
                <w:sz w:val="24"/>
                <w:szCs w:val="24"/>
                <w:color w:val="auto"/>
              </w:rPr>
            </w:pPr>
          </w:p>
        </w:tc>
        <w:tc>
          <w:tcPr>
            <w:tcW w:w="4180" w:type="dxa"/>
            <w:vAlign w:val="bottom"/>
            <w:tcBorders>
              <w:bottom w:val="single" w:sz="8" w:color="8C8272"/>
            </w:tcBorders>
            <w:gridSpan w:val="3"/>
          </w:tcPr>
          <w:p>
            <w:pPr>
              <w:jc w:val="right"/>
              <w:ind w:right="528"/>
              <w:spacing w:after="0"/>
              <w:rPr>
                <w:sz w:val="20"/>
                <w:szCs w:val="20"/>
                <w:color w:val="auto"/>
              </w:rPr>
            </w:pPr>
            <w:r>
              <w:rPr>
                <w:rFonts w:ascii="Arial" w:cs="Arial" w:eastAsia="Arial" w:hAnsi="Arial"/>
                <w:sz w:val="14"/>
                <w:szCs w:val="14"/>
                <w:b w:val="1"/>
                <w:bCs w:val="1"/>
                <w:color w:val="auto"/>
              </w:rPr>
              <w:t>For the Six Months Ended June 30,</w:t>
            </w:r>
          </w:p>
        </w:tc>
        <w:tc>
          <w:tcPr>
            <w:tcW w:w="620" w:type="dxa"/>
            <w:vAlign w:val="bottom"/>
            <w:tcBorders>
              <w:bottom w:val="single" w:sz="8" w:color="8C8272"/>
            </w:tcBorders>
          </w:tcPr>
          <w:p>
            <w:pPr>
              <w:spacing w:after="0"/>
              <w:rPr>
                <w:sz w:val="24"/>
                <w:szCs w:val="24"/>
                <w:color w:val="auto"/>
              </w:rPr>
            </w:pPr>
          </w:p>
        </w:tc>
      </w:tr>
      <w:tr>
        <w:trPr>
          <w:trHeight w:val="183"/>
        </w:trPr>
        <w:tc>
          <w:tcPr>
            <w:tcW w:w="20" w:type="dxa"/>
            <w:vAlign w:val="bottom"/>
            <w:tcBorders>
              <w:bottom w:val="single" w:sz="8" w:color="8C8272"/>
            </w:tcBorders>
          </w:tcPr>
          <w:p>
            <w:pPr>
              <w:spacing w:after="0"/>
              <w:rPr>
                <w:sz w:val="15"/>
                <w:szCs w:val="15"/>
                <w:color w:val="auto"/>
              </w:rPr>
            </w:pPr>
          </w:p>
        </w:tc>
        <w:tc>
          <w:tcPr>
            <w:tcW w:w="6380" w:type="dxa"/>
            <w:vAlign w:val="bottom"/>
            <w:tcBorders>
              <w:bottom w:val="single" w:sz="8" w:color="8C8272"/>
            </w:tcBorders>
          </w:tcPr>
          <w:p>
            <w:pPr>
              <w:spacing w:after="0"/>
              <w:rPr>
                <w:sz w:val="15"/>
                <w:szCs w:val="15"/>
                <w:color w:val="auto"/>
              </w:rPr>
            </w:pPr>
          </w:p>
        </w:tc>
        <w:tc>
          <w:tcPr>
            <w:tcW w:w="20" w:type="dxa"/>
            <w:vAlign w:val="bottom"/>
            <w:tcBorders>
              <w:bottom w:val="single" w:sz="8" w:color="8C8272"/>
            </w:tcBorders>
          </w:tcPr>
          <w:p>
            <w:pPr>
              <w:spacing w:after="0"/>
              <w:rPr>
                <w:sz w:val="15"/>
                <w:szCs w:val="15"/>
                <w:color w:val="auto"/>
              </w:rPr>
            </w:pPr>
          </w:p>
        </w:tc>
        <w:tc>
          <w:tcPr>
            <w:tcW w:w="1820" w:type="dxa"/>
            <w:vAlign w:val="bottom"/>
            <w:tcBorders>
              <w:bottom w:val="single" w:sz="8" w:color="8C8272"/>
            </w:tcBorders>
          </w:tcPr>
          <w:p>
            <w:pPr>
              <w:ind w:left="780"/>
              <w:spacing w:after="0"/>
              <w:rPr>
                <w:sz w:val="20"/>
                <w:szCs w:val="20"/>
                <w:color w:val="auto"/>
              </w:rPr>
            </w:pPr>
            <w:r>
              <w:rPr>
                <w:rFonts w:ascii="Arial" w:cs="Arial" w:eastAsia="Arial" w:hAnsi="Arial"/>
                <w:sz w:val="14"/>
                <w:szCs w:val="14"/>
                <w:b w:val="1"/>
                <w:bCs w:val="1"/>
                <w:color w:val="auto"/>
              </w:rPr>
              <w:t>Con Edison</w:t>
            </w:r>
          </w:p>
        </w:tc>
        <w:tc>
          <w:tcPr>
            <w:tcW w:w="1000" w:type="dxa"/>
            <w:vAlign w:val="bottom"/>
            <w:tcBorders>
              <w:bottom w:val="single" w:sz="8" w:color="8C8272"/>
            </w:tcBorders>
          </w:tcPr>
          <w:p>
            <w:pPr>
              <w:spacing w:after="0"/>
              <w:rPr>
                <w:sz w:val="15"/>
                <w:szCs w:val="15"/>
                <w:color w:val="auto"/>
              </w:rPr>
            </w:pPr>
          </w:p>
        </w:tc>
        <w:tc>
          <w:tcPr>
            <w:tcW w:w="1360" w:type="dxa"/>
            <w:vAlign w:val="bottom"/>
            <w:tcBorders>
              <w:bottom w:val="single" w:sz="8" w:color="8C8272"/>
            </w:tcBorders>
          </w:tcPr>
          <w:p>
            <w:pPr>
              <w:jc w:val="right"/>
              <w:ind w:right="208"/>
              <w:spacing w:after="0"/>
              <w:rPr>
                <w:sz w:val="20"/>
                <w:szCs w:val="20"/>
                <w:color w:val="auto"/>
              </w:rPr>
            </w:pPr>
            <w:r>
              <w:rPr>
                <w:rFonts w:ascii="Arial" w:cs="Arial" w:eastAsia="Arial" w:hAnsi="Arial"/>
                <w:sz w:val="14"/>
                <w:szCs w:val="14"/>
                <w:b w:val="1"/>
                <w:bCs w:val="1"/>
                <w:color w:val="auto"/>
              </w:rPr>
              <w:t>CECONY</w:t>
            </w:r>
          </w:p>
        </w:tc>
        <w:tc>
          <w:tcPr>
            <w:tcW w:w="620" w:type="dxa"/>
            <w:vAlign w:val="bottom"/>
            <w:tcBorders>
              <w:bottom w:val="single" w:sz="8" w:color="8C8272"/>
            </w:tcBorders>
          </w:tcPr>
          <w:p>
            <w:pPr>
              <w:spacing w:after="0"/>
              <w:rPr>
                <w:sz w:val="15"/>
                <w:szCs w:val="15"/>
                <w:color w:val="auto"/>
              </w:rPr>
            </w:pPr>
          </w:p>
        </w:tc>
      </w:tr>
      <w:tr>
        <w:trPr>
          <w:trHeight w:val="183"/>
        </w:trPr>
        <w:tc>
          <w:tcPr>
            <w:tcW w:w="20" w:type="dxa"/>
            <w:vAlign w:val="bottom"/>
            <w:tcBorders>
              <w:bottom w:val="single" w:sz="8" w:color="8C8272"/>
            </w:tcBorders>
          </w:tcPr>
          <w:p>
            <w:pPr>
              <w:spacing w:after="0"/>
              <w:rPr>
                <w:sz w:val="15"/>
                <w:szCs w:val="15"/>
                <w:color w:val="auto"/>
              </w:rPr>
            </w:pPr>
          </w:p>
        </w:tc>
        <w:tc>
          <w:tcPr>
            <w:tcW w:w="6380" w:type="dxa"/>
            <w:vAlign w:val="bottom"/>
            <w:tcBorders>
              <w:bottom w:val="single" w:sz="8" w:color="8C8272"/>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 w:type="dxa"/>
            <w:vAlign w:val="bottom"/>
            <w:tcBorders>
              <w:bottom w:val="single" w:sz="8" w:color="828282"/>
            </w:tcBorders>
          </w:tcPr>
          <w:p>
            <w:pPr>
              <w:spacing w:after="0"/>
              <w:rPr>
                <w:sz w:val="15"/>
                <w:szCs w:val="15"/>
                <w:color w:val="auto"/>
              </w:rPr>
            </w:pPr>
          </w:p>
        </w:tc>
        <w:tc>
          <w:tcPr>
            <w:tcW w:w="1820" w:type="dxa"/>
            <w:vAlign w:val="bottom"/>
            <w:tcBorders>
              <w:bottom w:val="single" w:sz="8" w:color="828282"/>
            </w:tcBorders>
          </w:tcPr>
          <w:p>
            <w:pPr>
              <w:ind w:left="860"/>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828282"/>
            </w:tcBorders>
          </w:tcPr>
          <w:p>
            <w:pPr>
              <w:ind w:left="240"/>
              <w:spacing w:after="0"/>
              <w:rPr>
                <w:sz w:val="20"/>
                <w:szCs w:val="20"/>
                <w:color w:val="auto"/>
              </w:rPr>
            </w:pPr>
            <w:r>
              <w:rPr>
                <w:rFonts w:ascii="Arial" w:cs="Arial" w:eastAsia="Arial" w:hAnsi="Arial"/>
                <w:sz w:val="14"/>
                <w:szCs w:val="14"/>
                <w:b w:val="1"/>
                <w:bCs w:val="1"/>
                <w:color w:val="auto"/>
              </w:rPr>
              <w:t>2020</w:t>
            </w:r>
          </w:p>
        </w:tc>
        <w:tc>
          <w:tcPr>
            <w:tcW w:w="1360" w:type="dxa"/>
            <w:vAlign w:val="bottom"/>
            <w:tcBorders>
              <w:bottom w:val="single" w:sz="8" w:color="828282"/>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82828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20" w:type="dxa"/>
            <w:vAlign w:val="bottom"/>
            <w:shd w:val="clear" w:color="auto" w:fill="E5E5E5"/>
          </w:tcPr>
          <w:p>
            <w:pPr>
              <w:spacing w:after="0"/>
              <w:rPr>
                <w:sz w:val="15"/>
                <w:szCs w:val="15"/>
                <w:color w:val="auto"/>
              </w:rPr>
            </w:pPr>
          </w:p>
        </w:tc>
        <w:tc>
          <w:tcPr>
            <w:tcW w:w="6400" w:type="dxa"/>
            <w:vAlign w:val="bottom"/>
            <w:gridSpan w:val="2"/>
            <w:shd w:val="clear" w:color="auto" w:fill="E5E5E5"/>
          </w:tcPr>
          <w:p>
            <w:pPr>
              <w:ind w:left="120"/>
              <w:spacing w:after="0"/>
              <w:rPr>
                <w:sz w:val="20"/>
                <w:szCs w:val="20"/>
                <w:color w:val="auto"/>
              </w:rPr>
            </w:pPr>
            <w:r>
              <w:rPr>
                <w:rFonts w:ascii="Arial" w:cs="Arial" w:eastAsia="Arial" w:hAnsi="Arial"/>
                <w:sz w:val="14"/>
                <w:szCs w:val="14"/>
                <w:color w:val="auto"/>
              </w:rPr>
              <w:t>Operating lease cost</w:t>
            </w:r>
          </w:p>
        </w:tc>
        <w:tc>
          <w:tcPr>
            <w:tcW w:w="1820" w:type="dxa"/>
            <w:vAlign w:val="bottom"/>
            <w:shd w:val="clear" w:color="auto" w:fill="E5E5E5"/>
          </w:tcPr>
          <w:p>
            <w:pPr>
              <w:ind w:left="880"/>
              <w:spacing w:after="0"/>
              <w:rPr>
                <w:sz w:val="20"/>
                <w:szCs w:val="20"/>
                <w:color w:val="auto"/>
              </w:rPr>
            </w:pPr>
            <w:r>
              <w:rPr>
                <w:rFonts w:ascii="Arial" w:cs="Arial" w:eastAsia="Arial" w:hAnsi="Arial"/>
                <w:sz w:val="14"/>
                <w:szCs w:val="14"/>
                <w:color w:val="auto"/>
              </w:rPr>
              <w:t>$43</w:t>
            </w:r>
          </w:p>
        </w:tc>
        <w:tc>
          <w:tcPr>
            <w:tcW w:w="1000" w:type="dxa"/>
            <w:vAlign w:val="bottom"/>
            <w:shd w:val="clear" w:color="auto" w:fill="E5E5E5"/>
          </w:tcPr>
          <w:p>
            <w:pPr>
              <w:ind w:left="260"/>
              <w:spacing w:after="0"/>
              <w:rPr>
                <w:sz w:val="20"/>
                <w:szCs w:val="20"/>
                <w:color w:val="auto"/>
              </w:rPr>
            </w:pPr>
            <w:r>
              <w:rPr>
                <w:rFonts w:ascii="Arial" w:cs="Arial" w:eastAsia="Arial" w:hAnsi="Arial"/>
                <w:sz w:val="14"/>
                <w:szCs w:val="14"/>
                <w:color w:val="auto"/>
              </w:rPr>
              <w:t>$42</w:t>
            </w:r>
          </w:p>
        </w:tc>
        <w:tc>
          <w:tcPr>
            <w:tcW w:w="1360" w:type="dxa"/>
            <w:vAlign w:val="bottom"/>
            <w:shd w:val="clear" w:color="auto" w:fill="E5E5E5"/>
          </w:tcPr>
          <w:p>
            <w:pPr>
              <w:jc w:val="right"/>
              <w:ind w:right="588"/>
              <w:spacing w:after="0"/>
              <w:rPr>
                <w:sz w:val="20"/>
                <w:szCs w:val="20"/>
                <w:color w:val="auto"/>
              </w:rPr>
            </w:pPr>
            <w:r>
              <w:rPr>
                <w:rFonts w:ascii="Arial" w:cs="Arial" w:eastAsia="Arial" w:hAnsi="Arial"/>
                <w:sz w:val="14"/>
                <w:szCs w:val="14"/>
                <w:color w:val="auto"/>
              </w:rPr>
              <w:t>$33</w:t>
            </w:r>
          </w:p>
        </w:tc>
        <w:tc>
          <w:tcPr>
            <w:tcW w:w="6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$32</w:t>
            </w:r>
          </w:p>
        </w:tc>
      </w:tr>
      <w:tr>
        <w:trPr>
          <w:trHeight w:val="189"/>
        </w:trPr>
        <w:tc>
          <w:tcPr>
            <w:tcW w:w="20" w:type="dxa"/>
            <w:vAlign w:val="bottom"/>
            <w:tcBorders>
              <w:bottom w:val="single" w:sz="8" w:color="929292"/>
            </w:tcBorders>
          </w:tcPr>
          <w:p>
            <w:pPr>
              <w:spacing w:after="0"/>
              <w:rPr>
                <w:sz w:val="16"/>
                <w:szCs w:val="16"/>
                <w:color w:val="auto"/>
              </w:rPr>
            </w:pPr>
          </w:p>
        </w:tc>
        <w:tc>
          <w:tcPr>
            <w:tcW w:w="6400" w:type="dxa"/>
            <w:vAlign w:val="bottom"/>
            <w:tcBorders>
              <w:bottom w:val="single" w:sz="8" w:color="929292"/>
            </w:tcBorders>
            <w:gridSpan w:val="2"/>
          </w:tcPr>
          <w:p>
            <w:pPr>
              <w:ind w:left="120"/>
              <w:spacing w:after="0"/>
              <w:rPr>
                <w:sz w:val="20"/>
                <w:szCs w:val="20"/>
                <w:color w:val="auto"/>
              </w:rPr>
            </w:pPr>
            <w:r>
              <w:rPr>
                <w:rFonts w:ascii="Arial" w:cs="Arial" w:eastAsia="Arial" w:hAnsi="Arial"/>
                <w:sz w:val="14"/>
                <w:szCs w:val="14"/>
                <w:color w:val="auto"/>
              </w:rPr>
              <w:t>Operating lease cash flows</w:t>
            </w:r>
          </w:p>
        </w:tc>
        <w:tc>
          <w:tcPr>
            <w:tcW w:w="1820" w:type="dxa"/>
            <w:vAlign w:val="bottom"/>
            <w:tcBorders>
              <w:bottom w:val="single" w:sz="8" w:color="929292"/>
            </w:tcBorders>
          </w:tcPr>
          <w:p>
            <w:pPr>
              <w:ind w:left="880"/>
              <w:spacing w:after="0"/>
              <w:rPr>
                <w:sz w:val="20"/>
                <w:szCs w:val="20"/>
                <w:color w:val="auto"/>
              </w:rPr>
            </w:pPr>
            <w:r>
              <w:rPr>
                <w:rFonts w:ascii="Arial" w:cs="Arial" w:eastAsia="Arial" w:hAnsi="Arial"/>
                <w:sz w:val="14"/>
                <w:szCs w:val="14"/>
                <w:color w:val="auto"/>
              </w:rPr>
              <w:t>$16</w:t>
            </w:r>
          </w:p>
        </w:tc>
        <w:tc>
          <w:tcPr>
            <w:tcW w:w="1000" w:type="dxa"/>
            <w:vAlign w:val="bottom"/>
            <w:tcBorders>
              <w:bottom w:val="single" w:sz="8" w:color="929292"/>
            </w:tcBorders>
          </w:tcPr>
          <w:p>
            <w:pPr>
              <w:ind w:left="260"/>
              <w:spacing w:after="0"/>
              <w:rPr>
                <w:sz w:val="20"/>
                <w:szCs w:val="20"/>
                <w:color w:val="auto"/>
              </w:rPr>
            </w:pPr>
            <w:r>
              <w:rPr>
                <w:rFonts w:ascii="Arial" w:cs="Arial" w:eastAsia="Arial" w:hAnsi="Arial"/>
                <w:sz w:val="14"/>
                <w:szCs w:val="14"/>
                <w:color w:val="auto"/>
              </w:rPr>
              <w:t>$16</w:t>
            </w:r>
          </w:p>
        </w:tc>
        <w:tc>
          <w:tcPr>
            <w:tcW w:w="1360" w:type="dxa"/>
            <w:vAlign w:val="bottom"/>
            <w:tcBorders>
              <w:bottom w:val="single" w:sz="8" w:color="929292"/>
            </w:tcBorders>
          </w:tcPr>
          <w:p>
            <w:pPr>
              <w:jc w:val="right"/>
              <w:ind w:right="588"/>
              <w:spacing w:after="0"/>
              <w:rPr>
                <w:sz w:val="20"/>
                <w:szCs w:val="20"/>
                <w:color w:val="auto"/>
              </w:rPr>
            </w:pPr>
            <w:r>
              <w:rPr>
                <w:rFonts w:ascii="Arial" w:cs="Arial" w:eastAsia="Arial" w:hAnsi="Arial"/>
                <w:sz w:val="14"/>
                <w:szCs w:val="14"/>
                <w:color w:val="auto"/>
              </w:rPr>
              <w:t>$9</w:t>
            </w:r>
          </w:p>
        </w:tc>
        <w:tc>
          <w:tcPr>
            <w:tcW w:w="62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-967740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-950595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-934085</wp:posOffset>
            </wp:positionV>
            <wp:extent cx="825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-916305</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-899795</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-882015</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-1113790</wp:posOffset>
            </wp:positionV>
            <wp:extent cx="825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-1087755</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-1071245</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-1053465</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-1036320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-1019810</wp:posOffset>
            </wp:positionV>
            <wp:extent cx="825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-1002030</wp:posOffset>
            </wp:positionV>
            <wp:extent cx="825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-1242695</wp:posOffset>
            </wp:positionV>
            <wp:extent cx="825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-1216660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-1199515</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-1182370</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-1165225</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-1148080</wp:posOffset>
            </wp:positionV>
            <wp:extent cx="825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-1130935</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-102235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-85090</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-67945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-50800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-33655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-16510</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-247650</wp:posOffset>
            </wp:positionV>
            <wp:extent cx="889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-222250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-205105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-153670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-136525</wp:posOffset>
            </wp:positionV>
            <wp:extent cx="8890"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-376555</wp:posOffset>
            </wp:positionV>
            <wp:extent cx="889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-350520</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-333375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-316865</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-299720</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-281940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-264795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303"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As of June 30, 2021 and December 31, 2020, assets recorded as finance leases were $3 million for Con Edison and $2 million for CECONY, and the accumulated amortization associated with finance leases for Con Edison and CECONY were $3 million and $1 million, respectively.</w:t>
      </w:r>
    </w:p>
    <w:p>
      <w:pPr>
        <w:spacing w:after="0" w:line="201"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For the three and six months ended June 30, 2021 and 2020, finance lease costs and cash flows for Con Edison and CECONY were immaterial.</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Right-of-use assets obtained in exchange for operating lease obligations for Con Edison and CECONY were $1 million and immaterial, respectively, for the three months ended June 30, 2021 and $ 18 million and $1 million, respectively for the six months ended June 30, 2021. Right-of-use assets obtained in exchange for operating lease obligations for Con Edison and CECONY were $5 million and $1 million, respectively, for the three and six months ended June 30, 2020.</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Other information related to leases for Con Edison and CECONY at June 30, 2021 and December 31, 2020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Borders>
              <w:bottom w:val="single" w:sz="8" w:color="8C8272"/>
            </w:tcBorders>
          </w:tcPr>
          <w:p>
            <w:pPr>
              <w:spacing w:after="0"/>
              <w:rPr>
                <w:sz w:val="16"/>
                <w:szCs w:val="16"/>
                <w:color w:val="auto"/>
              </w:rPr>
            </w:pPr>
          </w:p>
        </w:tc>
        <w:tc>
          <w:tcPr>
            <w:tcW w:w="2420" w:type="dxa"/>
            <w:vAlign w:val="bottom"/>
            <w:tcBorders>
              <w:bottom w:val="single" w:sz="8" w:color="8C8272"/>
            </w:tcBorders>
            <w:gridSpan w:val="2"/>
          </w:tcPr>
          <w:p>
            <w:pPr>
              <w:ind w:left="820"/>
              <w:spacing w:after="0"/>
              <w:rPr>
                <w:sz w:val="20"/>
                <w:szCs w:val="20"/>
                <w:color w:val="auto"/>
              </w:rPr>
            </w:pPr>
            <w:r>
              <w:rPr>
                <w:rFonts w:ascii="Arial" w:cs="Arial" w:eastAsia="Arial" w:hAnsi="Arial"/>
                <w:sz w:val="14"/>
                <w:szCs w:val="14"/>
                <w:b w:val="1"/>
                <w:bCs w:val="1"/>
                <w:color w:val="auto"/>
              </w:rPr>
              <w:t>Con Edison</w:t>
            </w:r>
          </w:p>
        </w:tc>
        <w:tc>
          <w:tcPr>
            <w:tcW w:w="2460" w:type="dxa"/>
            <w:vAlign w:val="bottom"/>
            <w:tcBorders>
              <w:bottom w:val="single" w:sz="8" w:color="8C8272"/>
            </w:tcBorders>
            <w:gridSpan w:val="2"/>
          </w:tcPr>
          <w:p>
            <w:pPr>
              <w:ind w:left="940"/>
              <w:spacing w:after="0"/>
              <w:rPr>
                <w:sz w:val="20"/>
                <w:szCs w:val="20"/>
                <w:color w:val="auto"/>
              </w:rPr>
            </w:pPr>
            <w:r>
              <w:rPr>
                <w:rFonts w:ascii="Arial" w:cs="Arial" w:eastAsia="Arial" w:hAnsi="Arial"/>
                <w:sz w:val="14"/>
                <w:szCs w:val="14"/>
                <w:b w:val="1"/>
                <w:bCs w:val="1"/>
                <w:color w:val="auto"/>
              </w:rPr>
              <w:t>CECONY</w:t>
            </w:r>
          </w:p>
        </w:tc>
      </w:tr>
      <w:tr>
        <w:trPr>
          <w:trHeight w:val="183"/>
        </w:trPr>
        <w:tc>
          <w:tcPr>
            <w:tcW w:w="6360" w:type="dxa"/>
            <w:vAlign w:val="bottom"/>
            <w:tcBorders>
              <w:bottom w:val="single" w:sz="8" w:color="8C8272"/>
            </w:tcBorders>
          </w:tcPr>
          <w:p>
            <w:pPr>
              <w:spacing w:after="0"/>
              <w:rPr>
                <w:sz w:val="15"/>
                <w:szCs w:val="15"/>
                <w:color w:val="auto"/>
              </w:rPr>
            </w:pPr>
          </w:p>
        </w:tc>
        <w:tc>
          <w:tcPr>
            <w:tcW w:w="1200" w:type="dxa"/>
            <w:vAlign w:val="bottom"/>
            <w:tcBorders>
              <w:bottom w:val="single" w:sz="8" w:color="828282"/>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828282"/>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828282"/>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828282"/>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183"/>
        </w:trPr>
        <w:tc>
          <w:tcPr>
            <w:tcW w:w="6360" w:type="dxa"/>
            <w:vAlign w:val="bottom"/>
            <w:shd w:val="clear" w:color="auto" w:fill="E5E5E5"/>
          </w:tcPr>
          <w:p>
            <w:pPr>
              <w:ind w:left="20"/>
              <w:spacing w:after="0"/>
              <w:rPr>
                <w:sz w:val="20"/>
                <w:szCs w:val="20"/>
                <w:color w:val="auto"/>
              </w:rPr>
            </w:pPr>
            <w:r>
              <w:rPr>
                <w:rFonts w:ascii="Arial" w:cs="Arial" w:eastAsia="Arial" w:hAnsi="Arial"/>
                <w:sz w:val="14"/>
                <w:szCs w:val="14"/>
                <w:color w:val="auto"/>
              </w:rPr>
              <w:t>Weighted Average Remaining Lease Term:</w:t>
            </w:r>
          </w:p>
        </w:tc>
        <w:tc>
          <w:tcPr>
            <w:tcW w:w="1200" w:type="dxa"/>
            <w:vAlign w:val="bottom"/>
            <w:shd w:val="clear" w:color="auto" w:fill="E5E5E5"/>
          </w:tcPr>
          <w:p>
            <w:pPr>
              <w:spacing w:after="0"/>
              <w:rPr>
                <w:sz w:val="15"/>
                <w:szCs w:val="15"/>
                <w:color w:val="auto"/>
              </w:rPr>
            </w:pPr>
          </w:p>
        </w:tc>
        <w:tc>
          <w:tcPr>
            <w:tcW w:w="1220" w:type="dxa"/>
            <w:vAlign w:val="bottom"/>
            <w:shd w:val="clear" w:color="auto" w:fill="E5E5E5"/>
          </w:tcPr>
          <w:p>
            <w:pPr>
              <w:spacing w:after="0"/>
              <w:rPr>
                <w:sz w:val="15"/>
                <w:szCs w:val="15"/>
                <w:color w:val="auto"/>
              </w:rPr>
            </w:pPr>
          </w:p>
        </w:tc>
        <w:tc>
          <w:tcPr>
            <w:tcW w:w="1240" w:type="dxa"/>
            <w:vAlign w:val="bottom"/>
            <w:shd w:val="clear" w:color="auto" w:fill="E5E5E5"/>
          </w:tcPr>
          <w:p>
            <w:pPr>
              <w:spacing w:after="0"/>
              <w:rPr>
                <w:sz w:val="15"/>
                <w:szCs w:val="15"/>
                <w:color w:val="auto"/>
              </w:rPr>
            </w:pPr>
          </w:p>
        </w:tc>
        <w:tc>
          <w:tcPr>
            <w:tcW w:w="1220" w:type="dxa"/>
            <w:vAlign w:val="bottom"/>
            <w:shd w:val="clear" w:color="auto" w:fill="E5E5E5"/>
          </w:tcPr>
          <w:p>
            <w:pPr>
              <w:spacing w:after="0"/>
              <w:rPr>
                <w:sz w:val="15"/>
                <w:szCs w:val="15"/>
                <w:color w:val="auto"/>
              </w:rPr>
            </w:pPr>
          </w:p>
        </w:tc>
      </w:tr>
      <w:tr>
        <w:trPr>
          <w:trHeight w:val="189"/>
        </w:trPr>
        <w:tc>
          <w:tcPr>
            <w:tcW w:w="6360" w:type="dxa"/>
            <w:vAlign w:val="bottom"/>
          </w:tcPr>
          <w:p>
            <w:pPr>
              <w:ind w:left="140"/>
              <w:spacing w:after="0"/>
              <w:rPr>
                <w:sz w:val="20"/>
                <w:szCs w:val="20"/>
                <w:color w:val="auto"/>
              </w:rPr>
            </w:pPr>
            <w:r>
              <w:rPr>
                <w:rFonts w:ascii="Arial" w:cs="Arial" w:eastAsia="Arial" w:hAnsi="Arial"/>
                <w:sz w:val="14"/>
                <w:szCs w:val="14"/>
                <w:color w:val="auto"/>
              </w:rPr>
              <w:t>Operating leases</w:t>
            </w:r>
          </w:p>
        </w:tc>
        <w:tc>
          <w:tcPr>
            <w:tcW w:w="1200" w:type="dxa"/>
            <w:vAlign w:val="bottom"/>
          </w:tcPr>
          <w:p>
            <w:pPr>
              <w:jc w:val="center"/>
              <w:spacing w:after="0"/>
              <w:rPr>
                <w:sz w:val="20"/>
                <w:szCs w:val="20"/>
                <w:color w:val="auto"/>
              </w:rPr>
            </w:pPr>
            <w:r>
              <w:rPr>
                <w:rFonts w:ascii="Arial" w:cs="Arial" w:eastAsia="Arial" w:hAnsi="Arial"/>
                <w:sz w:val="14"/>
                <w:szCs w:val="14"/>
                <w:color w:val="auto"/>
              </w:rPr>
              <w:t>18.6 years</w:t>
            </w:r>
          </w:p>
        </w:tc>
        <w:tc>
          <w:tcPr>
            <w:tcW w:w="1220" w:type="dxa"/>
            <w:vAlign w:val="bottom"/>
          </w:tcPr>
          <w:p>
            <w:pPr>
              <w:jc w:val="center"/>
              <w:spacing w:after="0"/>
              <w:rPr>
                <w:sz w:val="20"/>
                <w:szCs w:val="20"/>
                <w:color w:val="auto"/>
              </w:rPr>
            </w:pPr>
            <w:r>
              <w:rPr>
                <w:rFonts w:ascii="Arial" w:cs="Arial" w:eastAsia="Arial" w:hAnsi="Arial"/>
                <w:sz w:val="14"/>
                <w:szCs w:val="14"/>
                <w:color w:val="auto"/>
              </w:rPr>
              <w:t>19.1 years</w:t>
            </w:r>
          </w:p>
        </w:tc>
        <w:tc>
          <w:tcPr>
            <w:tcW w:w="1240" w:type="dxa"/>
            <w:vAlign w:val="bottom"/>
          </w:tcPr>
          <w:p>
            <w:pPr>
              <w:jc w:val="center"/>
              <w:spacing w:after="0"/>
              <w:rPr>
                <w:sz w:val="20"/>
                <w:szCs w:val="20"/>
                <w:color w:val="auto"/>
              </w:rPr>
            </w:pPr>
            <w:r>
              <w:rPr>
                <w:rFonts w:ascii="Arial" w:cs="Arial" w:eastAsia="Arial" w:hAnsi="Arial"/>
                <w:sz w:val="14"/>
                <w:szCs w:val="14"/>
                <w:color w:val="auto"/>
              </w:rPr>
              <w:t>12.6 years</w:t>
            </w:r>
          </w:p>
        </w:tc>
        <w:tc>
          <w:tcPr>
            <w:tcW w:w="1220" w:type="dxa"/>
            <w:vAlign w:val="bottom"/>
          </w:tcPr>
          <w:p>
            <w:pPr>
              <w:jc w:val="center"/>
              <w:spacing w:after="0"/>
              <w:rPr>
                <w:sz w:val="20"/>
                <w:szCs w:val="20"/>
                <w:color w:val="auto"/>
              </w:rPr>
            </w:pPr>
            <w:r>
              <w:rPr>
                <w:rFonts w:ascii="Arial" w:cs="Arial" w:eastAsia="Arial" w:hAnsi="Arial"/>
                <w:sz w:val="14"/>
                <w:szCs w:val="14"/>
                <w:color w:val="auto"/>
              </w:rPr>
              <w:t>13.0 years</w:t>
            </w:r>
          </w:p>
        </w:tc>
      </w:tr>
      <w:tr>
        <w:trPr>
          <w:trHeight w:val="189"/>
        </w:trPr>
        <w:tc>
          <w:tcPr>
            <w:tcW w:w="63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Finance leases</w:t>
            </w:r>
          </w:p>
        </w:tc>
        <w:tc>
          <w:tcPr>
            <w:tcW w:w="12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7.1 years</w:t>
            </w:r>
          </w:p>
        </w:tc>
        <w:tc>
          <w:tcPr>
            <w:tcW w:w="12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7.3 years</w:t>
            </w:r>
          </w:p>
        </w:tc>
        <w:tc>
          <w:tcPr>
            <w:tcW w:w="12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3.5 years</w:t>
            </w:r>
          </w:p>
        </w:tc>
        <w:tc>
          <w:tcPr>
            <w:tcW w:w="12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4.0 years</w:t>
            </w:r>
          </w:p>
        </w:tc>
      </w:tr>
      <w:tr>
        <w:trPr>
          <w:trHeight w:val="189"/>
        </w:trPr>
        <w:tc>
          <w:tcPr>
            <w:tcW w:w="6360" w:type="dxa"/>
            <w:vAlign w:val="bottom"/>
          </w:tcPr>
          <w:p>
            <w:pPr>
              <w:ind w:left="20"/>
              <w:spacing w:after="0"/>
              <w:rPr>
                <w:sz w:val="20"/>
                <w:szCs w:val="20"/>
                <w:color w:val="auto"/>
              </w:rPr>
            </w:pPr>
            <w:r>
              <w:rPr>
                <w:rFonts w:ascii="Arial" w:cs="Arial" w:eastAsia="Arial" w:hAnsi="Arial"/>
                <w:sz w:val="14"/>
                <w:szCs w:val="14"/>
                <w:color w:val="auto"/>
              </w:rPr>
              <w:t>Weighted Average Discount Rate:</w:t>
            </w: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63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Operating leases</w:t>
            </w:r>
          </w:p>
        </w:tc>
        <w:tc>
          <w:tcPr>
            <w:tcW w:w="12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4.3%</w:t>
            </w:r>
          </w:p>
        </w:tc>
        <w:tc>
          <w:tcPr>
            <w:tcW w:w="12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4.3%</w:t>
            </w:r>
          </w:p>
        </w:tc>
        <w:tc>
          <w:tcPr>
            <w:tcW w:w="12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3.6%</w:t>
            </w:r>
          </w:p>
        </w:tc>
        <w:tc>
          <w:tcPr>
            <w:tcW w:w="12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3.6%</w:t>
            </w:r>
          </w:p>
        </w:tc>
      </w:tr>
      <w:tr>
        <w:trPr>
          <w:trHeight w:val="189"/>
        </w:trPr>
        <w:tc>
          <w:tcPr>
            <w:tcW w:w="6360" w:type="dxa"/>
            <w:vAlign w:val="bottom"/>
            <w:tcBorders>
              <w:bottom w:val="single" w:sz="8" w:color="424242"/>
            </w:tcBorders>
          </w:tcPr>
          <w:p>
            <w:pPr>
              <w:ind w:left="140"/>
              <w:spacing w:after="0"/>
              <w:rPr>
                <w:sz w:val="20"/>
                <w:szCs w:val="20"/>
                <w:color w:val="auto"/>
              </w:rPr>
            </w:pPr>
            <w:r>
              <w:rPr>
                <w:rFonts w:ascii="Arial" w:cs="Arial" w:eastAsia="Arial" w:hAnsi="Arial"/>
                <w:sz w:val="14"/>
                <w:szCs w:val="14"/>
                <w:color w:val="auto"/>
              </w:rPr>
              <w:t>Finance leases</w:t>
            </w:r>
          </w:p>
        </w:tc>
        <w:tc>
          <w:tcPr>
            <w:tcW w:w="1200" w:type="dxa"/>
            <w:vAlign w:val="bottom"/>
            <w:tcBorders>
              <w:bottom w:val="single" w:sz="8" w:color="424242"/>
            </w:tcBorders>
          </w:tcPr>
          <w:p>
            <w:pPr>
              <w:jc w:val="center"/>
              <w:spacing w:after="0"/>
              <w:rPr>
                <w:sz w:val="20"/>
                <w:szCs w:val="20"/>
                <w:color w:val="auto"/>
              </w:rPr>
            </w:pPr>
            <w:r>
              <w:rPr>
                <w:rFonts w:ascii="Arial" w:cs="Arial" w:eastAsia="Arial" w:hAnsi="Arial"/>
                <w:sz w:val="14"/>
                <w:szCs w:val="14"/>
                <w:color w:val="auto"/>
              </w:rPr>
              <w:t>1.8%</w:t>
            </w:r>
          </w:p>
        </w:tc>
        <w:tc>
          <w:tcPr>
            <w:tcW w:w="1220" w:type="dxa"/>
            <w:vAlign w:val="bottom"/>
            <w:tcBorders>
              <w:bottom w:val="single" w:sz="8" w:color="424242"/>
            </w:tcBorders>
          </w:tcPr>
          <w:p>
            <w:pPr>
              <w:jc w:val="center"/>
              <w:spacing w:after="0"/>
              <w:rPr>
                <w:sz w:val="20"/>
                <w:szCs w:val="20"/>
                <w:color w:val="auto"/>
              </w:rPr>
            </w:pPr>
            <w:r>
              <w:rPr>
                <w:rFonts w:ascii="Arial" w:cs="Arial" w:eastAsia="Arial" w:hAnsi="Arial"/>
                <w:sz w:val="14"/>
                <w:szCs w:val="14"/>
                <w:color w:val="auto"/>
              </w:rPr>
              <w:t>1.8%</w:t>
            </w:r>
          </w:p>
        </w:tc>
        <w:tc>
          <w:tcPr>
            <w:tcW w:w="1240" w:type="dxa"/>
            <w:vAlign w:val="bottom"/>
            <w:tcBorders>
              <w:bottom w:val="single" w:sz="8" w:color="424242"/>
            </w:tcBorders>
          </w:tcPr>
          <w:p>
            <w:pPr>
              <w:jc w:val="center"/>
              <w:spacing w:after="0"/>
              <w:rPr>
                <w:sz w:val="20"/>
                <w:szCs w:val="20"/>
                <w:color w:val="auto"/>
              </w:rPr>
            </w:pPr>
            <w:r>
              <w:rPr>
                <w:rFonts w:ascii="Arial" w:cs="Arial" w:eastAsia="Arial" w:hAnsi="Arial"/>
                <w:sz w:val="14"/>
                <w:szCs w:val="14"/>
                <w:color w:val="auto"/>
              </w:rPr>
              <w:t>1.2%</w:t>
            </w:r>
          </w:p>
        </w:tc>
        <w:tc>
          <w:tcPr>
            <w:tcW w:w="1220" w:type="dxa"/>
            <w:vAlign w:val="bottom"/>
            <w:tcBorders>
              <w:bottom w:val="single" w:sz="8" w:color="424242"/>
            </w:tcBorders>
          </w:tcPr>
          <w:p>
            <w:pPr>
              <w:jc w:val="center"/>
              <w:spacing w:after="0"/>
              <w:rPr>
                <w:sz w:val="20"/>
                <w:szCs w:val="20"/>
                <w:color w:val="auto"/>
              </w:rPr>
            </w:pPr>
            <w:r>
              <w:rPr>
                <w:rFonts w:ascii="Arial" w:cs="Arial" w:eastAsia="Arial" w:hAnsi="Arial"/>
                <w:sz w:val="14"/>
                <w:szCs w:val="14"/>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-102235</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-85090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-67945</wp:posOffset>
            </wp:positionV>
            <wp:extent cx="825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-50800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-33655</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-16510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-222250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-205105</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-170815</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-153670</wp:posOffset>
            </wp:positionV>
            <wp:extent cx="825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-136525</wp:posOffset>
            </wp:positionV>
            <wp:extent cx="825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-342265</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-325120</wp:posOffset>
            </wp:positionV>
            <wp:extent cx="825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-307975</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-290830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-273685</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-256540</wp:posOffset>
            </wp:positionV>
            <wp:extent cx="8255" cy="260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-462280</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-445135</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-427990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-410845</wp:posOffset>
            </wp:positionV>
            <wp:extent cx="825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-393700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-376555</wp:posOffset>
            </wp:positionV>
            <wp:extent cx="8255" cy="260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-582295</wp:posOffset>
            </wp:positionV>
            <wp:extent cx="825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-565150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-548005</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-530860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-513715</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-496570</wp:posOffset>
            </wp:positionV>
            <wp:extent cx="8255" cy="260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-728345</wp:posOffset>
            </wp:positionV>
            <wp:extent cx="8255"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-702310</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-685165</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-668020</wp:posOffset>
            </wp:positionV>
            <wp:extent cx="825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-650875</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-633730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-616585</wp:posOffset>
            </wp:positionV>
            <wp:extent cx="825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-856615</wp:posOffset>
            </wp:positionV>
            <wp:extent cx="8255"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-830580</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-814070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-796925</wp:posOffset>
            </wp:positionV>
            <wp:extent cx="825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-779145</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-762635</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-744855</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leases at June 30, 2021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0" w:type="dxa"/>
            <w:vAlign w:val="bottom"/>
            <w:tcBorders>
              <w:bottom w:val="single" w:sz="8" w:color="8C8272"/>
            </w:tcBorders>
          </w:tcPr>
          <w:p>
            <w:pPr>
              <w:ind w:left="140"/>
              <w:spacing w:after="0"/>
              <w:rPr>
                <w:sz w:val="20"/>
                <w:szCs w:val="20"/>
                <w:color w:val="auto"/>
              </w:rPr>
            </w:pPr>
            <w:r>
              <w:rPr>
                <w:rFonts w:ascii="Arial" w:cs="Arial" w:eastAsia="Arial" w:hAnsi="Arial"/>
                <w:sz w:val="14"/>
                <w:szCs w:val="14"/>
                <w:b w:val="1"/>
                <w:bCs w:val="1"/>
                <w:i w:val="1"/>
                <w:iCs w:val="1"/>
                <w:color w:val="424242"/>
              </w:rPr>
              <w:t>(Millions of Dollars)</w:t>
            </w:r>
          </w:p>
        </w:tc>
        <w:tc>
          <w:tcPr>
            <w:tcW w:w="366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b w:val="1"/>
                <w:bCs w:val="1"/>
                <w:color w:val="424242"/>
              </w:rPr>
              <w:t>Con Edison</w:t>
            </w:r>
          </w:p>
        </w:tc>
        <w:tc>
          <w:tcPr>
            <w:tcW w:w="660" w:type="dxa"/>
            <w:vAlign w:val="bottom"/>
            <w:tcBorders>
              <w:bottom w:val="single" w:sz="8" w:color="8C8272"/>
            </w:tcBorders>
          </w:tcPr>
          <w:p>
            <w:pPr>
              <w:spacing w:after="0"/>
              <w:rPr>
                <w:sz w:val="16"/>
                <w:szCs w:val="16"/>
                <w:color w:val="auto"/>
              </w:rPr>
            </w:pPr>
          </w:p>
        </w:tc>
        <w:tc>
          <w:tcPr>
            <w:tcW w:w="1400" w:type="dxa"/>
            <w:vAlign w:val="bottom"/>
            <w:tcBorders>
              <w:bottom w:val="single" w:sz="8" w:color="8C8272"/>
            </w:tcBorders>
          </w:tcPr>
          <w:p>
            <w:pPr>
              <w:jc w:val="right"/>
              <w:ind w:right="148"/>
              <w:spacing w:after="0"/>
              <w:rPr>
                <w:sz w:val="20"/>
                <w:szCs w:val="20"/>
                <w:color w:val="auto"/>
              </w:rPr>
            </w:pPr>
            <w:r>
              <w:rPr>
                <w:rFonts w:ascii="Arial" w:cs="Arial" w:eastAsia="Arial" w:hAnsi="Arial"/>
                <w:sz w:val="14"/>
                <w:szCs w:val="14"/>
                <w:b w:val="1"/>
                <w:bCs w:val="1"/>
                <w:color w:val="424242"/>
              </w:rPr>
              <w:t>CECONY</w:t>
            </w:r>
          </w:p>
        </w:tc>
        <w:tc>
          <w:tcPr>
            <w:tcW w:w="520" w:type="dxa"/>
            <w:vAlign w:val="bottom"/>
            <w:tcBorders>
              <w:bottom w:val="single" w:sz="8" w:color="8C8272"/>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000" w:type="dxa"/>
            <w:vAlign w:val="bottom"/>
            <w:vMerge w:val="restart"/>
            <w:shd w:val="clear" w:color="auto" w:fill="E5E5E5"/>
          </w:tcPr>
          <w:p>
            <w:pPr>
              <w:ind w:left="140"/>
              <w:spacing w:after="0"/>
              <w:rPr>
                <w:sz w:val="20"/>
                <w:szCs w:val="20"/>
                <w:color w:val="auto"/>
              </w:rPr>
            </w:pPr>
            <w:r>
              <w:rPr>
                <w:rFonts w:ascii="Arial" w:cs="Arial" w:eastAsia="Arial" w:hAnsi="Arial"/>
                <w:sz w:val="14"/>
                <w:szCs w:val="14"/>
                <w:color w:val="auto"/>
              </w:rPr>
              <w:t>Year Ending June 30,</w:t>
            </w:r>
          </w:p>
        </w:tc>
        <w:tc>
          <w:tcPr>
            <w:tcW w:w="3660" w:type="dxa"/>
            <w:vAlign w:val="bottom"/>
            <w:shd w:val="clear" w:color="auto" w:fill="E5E5E5"/>
          </w:tcPr>
          <w:p>
            <w:pPr>
              <w:jc w:val="right"/>
              <w:ind w:right="548"/>
              <w:spacing w:after="0" w:line="147" w:lineRule="exact"/>
              <w:rPr>
                <w:sz w:val="20"/>
                <w:szCs w:val="20"/>
                <w:color w:val="auto"/>
              </w:rPr>
            </w:pPr>
            <w:r>
              <w:rPr>
                <w:rFonts w:ascii="Arial" w:cs="Arial" w:eastAsia="Arial" w:hAnsi="Arial"/>
                <w:sz w:val="14"/>
                <w:szCs w:val="14"/>
                <w:color w:val="auto"/>
              </w:rPr>
              <w:t>Operating</w:t>
            </w:r>
          </w:p>
        </w:tc>
        <w:tc>
          <w:tcPr>
            <w:tcW w:w="660" w:type="dxa"/>
            <w:vAlign w:val="bottom"/>
            <w:shd w:val="clear" w:color="auto" w:fill="E5E5E5"/>
          </w:tcPr>
          <w:p>
            <w:pPr>
              <w:spacing w:after="0"/>
              <w:rPr>
                <w:sz w:val="12"/>
                <w:szCs w:val="12"/>
                <w:color w:val="auto"/>
              </w:rPr>
            </w:pPr>
          </w:p>
        </w:tc>
        <w:tc>
          <w:tcPr>
            <w:tcW w:w="1400" w:type="dxa"/>
            <w:vAlign w:val="bottom"/>
            <w:shd w:val="clear" w:color="auto" w:fill="E5E5E5"/>
          </w:tcPr>
          <w:p>
            <w:pPr>
              <w:jc w:val="right"/>
              <w:ind w:right="488"/>
              <w:spacing w:after="0" w:line="147" w:lineRule="exact"/>
              <w:rPr>
                <w:sz w:val="20"/>
                <w:szCs w:val="20"/>
                <w:color w:val="auto"/>
              </w:rPr>
            </w:pPr>
            <w:r>
              <w:rPr>
                <w:rFonts w:ascii="Arial" w:cs="Arial" w:eastAsia="Arial" w:hAnsi="Arial"/>
                <w:sz w:val="14"/>
                <w:szCs w:val="14"/>
                <w:color w:val="auto"/>
              </w:rPr>
              <w:t>Operating</w:t>
            </w:r>
          </w:p>
        </w:tc>
        <w:tc>
          <w:tcPr>
            <w:tcW w:w="52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000" w:type="dxa"/>
            <w:vAlign w:val="bottom"/>
            <w:vMerge w:val="continue"/>
            <w:shd w:val="clear" w:color="auto" w:fill="E5E5E5"/>
          </w:tcPr>
          <w:p>
            <w:pPr>
              <w:spacing w:after="0"/>
              <w:rPr>
                <w:sz w:val="9"/>
                <w:szCs w:val="9"/>
                <w:color w:val="auto"/>
              </w:rPr>
            </w:pPr>
          </w:p>
        </w:tc>
        <w:tc>
          <w:tcPr>
            <w:tcW w:w="4320" w:type="dxa"/>
            <w:vAlign w:val="bottom"/>
            <w:gridSpan w:val="2"/>
            <w:vMerge w:val="restart"/>
            <w:shd w:val="clear" w:color="auto" w:fill="E5E5E5"/>
          </w:tcPr>
          <w:p>
            <w:pPr>
              <w:jc w:val="right"/>
              <w:ind w:right="128"/>
              <w:spacing w:after="0"/>
              <w:rPr>
                <w:sz w:val="20"/>
                <w:szCs w:val="20"/>
                <w:color w:val="auto"/>
              </w:rPr>
            </w:pPr>
            <w:r>
              <w:rPr>
                <w:rFonts w:ascii="Arial" w:cs="Arial" w:eastAsia="Arial" w:hAnsi="Arial"/>
                <w:sz w:val="14"/>
                <w:szCs w:val="14"/>
                <w:color w:val="auto"/>
              </w:rPr>
              <w:t>Leases Finance Leases</w:t>
            </w:r>
          </w:p>
        </w:tc>
        <w:tc>
          <w:tcPr>
            <w:tcW w:w="1920" w:type="dxa"/>
            <w:vAlign w:val="bottom"/>
            <w:gridSpan w:val="2"/>
            <w:vMerge w:val="restart"/>
            <w:shd w:val="clear" w:color="auto" w:fill="E5E5E5"/>
          </w:tcPr>
          <w:p>
            <w:pPr>
              <w:jc w:val="right"/>
              <w:spacing w:after="0"/>
              <w:rPr>
                <w:sz w:val="20"/>
                <w:szCs w:val="20"/>
                <w:color w:val="auto"/>
              </w:rPr>
            </w:pPr>
            <w:r>
              <w:rPr>
                <w:rFonts w:ascii="Arial" w:cs="Arial" w:eastAsia="Arial" w:hAnsi="Arial"/>
                <w:sz w:val="14"/>
                <w:szCs w:val="14"/>
                <w:color w:val="auto"/>
              </w:rPr>
              <w:t>Leases Finance Leases</w:t>
            </w:r>
          </w:p>
        </w:tc>
        <w:tc>
          <w:tcPr>
            <w:tcW w:w="0" w:type="dxa"/>
            <w:vAlign w:val="bottom"/>
          </w:tcPr>
          <w:p>
            <w:pPr>
              <w:spacing w:after="0"/>
              <w:rPr>
                <w:sz w:val="1"/>
                <w:szCs w:val="1"/>
                <w:color w:val="auto"/>
              </w:rPr>
            </w:pPr>
          </w:p>
        </w:tc>
      </w:tr>
      <w:tr>
        <w:trPr>
          <w:trHeight w:val="66"/>
        </w:trPr>
        <w:tc>
          <w:tcPr>
            <w:tcW w:w="5000" w:type="dxa"/>
            <w:vAlign w:val="bottom"/>
            <w:tcBorders>
              <w:bottom w:val="single" w:sz="8" w:color="6D6D6D"/>
            </w:tcBorders>
            <w:shd w:val="clear" w:color="auto" w:fill="E5E5E5"/>
          </w:tcPr>
          <w:p>
            <w:pPr>
              <w:spacing w:after="0"/>
              <w:rPr>
                <w:sz w:val="5"/>
                <w:szCs w:val="5"/>
                <w:color w:val="auto"/>
              </w:rPr>
            </w:pPr>
          </w:p>
        </w:tc>
        <w:tc>
          <w:tcPr>
            <w:tcW w:w="4320" w:type="dxa"/>
            <w:vAlign w:val="bottom"/>
            <w:tcBorders>
              <w:bottom w:val="single" w:sz="8" w:color="6D6D6D"/>
            </w:tcBorders>
            <w:gridSpan w:val="2"/>
            <w:vMerge w:val="continue"/>
            <w:shd w:val="clear" w:color="auto" w:fill="E5E5E5"/>
          </w:tcPr>
          <w:p>
            <w:pPr>
              <w:spacing w:after="0"/>
              <w:rPr>
                <w:sz w:val="5"/>
                <w:szCs w:val="5"/>
                <w:color w:val="auto"/>
              </w:rPr>
            </w:pPr>
          </w:p>
        </w:tc>
        <w:tc>
          <w:tcPr>
            <w:tcW w:w="1920" w:type="dxa"/>
            <w:vAlign w:val="bottom"/>
            <w:tcBorders>
              <w:bottom w:val="single" w:sz="8" w:color="6D6D6D"/>
            </w:tcBorders>
            <w:gridSpan w:val="2"/>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5000" w:type="dxa"/>
            <w:vAlign w:val="bottom"/>
          </w:tcPr>
          <w:p>
            <w:pPr>
              <w:ind w:left="140"/>
              <w:spacing w:after="0"/>
              <w:rPr>
                <w:sz w:val="20"/>
                <w:szCs w:val="20"/>
                <w:color w:val="auto"/>
              </w:rPr>
            </w:pPr>
            <w:r>
              <w:rPr>
                <w:rFonts w:ascii="Arial" w:cs="Arial" w:eastAsia="Arial" w:hAnsi="Arial"/>
                <w:sz w:val="14"/>
                <w:szCs w:val="14"/>
                <w:color w:val="auto"/>
              </w:rPr>
              <w:t>2022</w:t>
            </w:r>
          </w:p>
        </w:tc>
        <w:tc>
          <w:tcPr>
            <w:tcW w:w="3660" w:type="dxa"/>
            <w:vAlign w:val="bottom"/>
          </w:tcPr>
          <w:p>
            <w:pPr>
              <w:jc w:val="right"/>
              <w:ind w:right="528"/>
              <w:spacing w:after="0"/>
              <w:rPr>
                <w:sz w:val="20"/>
                <w:szCs w:val="20"/>
                <w:color w:val="auto"/>
              </w:rPr>
            </w:pPr>
            <w:r>
              <w:rPr>
                <w:rFonts w:ascii="Arial" w:cs="Arial" w:eastAsia="Arial" w:hAnsi="Arial"/>
                <w:sz w:val="14"/>
                <w:szCs w:val="14"/>
                <w:color w:val="auto"/>
              </w:rPr>
              <w:t>$84</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400" w:type="dxa"/>
            <w:vAlign w:val="bottom"/>
          </w:tcPr>
          <w:p>
            <w:pPr>
              <w:jc w:val="right"/>
              <w:ind w:right="488"/>
              <w:spacing w:after="0"/>
              <w:rPr>
                <w:sz w:val="20"/>
                <w:szCs w:val="20"/>
                <w:color w:val="auto"/>
              </w:rPr>
            </w:pPr>
            <w:r>
              <w:rPr>
                <w:rFonts w:ascii="Arial" w:cs="Arial" w:eastAsia="Arial" w:hAnsi="Arial"/>
                <w:sz w:val="14"/>
                <w:szCs w:val="14"/>
                <w:color w:val="auto"/>
              </w:rPr>
              <w:t>$61</w:t>
            </w: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50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2023</w:t>
            </w:r>
          </w:p>
        </w:tc>
        <w:tc>
          <w:tcPr>
            <w:tcW w:w="3660" w:type="dxa"/>
            <w:vAlign w:val="bottom"/>
            <w:shd w:val="clear" w:color="auto" w:fill="E5E5E5"/>
          </w:tcPr>
          <w:p>
            <w:pPr>
              <w:jc w:val="right"/>
              <w:ind w:right="528"/>
              <w:spacing w:after="0"/>
              <w:rPr>
                <w:sz w:val="20"/>
                <w:szCs w:val="20"/>
                <w:color w:val="auto"/>
              </w:rPr>
            </w:pPr>
            <w:r>
              <w:rPr>
                <w:rFonts w:ascii="Arial" w:cs="Arial" w:eastAsia="Arial" w:hAnsi="Arial"/>
                <w:sz w:val="14"/>
                <w:szCs w:val="14"/>
                <w:color w:val="auto"/>
              </w:rPr>
              <w:t>75</w:t>
            </w:r>
          </w:p>
        </w:tc>
        <w:tc>
          <w:tcPr>
            <w:tcW w:w="66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w:t>
            </w:r>
          </w:p>
        </w:tc>
        <w:tc>
          <w:tcPr>
            <w:tcW w:w="140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57</w:t>
            </w: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5000" w:type="dxa"/>
            <w:vAlign w:val="bottom"/>
          </w:tcPr>
          <w:p>
            <w:pPr>
              <w:ind w:left="140"/>
              <w:spacing w:after="0"/>
              <w:rPr>
                <w:sz w:val="20"/>
                <w:szCs w:val="20"/>
                <w:color w:val="auto"/>
              </w:rPr>
            </w:pPr>
            <w:r>
              <w:rPr>
                <w:rFonts w:ascii="Arial" w:cs="Arial" w:eastAsia="Arial" w:hAnsi="Arial"/>
                <w:sz w:val="14"/>
                <w:szCs w:val="14"/>
                <w:color w:val="auto"/>
              </w:rPr>
              <w:t>2024</w:t>
            </w:r>
          </w:p>
        </w:tc>
        <w:tc>
          <w:tcPr>
            <w:tcW w:w="3660" w:type="dxa"/>
            <w:vAlign w:val="bottom"/>
          </w:tcPr>
          <w:p>
            <w:pPr>
              <w:jc w:val="right"/>
              <w:ind w:right="528"/>
              <w:spacing w:after="0"/>
              <w:rPr>
                <w:sz w:val="20"/>
                <w:szCs w:val="20"/>
                <w:color w:val="auto"/>
              </w:rPr>
            </w:pPr>
            <w:r>
              <w:rPr>
                <w:rFonts w:ascii="Arial" w:cs="Arial" w:eastAsia="Arial" w:hAnsi="Arial"/>
                <w:sz w:val="14"/>
                <w:szCs w:val="14"/>
                <w:color w:val="auto"/>
              </w:rPr>
              <w:t>74</w:t>
            </w:r>
          </w:p>
        </w:tc>
        <w:tc>
          <w:tcPr>
            <w:tcW w:w="6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8"/>
              <w:spacing w:after="0"/>
              <w:rPr>
                <w:sz w:val="20"/>
                <w:szCs w:val="20"/>
                <w:color w:val="auto"/>
              </w:rPr>
            </w:pPr>
            <w:r>
              <w:rPr>
                <w:rFonts w:ascii="Arial" w:cs="Arial" w:eastAsia="Arial" w:hAnsi="Arial"/>
                <w:sz w:val="14"/>
                <w:szCs w:val="14"/>
                <w:color w:val="auto"/>
              </w:rPr>
              <w:t>57</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2025</w:t>
            </w:r>
          </w:p>
        </w:tc>
        <w:tc>
          <w:tcPr>
            <w:tcW w:w="3660" w:type="dxa"/>
            <w:vAlign w:val="bottom"/>
            <w:shd w:val="clear" w:color="auto" w:fill="E5E5E5"/>
          </w:tcPr>
          <w:p>
            <w:pPr>
              <w:jc w:val="right"/>
              <w:ind w:right="528"/>
              <w:spacing w:after="0"/>
              <w:rPr>
                <w:sz w:val="20"/>
                <w:szCs w:val="20"/>
                <w:color w:val="auto"/>
              </w:rPr>
            </w:pPr>
            <w:r>
              <w:rPr>
                <w:rFonts w:ascii="Arial" w:cs="Arial" w:eastAsia="Arial" w:hAnsi="Arial"/>
                <w:sz w:val="14"/>
                <w:szCs w:val="14"/>
                <w:color w:val="auto"/>
              </w:rPr>
              <w:t>75</w:t>
            </w:r>
          </w:p>
        </w:tc>
        <w:tc>
          <w:tcPr>
            <w:tcW w:w="6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58</w:t>
            </w: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00" w:type="dxa"/>
            <w:vAlign w:val="bottom"/>
          </w:tcPr>
          <w:p>
            <w:pPr>
              <w:ind w:left="140"/>
              <w:spacing w:after="0"/>
              <w:rPr>
                <w:sz w:val="20"/>
                <w:szCs w:val="20"/>
                <w:color w:val="auto"/>
              </w:rPr>
            </w:pPr>
            <w:r>
              <w:rPr>
                <w:rFonts w:ascii="Arial" w:cs="Arial" w:eastAsia="Arial" w:hAnsi="Arial"/>
                <w:sz w:val="14"/>
                <w:szCs w:val="14"/>
                <w:color w:val="auto"/>
              </w:rPr>
              <w:t>2026</w:t>
            </w:r>
          </w:p>
        </w:tc>
        <w:tc>
          <w:tcPr>
            <w:tcW w:w="3660" w:type="dxa"/>
            <w:vAlign w:val="bottom"/>
          </w:tcPr>
          <w:p>
            <w:pPr>
              <w:jc w:val="right"/>
              <w:ind w:right="528"/>
              <w:spacing w:after="0"/>
              <w:rPr>
                <w:sz w:val="20"/>
                <w:szCs w:val="20"/>
                <w:color w:val="auto"/>
              </w:rPr>
            </w:pPr>
            <w:r>
              <w:rPr>
                <w:rFonts w:ascii="Arial" w:cs="Arial" w:eastAsia="Arial" w:hAnsi="Arial"/>
                <w:sz w:val="14"/>
                <w:szCs w:val="14"/>
                <w:color w:val="auto"/>
              </w:rPr>
              <w:t>75</w:t>
            </w:r>
          </w:p>
        </w:tc>
        <w:tc>
          <w:tcPr>
            <w:tcW w:w="6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8"/>
              <w:spacing w:after="0"/>
              <w:rPr>
                <w:sz w:val="20"/>
                <w:szCs w:val="20"/>
                <w:color w:val="auto"/>
              </w:rPr>
            </w:pPr>
            <w:r>
              <w:rPr>
                <w:rFonts w:ascii="Arial" w:cs="Arial" w:eastAsia="Arial" w:hAnsi="Arial"/>
                <w:sz w:val="14"/>
                <w:szCs w:val="14"/>
                <w:color w:val="auto"/>
              </w:rPr>
              <w:t>58</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00" w:type="dxa"/>
            <w:vAlign w:val="bottom"/>
            <w:tcBorders>
              <w:bottom w:val="single" w:sz="8" w:color="5E5E61"/>
            </w:tcBorders>
            <w:shd w:val="clear" w:color="auto" w:fill="E5E5E5"/>
          </w:tcPr>
          <w:p>
            <w:pPr>
              <w:ind w:left="20"/>
              <w:spacing w:after="0"/>
              <w:rPr>
                <w:sz w:val="20"/>
                <w:szCs w:val="20"/>
                <w:color w:val="auto"/>
              </w:rPr>
            </w:pPr>
            <w:r>
              <w:rPr>
                <w:rFonts w:ascii="Arial" w:cs="Arial" w:eastAsia="Arial" w:hAnsi="Arial"/>
                <w:sz w:val="14"/>
                <w:szCs w:val="14"/>
                <w:color w:val="auto"/>
              </w:rPr>
              <w:t>All years thereafter</w:t>
            </w:r>
          </w:p>
        </w:tc>
        <w:tc>
          <w:tcPr>
            <w:tcW w:w="3660" w:type="dxa"/>
            <w:vAlign w:val="bottom"/>
            <w:tcBorders>
              <w:bottom w:val="single" w:sz="8" w:color="5E5E61"/>
            </w:tcBorders>
            <w:shd w:val="clear" w:color="auto" w:fill="E5E5E5"/>
          </w:tcPr>
          <w:p>
            <w:pPr>
              <w:jc w:val="right"/>
              <w:ind w:right="528"/>
              <w:spacing w:after="0"/>
              <w:rPr>
                <w:sz w:val="20"/>
                <w:szCs w:val="20"/>
                <w:color w:val="auto"/>
              </w:rPr>
            </w:pPr>
            <w:r>
              <w:rPr>
                <w:rFonts w:ascii="Arial" w:cs="Arial" w:eastAsia="Arial" w:hAnsi="Arial"/>
                <w:sz w:val="14"/>
                <w:szCs w:val="14"/>
                <w:color w:val="auto"/>
              </w:rPr>
              <w:t>929</w:t>
            </w:r>
          </w:p>
        </w:tc>
        <w:tc>
          <w:tcPr>
            <w:tcW w:w="660" w:type="dxa"/>
            <w:vAlign w:val="bottom"/>
            <w:tcBorders>
              <w:bottom w:val="single" w:sz="8" w:color="5E5E61"/>
            </w:tcBorders>
            <w:shd w:val="clear" w:color="auto" w:fill="E5E5E5"/>
          </w:tcPr>
          <w:p>
            <w:pPr>
              <w:jc w:val="right"/>
              <w:ind w:right="128"/>
              <w:spacing w:after="0"/>
              <w:rPr>
                <w:sz w:val="20"/>
                <w:szCs w:val="20"/>
                <w:color w:val="auto"/>
              </w:rPr>
            </w:pPr>
            <w:r>
              <w:rPr>
                <w:rFonts w:ascii="Arial" w:cs="Arial" w:eastAsia="Arial" w:hAnsi="Arial"/>
                <w:sz w:val="14"/>
                <w:szCs w:val="14"/>
                <w:color w:val="auto"/>
              </w:rPr>
              <w:t>1</w:t>
            </w:r>
          </w:p>
        </w:tc>
        <w:tc>
          <w:tcPr>
            <w:tcW w:w="1400" w:type="dxa"/>
            <w:vAlign w:val="bottom"/>
            <w:tcBorders>
              <w:bottom w:val="single" w:sz="8" w:color="5E5E61"/>
            </w:tcBorders>
            <w:shd w:val="clear" w:color="auto" w:fill="E5E5E5"/>
          </w:tcPr>
          <w:p>
            <w:pPr>
              <w:jc w:val="right"/>
              <w:ind w:right="488"/>
              <w:spacing w:after="0"/>
              <w:rPr>
                <w:sz w:val="20"/>
                <w:szCs w:val="20"/>
                <w:color w:val="auto"/>
              </w:rPr>
            </w:pPr>
            <w:r>
              <w:rPr>
                <w:rFonts w:ascii="Arial" w:cs="Arial" w:eastAsia="Arial" w:hAnsi="Arial"/>
                <w:sz w:val="14"/>
                <w:szCs w:val="14"/>
                <w:color w:val="auto"/>
              </w:rPr>
              <w:t>448</w:t>
            </w:r>
          </w:p>
        </w:tc>
        <w:tc>
          <w:tcPr>
            <w:tcW w:w="520" w:type="dxa"/>
            <w:vAlign w:val="bottom"/>
            <w:tcBorders>
              <w:bottom w:val="single" w:sz="8" w:color="5E5E61"/>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000" w:type="dxa"/>
            <w:vAlign w:val="bottom"/>
          </w:tcPr>
          <w:p>
            <w:pPr>
              <w:ind w:left="140"/>
              <w:spacing w:after="0"/>
              <w:rPr>
                <w:sz w:val="20"/>
                <w:szCs w:val="20"/>
                <w:color w:val="auto"/>
              </w:rPr>
            </w:pPr>
            <w:r>
              <w:rPr>
                <w:rFonts w:ascii="Arial" w:cs="Arial" w:eastAsia="Arial" w:hAnsi="Arial"/>
                <w:sz w:val="14"/>
                <w:szCs w:val="14"/>
                <w:color w:val="auto"/>
              </w:rPr>
              <w:t>Total future minimum lease payments</w:t>
            </w:r>
          </w:p>
        </w:tc>
        <w:tc>
          <w:tcPr>
            <w:tcW w:w="3660" w:type="dxa"/>
            <w:vAlign w:val="bottom"/>
          </w:tcPr>
          <w:p>
            <w:pPr>
              <w:jc w:val="right"/>
              <w:ind w:right="528"/>
              <w:spacing w:after="0"/>
              <w:rPr>
                <w:sz w:val="20"/>
                <w:szCs w:val="20"/>
                <w:color w:val="auto"/>
              </w:rPr>
            </w:pPr>
            <w:r>
              <w:rPr>
                <w:rFonts w:ascii="Arial" w:cs="Arial" w:eastAsia="Arial" w:hAnsi="Arial"/>
                <w:sz w:val="14"/>
                <w:szCs w:val="14"/>
                <w:color w:val="auto"/>
              </w:rPr>
              <w:t>$1,312</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1400" w:type="dxa"/>
            <w:vAlign w:val="bottom"/>
          </w:tcPr>
          <w:p>
            <w:pPr>
              <w:jc w:val="right"/>
              <w:ind w:right="488"/>
              <w:spacing w:after="0"/>
              <w:rPr>
                <w:sz w:val="20"/>
                <w:szCs w:val="20"/>
                <w:color w:val="auto"/>
              </w:rPr>
            </w:pPr>
            <w:r>
              <w:rPr>
                <w:rFonts w:ascii="Arial" w:cs="Arial" w:eastAsia="Arial" w:hAnsi="Arial"/>
                <w:sz w:val="14"/>
                <w:szCs w:val="14"/>
                <w:color w:val="auto"/>
              </w:rPr>
              <w:t>$739</w:t>
            </w: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5000" w:type="dxa"/>
            <w:vAlign w:val="bottom"/>
            <w:tcBorders>
              <w:bottom w:val="single" w:sz="8" w:color="5E5E61"/>
            </w:tcBorders>
            <w:shd w:val="clear" w:color="auto" w:fill="E5E5E5"/>
          </w:tcPr>
          <w:p>
            <w:pPr>
              <w:ind w:left="140"/>
              <w:spacing w:after="0"/>
              <w:rPr>
                <w:sz w:val="20"/>
                <w:szCs w:val="20"/>
                <w:color w:val="auto"/>
              </w:rPr>
            </w:pPr>
            <w:r>
              <w:rPr>
                <w:rFonts w:ascii="Arial" w:cs="Arial" w:eastAsia="Arial" w:hAnsi="Arial"/>
                <w:sz w:val="14"/>
                <w:szCs w:val="14"/>
                <w:color w:val="auto"/>
              </w:rPr>
              <w:t>Less: imputed interest</w:t>
            </w:r>
          </w:p>
        </w:tc>
        <w:tc>
          <w:tcPr>
            <w:tcW w:w="3660" w:type="dxa"/>
            <w:vAlign w:val="bottom"/>
            <w:tcBorders>
              <w:bottom w:val="single" w:sz="8" w:color="5E5E61"/>
            </w:tcBorders>
            <w:shd w:val="clear" w:color="auto" w:fill="E5E5E5"/>
          </w:tcPr>
          <w:p>
            <w:pPr>
              <w:jc w:val="right"/>
              <w:ind w:right="528"/>
              <w:spacing w:after="0"/>
              <w:rPr>
                <w:sz w:val="20"/>
                <w:szCs w:val="20"/>
                <w:color w:val="auto"/>
              </w:rPr>
            </w:pPr>
            <w:r>
              <w:rPr>
                <w:rFonts w:ascii="Arial" w:cs="Arial" w:eastAsia="Arial" w:hAnsi="Arial"/>
                <w:sz w:val="14"/>
                <w:szCs w:val="14"/>
                <w:color w:val="auto"/>
              </w:rPr>
              <w:t>(453)</w:t>
            </w:r>
          </w:p>
        </w:tc>
        <w:tc>
          <w:tcPr>
            <w:tcW w:w="660" w:type="dxa"/>
            <w:vAlign w:val="bottom"/>
            <w:tcBorders>
              <w:bottom w:val="single" w:sz="8" w:color="5E5E61"/>
            </w:tcBorders>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5E5E61"/>
            </w:tcBorders>
            <w:shd w:val="clear" w:color="auto" w:fill="E5E5E5"/>
          </w:tcPr>
          <w:p>
            <w:pPr>
              <w:jc w:val="right"/>
              <w:ind w:right="488"/>
              <w:spacing w:after="0"/>
              <w:rPr>
                <w:sz w:val="20"/>
                <w:szCs w:val="20"/>
                <w:color w:val="auto"/>
              </w:rPr>
            </w:pPr>
            <w:r>
              <w:rPr>
                <w:rFonts w:ascii="Arial" w:cs="Arial" w:eastAsia="Arial" w:hAnsi="Arial"/>
                <w:sz w:val="14"/>
                <w:szCs w:val="14"/>
                <w:color w:val="auto"/>
              </w:rPr>
              <w:t>(150)</w:t>
            </w:r>
          </w:p>
        </w:tc>
        <w:tc>
          <w:tcPr>
            <w:tcW w:w="520" w:type="dxa"/>
            <w:vAlign w:val="bottom"/>
            <w:tcBorders>
              <w:bottom w:val="single" w:sz="8" w:color="5E5E61"/>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000" w:type="dxa"/>
            <w:vAlign w:val="bottom"/>
            <w:tcBorders>
              <w:bottom w:val="single" w:sz="8" w:color="5E5E61"/>
            </w:tcBorders>
          </w:tcPr>
          <w:p>
            <w:pPr>
              <w:ind w:left="140"/>
              <w:spacing w:after="0"/>
              <w:rPr>
                <w:sz w:val="20"/>
                <w:szCs w:val="20"/>
                <w:color w:val="auto"/>
              </w:rPr>
            </w:pPr>
            <w:r>
              <w:rPr>
                <w:rFonts w:ascii="Arial" w:cs="Arial" w:eastAsia="Arial" w:hAnsi="Arial"/>
                <w:sz w:val="14"/>
                <w:szCs w:val="14"/>
                <w:color w:val="auto"/>
              </w:rPr>
              <w:t>Total</w:t>
            </w:r>
          </w:p>
        </w:tc>
        <w:tc>
          <w:tcPr>
            <w:tcW w:w="3660" w:type="dxa"/>
            <w:vAlign w:val="bottom"/>
            <w:tcBorders>
              <w:bottom w:val="single" w:sz="8" w:color="5E5E61"/>
            </w:tcBorders>
          </w:tcPr>
          <w:p>
            <w:pPr>
              <w:jc w:val="right"/>
              <w:ind w:right="528"/>
              <w:spacing w:after="0"/>
              <w:rPr>
                <w:sz w:val="20"/>
                <w:szCs w:val="20"/>
                <w:color w:val="auto"/>
              </w:rPr>
            </w:pPr>
            <w:r>
              <w:rPr>
                <w:rFonts w:ascii="Arial" w:cs="Arial" w:eastAsia="Arial" w:hAnsi="Arial"/>
                <w:sz w:val="14"/>
                <w:szCs w:val="14"/>
                <w:color w:val="auto"/>
              </w:rPr>
              <w:t>$859</w:t>
            </w:r>
          </w:p>
        </w:tc>
        <w:tc>
          <w:tcPr>
            <w:tcW w:w="660" w:type="dxa"/>
            <w:vAlign w:val="bottom"/>
            <w:tcBorders>
              <w:bottom w:val="single" w:sz="8" w:color="5E5E61"/>
            </w:tcBorders>
          </w:tcPr>
          <w:p>
            <w:pPr>
              <w:jc w:val="right"/>
              <w:ind w:right="128"/>
              <w:spacing w:after="0"/>
              <w:rPr>
                <w:sz w:val="20"/>
                <w:szCs w:val="20"/>
                <w:color w:val="auto"/>
              </w:rPr>
            </w:pPr>
            <w:r>
              <w:rPr>
                <w:rFonts w:ascii="Arial" w:cs="Arial" w:eastAsia="Arial" w:hAnsi="Arial"/>
                <w:sz w:val="14"/>
                <w:szCs w:val="14"/>
                <w:color w:val="auto"/>
              </w:rPr>
              <w:t>$3</w:t>
            </w:r>
          </w:p>
        </w:tc>
        <w:tc>
          <w:tcPr>
            <w:tcW w:w="1400" w:type="dxa"/>
            <w:vAlign w:val="bottom"/>
            <w:tcBorders>
              <w:bottom w:val="single" w:sz="8" w:color="5E5E61"/>
            </w:tcBorders>
          </w:tcPr>
          <w:p>
            <w:pPr>
              <w:jc w:val="right"/>
              <w:ind w:right="488"/>
              <w:spacing w:after="0"/>
              <w:rPr>
                <w:sz w:val="20"/>
                <w:szCs w:val="20"/>
                <w:color w:val="auto"/>
              </w:rPr>
            </w:pPr>
            <w:r>
              <w:rPr>
                <w:rFonts w:ascii="Arial" w:cs="Arial" w:eastAsia="Arial" w:hAnsi="Arial"/>
                <w:sz w:val="14"/>
                <w:szCs w:val="14"/>
                <w:color w:val="auto"/>
              </w:rPr>
              <w:t>$589</w:t>
            </w:r>
          </w:p>
        </w:tc>
        <w:tc>
          <w:tcPr>
            <w:tcW w:w="520" w:type="dxa"/>
            <w:vAlign w:val="bottom"/>
            <w:tcBorders>
              <w:bottom w:val="single" w:sz="8" w:color="5E5E61"/>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5000" w:type="dxa"/>
            <w:vAlign w:val="bottom"/>
            <w:shd w:val="clear" w:color="auto" w:fill="E5E5E5"/>
          </w:tcPr>
          <w:p>
            <w:pPr>
              <w:ind w:left="20"/>
              <w:spacing w:after="0"/>
              <w:rPr>
                <w:sz w:val="20"/>
                <w:szCs w:val="20"/>
                <w:color w:val="auto"/>
              </w:rPr>
            </w:pPr>
            <w:r>
              <w:rPr>
                <w:rFonts w:ascii="Arial" w:cs="Arial" w:eastAsia="Arial" w:hAnsi="Arial"/>
                <w:sz w:val="14"/>
                <w:szCs w:val="14"/>
                <w:color w:val="auto"/>
              </w:rPr>
              <w:t>Reported as of June 30, 2021</w:t>
            </w:r>
          </w:p>
        </w:tc>
        <w:tc>
          <w:tcPr>
            <w:tcW w:w="366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140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0" w:type="dxa"/>
            <w:vAlign w:val="bottom"/>
          </w:tcPr>
          <w:p>
            <w:pPr>
              <w:ind w:left="140"/>
              <w:spacing w:after="0"/>
              <w:rPr>
                <w:sz w:val="20"/>
                <w:szCs w:val="20"/>
                <w:color w:val="auto"/>
              </w:rPr>
            </w:pPr>
            <w:r>
              <w:rPr>
                <w:rFonts w:ascii="Arial" w:cs="Arial" w:eastAsia="Arial" w:hAnsi="Arial"/>
                <w:sz w:val="14"/>
                <w:szCs w:val="14"/>
                <w:color w:val="auto"/>
              </w:rPr>
              <w:t>Operating lease liabilities (current)</w:t>
            </w:r>
          </w:p>
        </w:tc>
        <w:tc>
          <w:tcPr>
            <w:tcW w:w="3660" w:type="dxa"/>
            <w:vAlign w:val="bottom"/>
          </w:tcPr>
          <w:p>
            <w:pPr>
              <w:jc w:val="right"/>
              <w:ind w:right="528"/>
              <w:spacing w:after="0"/>
              <w:rPr>
                <w:sz w:val="20"/>
                <w:szCs w:val="20"/>
                <w:color w:val="auto"/>
              </w:rPr>
            </w:pPr>
            <w:r>
              <w:rPr>
                <w:rFonts w:ascii="Arial" w:cs="Arial" w:eastAsia="Arial" w:hAnsi="Arial"/>
                <w:sz w:val="14"/>
                <w:szCs w:val="14"/>
                <w:color w:val="auto"/>
              </w:rPr>
              <w:t>$109</w:t>
            </w:r>
          </w:p>
        </w:tc>
        <w:tc>
          <w:tcPr>
            <w:tcW w:w="6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8"/>
              <w:spacing w:after="0"/>
              <w:rPr>
                <w:sz w:val="20"/>
                <w:szCs w:val="20"/>
                <w:color w:val="auto"/>
              </w:rPr>
            </w:pPr>
            <w:r>
              <w:rPr>
                <w:rFonts w:ascii="Arial" w:cs="Arial" w:eastAsia="Arial" w:hAnsi="Arial"/>
                <w:sz w:val="14"/>
                <w:szCs w:val="14"/>
                <w:color w:val="auto"/>
              </w:rPr>
              <w:t>$82</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Operating lease liabilities (noncurrent)</w:t>
            </w:r>
          </w:p>
        </w:tc>
        <w:tc>
          <w:tcPr>
            <w:tcW w:w="3660" w:type="dxa"/>
            <w:vAlign w:val="bottom"/>
            <w:shd w:val="clear" w:color="auto" w:fill="E5E5E5"/>
          </w:tcPr>
          <w:p>
            <w:pPr>
              <w:jc w:val="right"/>
              <w:ind w:right="528"/>
              <w:spacing w:after="0"/>
              <w:rPr>
                <w:sz w:val="20"/>
                <w:szCs w:val="20"/>
                <w:color w:val="auto"/>
              </w:rPr>
            </w:pPr>
            <w:r>
              <w:rPr>
                <w:rFonts w:ascii="Arial" w:cs="Arial" w:eastAsia="Arial" w:hAnsi="Arial"/>
                <w:sz w:val="14"/>
                <w:szCs w:val="14"/>
                <w:color w:val="auto"/>
              </w:rPr>
              <w:t>750</w:t>
            </w:r>
          </w:p>
        </w:tc>
        <w:tc>
          <w:tcPr>
            <w:tcW w:w="6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507</w:t>
            </w: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00" w:type="dxa"/>
            <w:vAlign w:val="bottom"/>
          </w:tcPr>
          <w:p>
            <w:pPr>
              <w:ind w:left="140"/>
              <w:spacing w:after="0"/>
              <w:rPr>
                <w:sz w:val="20"/>
                <w:szCs w:val="20"/>
                <w:color w:val="auto"/>
              </w:rPr>
            </w:pPr>
            <w:r>
              <w:rPr>
                <w:rFonts w:ascii="Arial" w:cs="Arial" w:eastAsia="Arial" w:hAnsi="Arial"/>
                <w:sz w:val="14"/>
                <w:szCs w:val="14"/>
                <w:color w:val="auto"/>
              </w:rPr>
              <w:t>Other current liabilities</w:t>
            </w:r>
          </w:p>
        </w:tc>
        <w:tc>
          <w:tcPr>
            <w:tcW w:w="36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5000" w:type="dxa"/>
            <w:vAlign w:val="bottom"/>
            <w:tcBorders>
              <w:bottom w:val="single" w:sz="8" w:color="5E5E61"/>
            </w:tcBorders>
            <w:shd w:val="clear" w:color="auto" w:fill="E5E5E5"/>
          </w:tcPr>
          <w:p>
            <w:pPr>
              <w:ind w:left="140"/>
              <w:spacing w:after="0"/>
              <w:rPr>
                <w:sz w:val="20"/>
                <w:szCs w:val="20"/>
                <w:color w:val="auto"/>
              </w:rPr>
            </w:pPr>
            <w:r>
              <w:rPr>
                <w:rFonts w:ascii="Arial" w:cs="Arial" w:eastAsia="Arial" w:hAnsi="Arial"/>
                <w:sz w:val="14"/>
                <w:szCs w:val="14"/>
                <w:color w:val="auto"/>
              </w:rPr>
              <w:t>Other noncurrent liabilities</w:t>
            </w:r>
          </w:p>
        </w:tc>
        <w:tc>
          <w:tcPr>
            <w:tcW w:w="3660" w:type="dxa"/>
            <w:vAlign w:val="bottom"/>
            <w:tcBorders>
              <w:bottom w:val="single" w:sz="8" w:color="5E5E61"/>
            </w:tcBorders>
            <w:shd w:val="clear" w:color="auto" w:fill="E5E5E5"/>
          </w:tcPr>
          <w:p>
            <w:pPr>
              <w:jc w:val="right"/>
              <w:ind w:right="5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E5E61"/>
            </w:tcBorders>
            <w:shd w:val="clear" w:color="auto" w:fill="E5E5E5"/>
          </w:tcPr>
          <w:p>
            <w:pPr>
              <w:jc w:val="right"/>
              <w:ind w:right="128"/>
              <w:spacing w:after="0"/>
              <w:rPr>
                <w:sz w:val="20"/>
                <w:szCs w:val="20"/>
                <w:color w:val="auto"/>
              </w:rPr>
            </w:pPr>
            <w:r>
              <w:rPr>
                <w:rFonts w:ascii="Arial" w:cs="Arial" w:eastAsia="Arial" w:hAnsi="Arial"/>
                <w:sz w:val="14"/>
                <w:szCs w:val="14"/>
                <w:color w:val="auto"/>
              </w:rPr>
              <w:t>2</w:t>
            </w:r>
          </w:p>
        </w:tc>
        <w:tc>
          <w:tcPr>
            <w:tcW w:w="1400" w:type="dxa"/>
            <w:vAlign w:val="bottom"/>
            <w:tcBorders>
              <w:bottom w:val="single" w:sz="8" w:color="5E5E61"/>
            </w:tcBorders>
            <w:shd w:val="clear" w:color="auto" w:fill="E5E5E5"/>
          </w:tcPr>
          <w:p>
            <w:pPr>
              <w:jc w:val="right"/>
              <w:ind w:right="5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5E5E61"/>
            </w:tcBorders>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5000" w:type="dxa"/>
            <w:vAlign w:val="bottom"/>
            <w:tcBorders>
              <w:bottom w:val="single" w:sz="8" w:color="5E5E61"/>
            </w:tcBorders>
          </w:tcPr>
          <w:p>
            <w:pPr>
              <w:ind w:left="140"/>
              <w:spacing w:after="0"/>
              <w:rPr>
                <w:sz w:val="20"/>
                <w:szCs w:val="20"/>
                <w:color w:val="auto"/>
              </w:rPr>
            </w:pPr>
            <w:r>
              <w:rPr>
                <w:rFonts w:ascii="Arial" w:cs="Arial" w:eastAsia="Arial" w:hAnsi="Arial"/>
                <w:sz w:val="14"/>
                <w:szCs w:val="14"/>
                <w:color w:val="auto"/>
              </w:rPr>
              <w:t>Total</w:t>
            </w:r>
          </w:p>
        </w:tc>
        <w:tc>
          <w:tcPr>
            <w:tcW w:w="3660" w:type="dxa"/>
            <w:vAlign w:val="bottom"/>
            <w:tcBorders>
              <w:bottom w:val="single" w:sz="8" w:color="5E5E61"/>
            </w:tcBorders>
          </w:tcPr>
          <w:p>
            <w:pPr>
              <w:jc w:val="right"/>
              <w:ind w:right="528"/>
              <w:spacing w:after="0"/>
              <w:rPr>
                <w:sz w:val="20"/>
                <w:szCs w:val="20"/>
                <w:color w:val="auto"/>
              </w:rPr>
            </w:pPr>
            <w:r>
              <w:rPr>
                <w:rFonts w:ascii="Arial" w:cs="Arial" w:eastAsia="Arial" w:hAnsi="Arial"/>
                <w:sz w:val="14"/>
                <w:szCs w:val="14"/>
                <w:color w:val="auto"/>
              </w:rPr>
              <w:t>$859</w:t>
            </w:r>
          </w:p>
        </w:tc>
        <w:tc>
          <w:tcPr>
            <w:tcW w:w="660" w:type="dxa"/>
            <w:vAlign w:val="bottom"/>
            <w:tcBorders>
              <w:bottom w:val="single" w:sz="8" w:color="5E5E61"/>
            </w:tcBorders>
          </w:tcPr>
          <w:p>
            <w:pPr>
              <w:jc w:val="right"/>
              <w:ind w:right="128"/>
              <w:spacing w:after="0"/>
              <w:rPr>
                <w:sz w:val="20"/>
                <w:szCs w:val="20"/>
                <w:color w:val="auto"/>
              </w:rPr>
            </w:pPr>
            <w:r>
              <w:rPr>
                <w:rFonts w:ascii="Arial" w:cs="Arial" w:eastAsia="Arial" w:hAnsi="Arial"/>
                <w:sz w:val="14"/>
                <w:szCs w:val="14"/>
                <w:color w:val="auto"/>
              </w:rPr>
              <w:t>$3</w:t>
            </w:r>
          </w:p>
        </w:tc>
        <w:tc>
          <w:tcPr>
            <w:tcW w:w="1400" w:type="dxa"/>
            <w:vAlign w:val="bottom"/>
            <w:tcBorders>
              <w:bottom w:val="single" w:sz="8" w:color="5E5E61"/>
            </w:tcBorders>
          </w:tcPr>
          <w:p>
            <w:pPr>
              <w:jc w:val="right"/>
              <w:ind w:right="488"/>
              <w:spacing w:after="0"/>
              <w:rPr>
                <w:sz w:val="20"/>
                <w:szCs w:val="20"/>
                <w:color w:val="auto"/>
              </w:rPr>
            </w:pPr>
            <w:r>
              <w:rPr>
                <w:rFonts w:ascii="Arial" w:cs="Arial" w:eastAsia="Arial" w:hAnsi="Arial"/>
                <w:sz w:val="14"/>
                <w:szCs w:val="14"/>
                <w:color w:val="auto"/>
              </w:rPr>
              <w:t>$589</w:t>
            </w:r>
          </w:p>
        </w:tc>
        <w:tc>
          <w:tcPr>
            <w:tcW w:w="520" w:type="dxa"/>
            <w:vAlign w:val="bottom"/>
            <w:tcBorders>
              <w:bottom w:val="single" w:sz="8" w:color="5E5E61"/>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-128270</wp:posOffset>
            </wp:positionV>
            <wp:extent cx="8255"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-102235</wp:posOffset>
            </wp:positionV>
            <wp:extent cx="825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-85090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-67945</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-50800</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-33655</wp:posOffset>
            </wp:positionV>
            <wp:extent cx="825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-16510</wp:posOffset>
            </wp:positionV>
            <wp:extent cx="825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-230505</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-213995</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-196850</wp:posOffset>
            </wp:positionV>
            <wp:extent cx="825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-179070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-162560</wp:posOffset>
            </wp:positionV>
            <wp:extent cx="825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-145415</wp:posOffset>
            </wp:positionV>
            <wp:extent cx="825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-350520</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-334010</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-316230</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-299720</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-282575</wp:posOffset>
            </wp:positionV>
            <wp:extent cx="825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-264795</wp:posOffset>
            </wp:positionV>
            <wp:extent cx="825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-471170</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-454025</wp:posOffset>
            </wp:positionV>
            <wp:extent cx="825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-436245</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-419735</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-401955</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-385445</wp:posOffset>
            </wp:positionV>
            <wp:extent cx="8255" cy="260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-591185</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-573405</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-556895</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-539750</wp:posOffset>
            </wp:positionV>
            <wp:extent cx="825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-521970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-505460</wp:posOffset>
            </wp:positionV>
            <wp:extent cx="8255" cy="260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-736600</wp:posOffset>
            </wp:positionV>
            <wp:extent cx="8255"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-711200</wp:posOffset>
            </wp:positionV>
            <wp:extent cx="825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-693420</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-676910</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-659130</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-642620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-625475</wp:posOffset>
            </wp:positionV>
            <wp:extent cx="8255" cy="260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-864870</wp:posOffset>
            </wp:positionV>
            <wp:extent cx="8255"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-839470</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-822325</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-805180</wp:posOffset>
            </wp:positionV>
            <wp:extent cx="825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-788035</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-770890</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-753745</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-967740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-950595</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-934085</wp:posOffset>
            </wp:positionV>
            <wp:extent cx="825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-916305</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-899795</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-882015</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-1113790</wp:posOffset>
            </wp:positionV>
            <wp:extent cx="8255"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-1087755</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-1071245</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-1053465</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-1036320</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-1019810</wp:posOffset>
            </wp:positionV>
            <wp:extent cx="825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-1002030</wp:posOffset>
            </wp:positionV>
            <wp:extent cx="825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-1216660</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-1199515</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-1182370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-1165225</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-1148080</wp:posOffset>
            </wp:positionV>
            <wp:extent cx="825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-1130935</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-1336675</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-1319530</wp:posOffset>
            </wp:positionV>
            <wp:extent cx="825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-1302385</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-1285240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-1268095</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-1250950</wp:posOffset>
            </wp:positionV>
            <wp:extent cx="8255" cy="260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-1456690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-1439545</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-1422400</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-1405255</wp:posOffset>
            </wp:positionV>
            <wp:extent cx="825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-1388110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-1370965</wp:posOffset>
            </wp:positionV>
            <wp:extent cx="8255" cy="260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-1576705</wp:posOffset>
            </wp:positionV>
            <wp:extent cx="825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-1559560</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-1542415</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-1525270</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-1508125</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-1490980</wp:posOffset>
            </wp:positionV>
            <wp:extent cx="8255" cy="260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-1696720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-1679575</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-1662430</wp:posOffset>
            </wp:positionV>
            <wp:extent cx="825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-1645285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-1628140</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-1610995</wp:posOffset>
            </wp:positionV>
            <wp:extent cx="825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-1842770</wp:posOffset>
            </wp:positionV>
            <wp:extent cx="8255"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-1816735</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-1799590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-1782445</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-1765300</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-1748155</wp:posOffset>
            </wp:positionV>
            <wp:extent cx="825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-1731010</wp:posOffset>
            </wp:positionV>
            <wp:extent cx="825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-2056765</wp:posOffset>
            </wp:positionV>
            <wp:extent cx="8255"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-2030730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-2014220</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-1996440</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-1979295</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-1962785</wp:posOffset>
            </wp:positionV>
            <wp:extent cx="825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-1945005</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-1928495</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-1910715</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-1893570</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-1877060</wp:posOffset>
            </wp:positionV>
            <wp:extent cx="825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-1859280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the Companies did not have material obligations under operating or finance leases that had not yet commenced.</w:t>
      </w:r>
    </w:p>
    <w:p>
      <w:pPr>
        <w:spacing w:after="0" w:line="252"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Companies are lessors under certain leases whereby the Companies own real estate and distribution poles and lease portions of them to others. Revenue under such leases was immaterial for Con Edison and CECONY for the three and six months ended June 30, 2021 and 2020.</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Note J – Income Tax</w:t>
      </w:r>
    </w:p>
    <w:p>
      <w:pPr>
        <w:spacing w:after="0" w:line="3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Con Edison’s income tax expense decreased to an $11 million income tax benefit for the three months ended June 30, 2021 from $9 million of income tax expense for the three months ended June 30, 2020. The decrease in income tax expense is primarily due to lower income before income tax expense, lower state income taxes, lower allowance for uncollectible accounts and an increase in the amortization of excess deferred federal income taxes due to the TCJA, offset in part by higher income attributable to the company from non-controlling interests.</w:t>
      </w:r>
    </w:p>
    <w:p>
      <w:pPr>
        <w:spacing w:after="0" w:line="21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CECONY’s income tax expense decreased to a $16 million income tax benefit for the three months ended June 30, 2021 from $7 million in income tax expense for the three months ended June 30, 2020. The decrease in income tax expense is primarily due to lower income before income tax expense, lower state income taxes, lower allowance for uncollectible accounts, higher settlement payments related to injuries and damages and an increase in the amortization of excess deferred federal income taxes due to the TCJA.</w:t>
      </w:r>
    </w:p>
    <w:p>
      <w:pPr>
        <w:spacing w:after="0" w:line="22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Reconciliation of the difference between income tax expense and the amount computed by applying the prevailing statutory income tax rate to income before income taxes for the three months ended June 30, 2021 and 2020 is as follows: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3"/>
        </w:trPr>
        <w:tc>
          <w:tcPr>
            <w:tcW w:w="4900" w:type="dxa"/>
            <w:vAlign w:val="bottom"/>
            <w:tcBorders>
              <w:top w:val="single" w:sz="8" w:color="828282"/>
              <w:bottom w:val="single" w:sz="8" w:color="828282"/>
            </w:tcBorders>
          </w:tcPr>
          <w:p>
            <w:pPr>
              <w:spacing w:after="0"/>
              <w:rPr>
                <w:sz w:val="17"/>
                <w:szCs w:val="17"/>
                <w:color w:val="auto"/>
              </w:rPr>
            </w:pPr>
          </w:p>
        </w:tc>
        <w:tc>
          <w:tcPr>
            <w:tcW w:w="2540" w:type="dxa"/>
            <w:vAlign w:val="bottom"/>
            <w:tcBorders>
              <w:top w:val="single" w:sz="8" w:color="828282"/>
              <w:bottom w:val="single" w:sz="8" w:color="828282"/>
            </w:tcBorders>
          </w:tcPr>
          <w:p>
            <w:pPr>
              <w:jc w:val="right"/>
              <w:ind w:right="288"/>
              <w:spacing w:after="0"/>
              <w:rPr>
                <w:sz w:val="20"/>
                <w:szCs w:val="20"/>
                <w:color w:val="auto"/>
              </w:rPr>
            </w:pPr>
            <w:r>
              <w:rPr>
                <w:rFonts w:ascii="Arial" w:cs="Arial" w:eastAsia="Arial" w:hAnsi="Arial"/>
                <w:sz w:val="14"/>
                <w:szCs w:val="14"/>
                <w:b w:val="1"/>
                <w:bCs w:val="1"/>
                <w:color w:val="5E5E61"/>
              </w:rPr>
              <w:t>Con Edison</w:t>
            </w:r>
          </w:p>
        </w:tc>
        <w:tc>
          <w:tcPr>
            <w:tcW w:w="1300" w:type="dxa"/>
            <w:vAlign w:val="bottom"/>
            <w:tcBorders>
              <w:top w:val="single" w:sz="8" w:color="828282"/>
              <w:bottom w:val="single" w:sz="8" w:color="828282"/>
            </w:tcBorders>
          </w:tcPr>
          <w:p>
            <w:pPr>
              <w:spacing w:after="0"/>
              <w:rPr>
                <w:sz w:val="17"/>
                <w:szCs w:val="17"/>
                <w:color w:val="auto"/>
              </w:rPr>
            </w:pPr>
          </w:p>
        </w:tc>
        <w:tc>
          <w:tcPr>
            <w:tcW w:w="1680" w:type="dxa"/>
            <w:vAlign w:val="bottom"/>
            <w:tcBorders>
              <w:top w:val="single" w:sz="8" w:color="828282"/>
              <w:bottom w:val="single" w:sz="8" w:color="828282"/>
            </w:tcBorders>
          </w:tcPr>
          <w:p>
            <w:pPr>
              <w:ind w:left="640"/>
              <w:spacing w:after="0"/>
              <w:rPr>
                <w:sz w:val="20"/>
                <w:szCs w:val="20"/>
                <w:color w:val="auto"/>
              </w:rPr>
            </w:pPr>
            <w:r>
              <w:rPr>
                <w:rFonts w:ascii="Arial" w:cs="Arial" w:eastAsia="Arial" w:hAnsi="Arial"/>
                <w:sz w:val="14"/>
                <w:szCs w:val="14"/>
                <w:b w:val="1"/>
                <w:bCs w:val="1"/>
                <w:color w:val="5E5E61"/>
              </w:rPr>
              <w:t>CECONY</w:t>
            </w:r>
          </w:p>
        </w:tc>
        <w:tc>
          <w:tcPr>
            <w:tcW w:w="820" w:type="dxa"/>
            <w:vAlign w:val="bottom"/>
            <w:tcBorders>
              <w:top w:val="single" w:sz="8" w:color="828282"/>
              <w:bottom w:val="single" w:sz="8" w:color="828282"/>
            </w:tcBorders>
          </w:tcPr>
          <w:p>
            <w:pPr>
              <w:spacing w:after="0"/>
              <w:rPr>
                <w:sz w:val="17"/>
                <w:szCs w:val="17"/>
                <w:color w:val="auto"/>
              </w:rPr>
            </w:pPr>
          </w:p>
        </w:tc>
      </w:tr>
      <w:tr>
        <w:trPr>
          <w:trHeight w:val="183"/>
        </w:trPr>
        <w:tc>
          <w:tcPr>
            <w:tcW w:w="4900" w:type="dxa"/>
            <w:vAlign w:val="bottom"/>
            <w:tcBorders>
              <w:bottom w:val="single" w:sz="8" w:color="828282"/>
            </w:tcBorders>
          </w:tcPr>
          <w:p>
            <w:pPr>
              <w:ind w:left="20"/>
              <w:spacing w:after="0"/>
              <w:rPr>
                <w:sz w:val="20"/>
                <w:szCs w:val="20"/>
                <w:color w:val="auto"/>
              </w:rPr>
            </w:pPr>
            <w:r>
              <w:rPr>
                <w:rFonts w:ascii="Arial" w:cs="Arial" w:eastAsia="Arial" w:hAnsi="Arial"/>
                <w:sz w:val="14"/>
                <w:szCs w:val="14"/>
                <w:b w:val="1"/>
                <w:bCs w:val="1"/>
                <w:i w:val="1"/>
                <w:iCs w:val="1"/>
                <w:color w:val="auto"/>
              </w:rPr>
              <w:t>(% of Pre-tax income)</w:t>
            </w:r>
          </w:p>
        </w:tc>
        <w:tc>
          <w:tcPr>
            <w:tcW w:w="2540" w:type="dxa"/>
            <w:vAlign w:val="bottom"/>
            <w:tcBorders>
              <w:bottom w:val="single" w:sz="8" w:color="828282"/>
            </w:tcBorders>
          </w:tcPr>
          <w:p>
            <w:pPr>
              <w:jc w:val="right"/>
              <w:ind w:right="708"/>
              <w:spacing w:after="0"/>
              <w:rPr>
                <w:sz w:val="20"/>
                <w:szCs w:val="20"/>
                <w:color w:val="auto"/>
              </w:rPr>
            </w:pPr>
            <w:r>
              <w:rPr>
                <w:rFonts w:ascii="Arial" w:cs="Arial" w:eastAsia="Arial" w:hAnsi="Arial"/>
                <w:sz w:val="14"/>
                <w:szCs w:val="14"/>
                <w:b w:val="1"/>
                <w:bCs w:val="1"/>
                <w:color w:val="auto"/>
              </w:rPr>
              <w:t>2021</w:t>
            </w:r>
          </w:p>
        </w:tc>
        <w:tc>
          <w:tcPr>
            <w:tcW w:w="1300" w:type="dxa"/>
            <w:vAlign w:val="bottom"/>
            <w:tcBorders>
              <w:bottom w:val="single" w:sz="8" w:color="828282"/>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680" w:type="dxa"/>
            <w:vAlign w:val="bottom"/>
            <w:tcBorders>
              <w:bottom w:val="single" w:sz="8" w:color="828282"/>
            </w:tcBorders>
          </w:tcPr>
          <w:p>
            <w:pPr>
              <w:ind w:left="640"/>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82828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4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STATUTORY TAX RATE</w:t>
            </w:r>
          </w:p>
        </w:tc>
        <w:tc>
          <w:tcPr>
            <w:tcW w:w="2540" w:type="dxa"/>
            <w:vAlign w:val="bottom"/>
            <w:shd w:val="clear" w:color="auto" w:fill="E5E5E5"/>
          </w:tcPr>
          <w:p>
            <w:pPr>
              <w:spacing w:after="0"/>
              <w:rPr>
                <w:sz w:val="15"/>
                <w:szCs w:val="15"/>
                <w:color w:val="auto"/>
              </w:rPr>
            </w:pPr>
          </w:p>
        </w:tc>
        <w:tc>
          <w:tcPr>
            <w:tcW w:w="1300" w:type="dxa"/>
            <w:vAlign w:val="bottom"/>
            <w:shd w:val="clear" w:color="auto" w:fill="E5E5E5"/>
          </w:tcPr>
          <w:p>
            <w:pPr>
              <w:spacing w:after="0"/>
              <w:rPr>
                <w:sz w:val="15"/>
                <w:szCs w:val="15"/>
                <w:color w:val="auto"/>
              </w:rPr>
            </w:pPr>
          </w:p>
        </w:tc>
        <w:tc>
          <w:tcPr>
            <w:tcW w:w="168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r>
      <w:tr>
        <w:trPr>
          <w:trHeight w:val="189"/>
        </w:trPr>
        <w:tc>
          <w:tcPr>
            <w:tcW w:w="4900" w:type="dxa"/>
            <w:vAlign w:val="bottom"/>
          </w:tcPr>
          <w:p>
            <w:pPr>
              <w:ind w:left="140"/>
              <w:spacing w:after="0"/>
              <w:rPr>
                <w:sz w:val="20"/>
                <w:szCs w:val="20"/>
                <w:color w:val="auto"/>
              </w:rPr>
            </w:pPr>
            <w:r>
              <w:rPr>
                <w:rFonts w:ascii="Arial" w:cs="Arial" w:eastAsia="Arial" w:hAnsi="Arial"/>
                <w:sz w:val="14"/>
                <w:szCs w:val="14"/>
                <w:color w:val="auto"/>
              </w:rPr>
              <w:t>Federal</w:t>
            </w:r>
          </w:p>
        </w:tc>
        <w:tc>
          <w:tcPr>
            <w:tcW w:w="2540" w:type="dxa"/>
            <w:vAlign w:val="bottom"/>
          </w:tcPr>
          <w:p>
            <w:pPr>
              <w:jc w:val="right"/>
              <w:ind w:right="708"/>
              <w:spacing w:after="0"/>
              <w:rPr>
                <w:sz w:val="20"/>
                <w:szCs w:val="20"/>
                <w:color w:val="auto"/>
              </w:rPr>
            </w:pPr>
            <w:r>
              <w:rPr>
                <w:rFonts w:ascii="Arial" w:cs="Arial" w:eastAsia="Arial" w:hAnsi="Arial"/>
                <w:sz w:val="14"/>
                <w:szCs w:val="14"/>
                <w:color w:val="auto"/>
              </w:rPr>
              <w:t>21 %</w:t>
            </w:r>
          </w:p>
        </w:tc>
        <w:tc>
          <w:tcPr>
            <w:tcW w:w="1300" w:type="dxa"/>
            <w:vAlign w:val="bottom"/>
          </w:tcPr>
          <w:p>
            <w:pPr>
              <w:jc w:val="right"/>
              <w:ind w:right="488"/>
              <w:spacing w:after="0"/>
              <w:rPr>
                <w:sz w:val="20"/>
                <w:szCs w:val="20"/>
                <w:color w:val="auto"/>
              </w:rPr>
            </w:pPr>
            <w:r>
              <w:rPr>
                <w:rFonts w:ascii="Arial" w:cs="Arial" w:eastAsia="Arial" w:hAnsi="Arial"/>
                <w:sz w:val="14"/>
                <w:szCs w:val="14"/>
                <w:color w:val="auto"/>
              </w:rPr>
              <w:t>21 %</w:t>
            </w:r>
          </w:p>
        </w:tc>
        <w:tc>
          <w:tcPr>
            <w:tcW w:w="1680" w:type="dxa"/>
            <w:vAlign w:val="bottom"/>
          </w:tcPr>
          <w:p>
            <w:pPr>
              <w:jc w:val="right"/>
              <w:ind w:right="648"/>
              <w:spacing w:after="0"/>
              <w:rPr>
                <w:sz w:val="20"/>
                <w:szCs w:val="20"/>
                <w:color w:val="auto"/>
              </w:rPr>
            </w:pPr>
            <w:r>
              <w:rPr>
                <w:rFonts w:ascii="Arial" w:cs="Arial" w:eastAsia="Arial" w:hAnsi="Arial"/>
                <w:sz w:val="14"/>
                <w:szCs w:val="14"/>
                <w:color w:val="auto"/>
              </w:rPr>
              <w:t>21 %</w:t>
            </w:r>
          </w:p>
        </w:tc>
        <w:tc>
          <w:tcPr>
            <w:tcW w:w="820" w:type="dxa"/>
            <w:vAlign w:val="bottom"/>
          </w:tcPr>
          <w:p>
            <w:pPr>
              <w:jc w:val="right"/>
              <w:spacing w:after="0"/>
              <w:rPr>
                <w:sz w:val="20"/>
                <w:szCs w:val="20"/>
                <w:color w:val="auto"/>
              </w:rPr>
            </w:pPr>
            <w:r>
              <w:rPr>
                <w:rFonts w:ascii="Arial" w:cs="Arial" w:eastAsia="Arial" w:hAnsi="Arial"/>
                <w:sz w:val="14"/>
                <w:szCs w:val="14"/>
                <w:color w:val="auto"/>
              </w:rPr>
              <w:t>21 %</w:t>
            </w:r>
          </w:p>
        </w:tc>
      </w:tr>
      <w:tr>
        <w:trPr>
          <w:trHeight w:val="189"/>
        </w:trPr>
        <w:tc>
          <w:tcPr>
            <w:tcW w:w="4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Changes in computed taxes resulting from:</w:t>
            </w:r>
          </w:p>
        </w:tc>
        <w:tc>
          <w:tcPr>
            <w:tcW w:w="2540" w:type="dxa"/>
            <w:vAlign w:val="bottom"/>
            <w:shd w:val="clear" w:color="auto" w:fill="E5E5E5"/>
          </w:tcPr>
          <w:p>
            <w:pPr>
              <w:spacing w:after="0"/>
              <w:rPr>
                <w:sz w:val="16"/>
                <w:szCs w:val="16"/>
                <w:color w:val="auto"/>
              </w:rPr>
            </w:pPr>
          </w:p>
        </w:tc>
        <w:tc>
          <w:tcPr>
            <w:tcW w:w="1300" w:type="dxa"/>
            <w:vAlign w:val="bottom"/>
            <w:shd w:val="clear" w:color="auto" w:fill="E5E5E5"/>
          </w:tcPr>
          <w:p>
            <w:pPr>
              <w:spacing w:after="0"/>
              <w:rPr>
                <w:sz w:val="16"/>
                <w:szCs w:val="16"/>
                <w:color w:val="auto"/>
              </w:rPr>
            </w:pPr>
          </w:p>
        </w:tc>
        <w:tc>
          <w:tcPr>
            <w:tcW w:w="168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r>
      <w:tr>
        <w:trPr>
          <w:trHeight w:val="189"/>
        </w:trPr>
        <w:tc>
          <w:tcPr>
            <w:tcW w:w="4900" w:type="dxa"/>
            <w:vAlign w:val="bottom"/>
          </w:tcPr>
          <w:p>
            <w:pPr>
              <w:ind w:left="140"/>
              <w:spacing w:after="0"/>
              <w:rPr>
                <w:sz w:val="20"/>
                <w:szCs w:val="20"/>
                <w:color w:val="auto"/>
              </w:rPr>
            </w:pPr>
            <w:r>
              <w:rPr>
                <w:rFonts w:ascii="Arial" w:cs="Arial" w:eastAsia="Arial" w:hAnsi="Arial"/>
                <w:sz w:val="14"/>
                <w:szCs w:val="14"/>
                <w:color w:val="auto"/>
              </w:rPr>
              <w:t>State income tax, net of federal income tax benefit</w:t>
            </w:r>
          </w:p>
        </w:tc>
        <w:tc>
          <w:tcPr>
            <w:tcW w:w="2540" w:type="dxa"/>
            <w:vAlign w:val="bottom"/>
          </w:tcPr>
          <w:p>
            <w:pPr>
              <w:jc w:val="right"/>
              <w:ind w:right="888"/>
              <w:spacing w:after="0"/>
              <w:rPr>
                <w:sz w:val="20"/>
                <w:szCs w:val="20"/>
                <w:color w:val="auto"/>
              </w:rPr>
            </w:pPr>
            <w:r>
              <w:rPr>
                <w:rFonts w:ascii="Arial" w:cs="Arial" w:eastAsia="Arial" w:hAnsi="Arial"/>
                <w:sz w:val="14"/>
                <w:szCs w:val="14"/>
                <w:color w:val="auto"/>
              </w:rPr>
              <w:t>5</w:t>
            </w:r>
          </w:p>
        </w:tc>
        <w:tc>
          <w:tcPr>
            <w:tcW w:w="1300" w:type="dxa"/>
            <w:vAlign w:val="bottom"/>
          </w:tcPr>
          <w:p>
            <w:pPr>
              <w:jc w:val="right"/>
              <w:ind w:right="668"/>
              <w:spacing w:after="0"/>
              <w:rPr>
                <w:sz w:val="20"/>
                <w:szCs w:val="20"/>
                <w:color w:val="auto"/>
              </w:rPr>
            </w:pPr>
            <w:r>
              <w:rPr>
                <w:rFonts w:ascii="Arial" w:cs="Arial" w:eastAsia="Arial" w:hAnsi="Arial"/>
                <w:sz w:val="14"/>
                <w:szCs w:val="14"/>
                <w:color w:val="auto"/>
              </w:rPr>
              <w:t>6</w:t>
            </w:r>
          </w:p>
        </w:tc>
        <w:tc>
          <w:tcPr>
            <w:tcW w:w="1680" w:type="dxa"/>
            <w:vAlign w:val="bottom"/>
          </w:tcPr>
          <w:p>
            <w:pPr>
              <w:jc w:val="right"/>
              <w:ind w:right="828"/>
              <w:spacing w:after="0"/>
              <w:rPr>
                <w:sz w:val="20"/>
                <w:szCs w:val="20"/>
                <w:color w:val="auto"/>
              </w:rPr>
            </w:pPr>
            <w:r>
              <w:rPr>
                <w:rFonts w:ascii="Arial" w:cs="Arial" w:eastAsia="Arial" w:hAnsi="Arial"/>
                <w:sz w:val="14"/>
                <w:szCs w:val="14"/>
                <w:color w:val="auto"/>
              </w:rPr>
              <w:t>5</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w:t>
            </w:r>
          </w:p>
        </w:tc>
      </w:tr>
      <w:tr>
        <w:trPr>
          <w:trHeight w:val="189"/>
        </w:trPr>
        <w:tc>
          <w:tcPr>
            <w:tcW w:w="49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Amortization of excess deferred federal income taxes</w:t>
            </w:r>
          </w:p>
        </w:tc>
        <w:tc>
          <w:tcPr>
            <w:tcW w:w="2540" w:type="dxa"/>
            <w:vAlign w:val="bottom"/>
            <w:shd w:val="clear" w:color="auto" w:fill="E5E5E5"/>
          </w:tcPr>
          <w:p>
            <w:pPr>
              <w:jc w:val="right"/>
              <w:ind w:right="848"/>
              <w:spacing w:after="0"/>
              <w:rPr>
                <w:sz w:val="20"/>
                <w:szCs w:val="20"/>
                <w:color w:val="auto"/>
              </w:rPr>
            </w:pPr>
            <w:r>
              <w:rPr>
                <w:rFonts w:ascii="Arial" w:cs="Arial" w:eastAsia="Arial" w:hAnsi="Arial"/>
                <w:sz w:val="14"/>
                <w:szCs w:val="14"/>
                <w:color w:val="auto"/>
              </w:rPr>
              <w:t>(41)</w:t>
            </w:r>
          </w:p>
        </w:tc>
        <w:tc>
          <w:tcPr>
            <w:tcW w:w="1300" w:type="dxa"/>
            <w:vAlign w:val="bottom"/>
            <w:shd w:val="clear" w:color="auto" w:fill="E5E5E5"/>
          </w:tcPr>
          <w:p>
            <w:pPr>
              <w:jc w:val="right"/>
              <w:ind w:right="628"/>
              <w:spacing w:after="0"/>
              <w:rPr>
                <w:sz w:val="20"/>
                <w:szCs w:val="20"/>
                <w:color w:val="auto"/>
              </w:rPr>
            </w:pPr>
            <w:r>
              <w:rPr>
                <w:rFonts w:ascii="Arial" w:cs="Arial" w:eastAsia="Arial" w:hAnsi="Arial"/>
                <w:sz w:val="14"/>
                <w:szCs w:val="14"/>
                <w:color w:val="auto"/>
              </w:rPr>
              <w:t>(20)</w:t>
            </w:r>
          </w:p>
        </w:tc>
        <w:tc>
          <w:tcPr>
            <w:tcW w:w="1680" w:type="dxa"/>
            <w:vAlign w:val="bottom"/>
            <w:shd w:val="clear" w:color="auto" w:fill="E5E5E5"/>
          </w:tcPr>
          <w:p>
            <w:pPr>
              <w:jc w:val="right"/>
              <w:ind w:right="788"/>
              <w:spacing w:after="0"/>
              <w:rPr>
                <w:sz w:val="20"/>
                <w:szCs w:val="20"/>
                <w:color w:val="auto"/>
              </w:rPr>
            </w:pPr>
            <w:r>
              <w:rPr>
                <w:rFonts w:ascii="Arial" w:cs="Arial" w:eastAsia="Arial" w:hAnsi="Arial"/>
                <w:sz w:val="14"/>
                <w:szCs w:val="14"/>
                <w:color w:val="auto"/>
              </w:rPr>
              <w:t>(38)</w:t>
            </w: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(25)</w:t>
            </w:r>
          </w:p>
        </w:tc>
      </w:tr>
      <w:tr>
        <w:trPr>
          <w:trHeight w:val="189"/>
        </w:trPr>
        <w:tc>
          <w:tcPr>
            <w:tcW w:w="4900" w:type="dxa"/>
            <w:vAlign w:val="bottom"/>
          </w:tcPr>
          <w:p>
            <w:pPr>
              <w:ind w:left="140"/>
              <w:spacing w:after="0"/>
              <w:rPr>
                <w:sz w:val="20"/>
                <w:szCs w:val="20"/>
                <w:color w:val="auto"/>
              </w:rPr>
            </w:pPr>
            <w:r>
              <w:rPr>
                <w:rFonts w:ascii="Arial" w:cs="Arial" w:eastAsia="Arial" w:hAnsi="Arial"/>
                <w:sz w:val="14"/>
                <w:szCs w:val="14"/>
                <w:color w:val="auto"/>
              </w:rPr>
              <w:t>Taxes attributable to non-controlling interests</w:t>
            </w:r>
          </w:p>
        </w:tc>
        <w:tc>
          <w:tcPr>
            <w:tcW w:w="2540" w:type="dxa"/>
            <w:vAlign w:val="bottom"/>
          </w:tcPr>
          <w:p>
            <w:pPr>
              <w:jc w:val="right"/>
              <w:ind w:right="888"/>
              <w:spacing w:after="0"/>
              <w:rPr>
                <w:sz w:val="20"/>
                <w:szCs w:val="20"/>
                <w:color w:val="auto"/>
              </w:rPr>
            </w:pPr>
            <w:r>
              <w:rPr>
                <w:rFonts w:ascii="Arial" w:cs="Arial" w:eastAsia="Arial" w:hAnsi="Arial"/>
                <w:sz w:val="14"/>
                <w:szCs w:val="14"/>
                <w:color w:val="auto"/>
              </w:rPr>
              <w:t>14</w:t>
            </w:r>
          </w:p>
        </w:tc>
        <w:tc>
          <w:tcPr>
            <w:tcW w:w="1300" w:type="dxa"/>
            <w:vAlign w:val="bottom"/>
          </w:tcPr>
          <w:p>
            <w:pPr>
              <w:jc w:val="right"/>
              <w:ind w:right="628"/>
              <w:spacing w:after="0"/>
              <w:rPr>
                <w:sz w:val="20"/>
                <w:szCs w:val="20"/>
                <w:color w:val="auto"/>
              </w:rPr>
            </w:pPr>
            <w:r>
              <w:rPr>
                <w:rFonts w:ascii="Arial" w:cs="Arial" w:eastAsia="Arial" w:hAnsi="Arial"/>
                <w:sz w:val="14"/>
                <w:szCs w:val="14"/>
                <w:color w:val="auto"/>
              </w:rPr>
              <w:t>(2)</w:t>
            </w:r>
          </w:p>
        </w:tc>
        <w:tc>
          <w:tcPr>
            <w:tcW w:w="168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9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Cost of removal</w:t>
            </w:r>
          </w:p>
        </w:tc>
        <w:tc>
          <w:tcPr>
            <w:tcW w:w="2540" w:type="dxa"/>
            <w:vAlign w:val="bottom"/>
            <w:shd w:val="clear" w:color="auto" w:fill="E5E5E5"/>
          </w:tcPr>
          <w:p>
            <w:pPr>
              <w:jc w:val="right"/>
              <w:ind w:right="888"/>
              <w:spacing w:after="0"/>
              <w:rPr>
                <w:sz w:val="20"/>
                <w:szCs w:val="20"/>
                <w:color w:val="auto"/>
              </w:rPr>
            </w:pPr>
            <w:r>
              <w:rPr>
                <w:rFonts w:ascii="Arial" w:cs="Arial" w:eastAsia="Arial" w:hAnsi="Arial"/>
                <w:sz w:val="14"/>
                <w:szCs w:val="14"/>
                <w:color w:val="auto"/>
              </w:rPr>
              <w:t>5</w:t>
            </w:r>
          </w:p>
        </w:tc>
        <w:tc>
          <w:tcPr>
            <w:tcW w:w="1300" w:type="dxa"/>
            <w:vAlign w:val="bottom"/>
            <w:shd w:val="clear" w:color="auto" w:fill="E5E5E5"/>
          </w:tcPr>
          <w:p>
            <w:pPr>
              <w:jc w:val="right"/>
              <w:ind w:right="668"/>
              <w:spacing w:after="0"/>
              <w:rPr>
                <w:sz w:val="20"/>
                <w:szCs w:val="20"/>
                <w:color w:val="auto"/>
              </w:rPr>
            </w:pPr>
            <w:r>
              <w:rPr>
                <w:rFonts w:ascii="Arial" w:cs="Arial" w:eastAsia="Arial" w:hAnsi="Arial"/>
                <w:sz w:val="14"/>
                <w:szCs w:val="14"/>
                <w:color w:val="auto"/>
              </w:rPr>
              <w:t>4</w:t>
            </w:r>
          </w:p>
        </w:tc>
        <w:tc>
          <w:tcPr>
            <w:tcW w:w="1680" w:type="dxa"/>
            <w:vAlign w:val="bottom"/>
            <w:shd w:val="clear" w:color="auto" w:fill="E5E5E5"/>
          </w:tcPr>
          <w:p>
            <w:pPr>
              <w:jc w:val="right"/>
              <w:ind w:right="828"/>
              <w:spacing w:after="0"/>
              <w:rPr>
                <w:sz w:val="20"/>
                <w:szCs w:val="20"/>
                <w:color w:val="auto"/>
              </w:rPr>
            </w:pPr>
            <w:r>
              <w:rPr>
                <w:rFonts w:ascii="Arial" w:cs="Arial" w:eastAsia="Arial" w:hAnsi="Arial"/>
                <w:sz w:val="14"/>
                <w:szCs w:val="14"/>
                <w:color w:val="auto"/>
              </w:rPr>
              <w:t>5</w:t>
            </w:r>
          </w:p>
        </w:tc>
        <w:tc>
          <w:tcPr>
            <w:tcW w:w="8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w:t>
            </w:r>
          </w:p>
        </w:tc>
      </w:tr>
      <w:tr>
        <w:trPr>
          <w:trHeight w:val="189"/>
        </w:trPr>
        <w:tc>
          <w:tcPr>
            <w:tcW w:w="4900" w:type="dxa"/>
            <w:vAlign w:val="bottom"/>
          </w:tcPr>
          <w:p>
            <w:pPr>
              <w:ind w:left="140"/>
              <w:spacing w:after="0"/>
              <w:rPr>
                <w:sz w:val="20"/>
                <w:szCs w:val="20"/>
                <w:color w:val="auto"/>
              </w:rPr>
            </w:pPr>
            <w:r>
              <w:rPr>
                <w:rFonts w:ascii="Arial" w:cs="Arial" w:eastAsia="Arial" w:hAnsi="Arial"/>
                <w:sz w:val="14"/>
                <w:szCs w:val="14"/>
                <w:color w:val="auto"/>
              </w:rPr>
              <w:t>Other plant-related items</w:t>
            </w:r>
          </w:p>
        </w:tc>
        <w:tc>
          <w:tcPr>
            <w:tcW w:w="2540" w:type="dxa"/>
            <w:vAlign w:val="bottom"/>
          </w:tcPr>
          <w:p>
            <w:pPr>
              <w:jc w:val="right"/>
              <w:ind w:right="848"/>
              <w:spacing w:after="0"/>
              <w:rPr>
                <w:sz w:val="20"/>
                <w:szCs w:val="20"/>
                <w:color w:val="auto"/>
              </w:rPr>
            </w:pPr>
            <w:r>
              <w:rPr>
                <w:rFonts w:ascii="Arial" w:cs="Arial" w:eastAsia="Arial" w:hAnsi="Arial"/>
                <w:sz w:val="14"/>
                <w:szCs w:val="14"/>
                <w:color w:val="auto"/>
              </w:rPr>
              <w:t>(3)</w:t>
            </w:r>
          </w:p>
        </w:tc>
        <w:tc>
          <w:tcPr>
            <w:tcW w:w="1300" w:type="dxa"/>
            <w:vAlign w:val="bottom"/>
          </w:tcPr>
          <w:p>
            <w:pPr>
              <w:jc w:val="right"/>
              <w:ind w:right="628"/>
              <w:spacing w:after="0"/>
              <w:rPr>
                <w:sz w:val="20"/>
                <w:szCs w:val="20"/>
                <w:color w:val="auto"/>
              </w:rPr>
            </w:pPr>
            <w:r>
              <w:rPr>
                <w:rFonts w:ascii="Arial" w:cs="Arial" w:eastAsia="Arial" w:hAnsi="Arial"/>
                <w:sz w:val="14"/>
                <w:szCs w:val="14"/>
                <w:color w:val="auto"/>
              </w:rPr>
              <w:t>(3)</w:t>
            </w:r>
          </w:p>
        </w:tc>
        <w:tc>
          <w:tcPr>
            <w:tcW w:w="1680" w:type="dxa"/>
            <w:vAlign w:val="bottom"/>
          </w:tcPr>
          <w:p>
            <w:pPr>
              <w:jc w:val="right"/>
              <w:ind w:right="788"/>
              <w:spacing w:after="0"/>
              <w:rPr>
                <w:sz w:val="20"/>
                <w:szCs w:val="20"/>
                <w:color w:val="auto"/>
              </w:rPr>
            </w:pPr>
            <w:r>
              <w:rPr>
                <w:rFonts w:ascii="Arial" w:cs="Arial" w:eastAsia="Arial" w:hAnsi="Arial"/>
                <w:sz w:val="14"/>
                <w:szCs w:val="14"/>
                <w:color w:val="auto"/>
              </w:rPr>
              <w:t>(3)</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w:t>
            </w:r>
          </w:p>
        </w:tc>
      </w:tr>
      <w:tr>
        <w:trPr>
          <w:trHeight w:val="189"/>
        </w:trPr>
        <w:tc>
          <w:tcPr>
            <w:tcW w:w="49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Renewable energy credits</w:t>
            </w:r>
          </w:p>
        </w:tc>
        <w:tc>
          <w:tcPr>
            <w:tcW w:w="2540" w:type="dxa"/>
            <w:vAlign w:val="bottom"/>
            <w:shd w:val="clear" w:color="auto" w:fill="E5E5E5"/>
          </w:tcPr>
          <w:p>
            <w:pPr>
              <w:jc w:val="right"/>
              <w:ind w:right="848"/>
              <w:spacing w:after="0"/>
              <w:rPr>
                <w:sz w:val="20"/>
                <w:szCs w:val="20"/>
                <w:color w:val="auto"/>
              </w:rPr>
            </w:pPr>
            <w:r>
              <w:rPr>
                <w:rFonts w:ascii="Arial" w:cs="Arial" w:eastAsia="Arial" w:hAnsi="Arial"/>
                <w:sz w:val="14"/>
                <w:szCs w:val="14"/>
                <w:color w:val="auto"/>
              </w:rPr>
              <w:t>(8)</w:t>
            </w:r>
          </w:p>
        </w:tc>
        <w:tc>
          <w:tcPr>
            <w:tcW w:w="1300" w:type="dxa"/>
            <w:vAlign w:val="bottom"/>
            <w:shd w:val="clear" w:color="auto" w:fill="E5E5E5"/>
          </w:tcPr>
          <w:p>
            <w:pPr>
              <w:jc w:val="right"/>
              <w:ind w:right="628"/>
              <w:spacing w:after="0"/>
              <w:rPr>
                <w:sz w:val="20"/>
                <w:szCs w:val="20"/>
                <w:color w:val="auto"/>
              </w:rPr>
            </w:pPr>
            <w:r>
              <w:rPr>
                <w:rFonts w:ascii="Arial" w:cs="Arial" w:eastAsia="Arial" w:hAnsi="Arial"/>
                <w:sz w:val="14"/>
                <w:szCs w:val="14"/>
                <w:color w:val="auto"/>
              </w:rPr>
              <w:t>(4)</w:t>
            </w:r>
          </w:p>
        </w:tc>
        <w:tc>
          <w:tcPr>
            <w:tcW w:w="1680" w:type="dxa"/>
            <w:vAlign w:val="bottom"/>
            <w:shd w:val="clear" w:color="auto" w:fill="E5E5E5"/>
          </w:tcPr>
          <w:p>
            <w:pPr>
              <w:jc w:val="right"/>
              <w:ind w:right="82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900" w:type="dxa"/>
            <w:vAlign w:val="bottom"/>
          </w:tcPr>
          <w:p>
            <w:pPr>
              <w:ind w:left="140"/>
              <w:spacing w:after="0"/>
              <w:rPr>
                <w:sz w:val="20"/>
                <w:szCs w:val="20"/>
                <w:color w:val="auto"/>
              </w:rPr>
            </w:pPr>
            <w:r>
              <w:rPr>
                <w:rFonts w:ascii="Arial" w:cs="Arial" w:eastAsia="Arial" w:hAnsi="Arial"/>
                <w:sz w:val="14"/>
                <w:szCs w:val="14"/>
                <w:color w:val="auto"/>
              </w:rPr>
              <w:t>Allowance for uncollectible accounts</w:t>
            </w:r>
          </w:p>
        </w:tc>
        <w:tc>
          <w:tcPr>
            <w:tcW w:w="2540" w:type="dxa"/>
            <w:vAlign w:val="bottom"/>
          </w:tcPr>
          <w:p>
            <w:pPr>
              <w:jc w:val="right"/>
              <w:ind w:right="848"/>
              <w:spacing w:after="0"/>
              <w:rPr>
                <w:sz w:val="20"/>
                <w:szCs w:val="20"/>
                <w:color w:val="auto"/>
              </w:rPr>
            </w:pPr>
            <w:r>
              <w:rPr>
                <w:rFonts w:ascii="Arial" w:cs="Arial" w:eastAsia="Arial" w:hAnsi="Arial"/>
                <w:sz w:val="14"/>
                <w:szCs w:val="14"/>
                <w:color w:val="auto"/>
              </w:rPr>
              <w:t>(1)</w:t>
            </w:r>
          </w:p>
        </w:tc>
        <w:tc>
          <w:tcPr>
            <w:tcW w:w="1300" w:type="dxa"/>
            <w:vAlign w:val="bottom"/>
          </w:tcPr>
          <w:p>
            <w:pPr>
              <w:jc w:val="right"/>
              <w:ind w:right="668"/>
              <w:spacing w:after="0"/>
              <w:rPr>
                <w:sz w:val="20"/>
                <w:szCs w:val="20"/>
                <w:color w:val="auto"/>
              </w:rPr>
            </w:pPr>
            <w:r>
              <w:rPr>
                <w:rFonts w:ascii="Arial" w:cs="Arial" w:eastAsia="Arial" w:hAnsi="Arial"/>
                <w:sz w:val="14"/>
                <w:szCs w:val="14"/>
                <w:color w:val="auto"/>
              </w:rPr>
              <w:t>1</w:t>
            </w:r>
          </w:p>
        </w:tc>
        <w:tc>
          <w:tcPr>
            <w:tcW w:w="1680" w:type="dxa"/>
            <w:vAlign w:val="bottom"/>
          </w:tcPr>
          <w:p>
            <w:pPr>
              <w:jc w:val="right"/>
              <w:ind w:right="788"/>
              <w:spacing w:after="0"/>
              <w:rPr>
                <w:sz w:val="20"/>
                <w:szCs w:val="20"/>
                <w:color w:val="auto"/>
              </w:rPr>
            </w:pPr>
            <w:r>
              <w:rPr>
                <w:rFonts w:ascii="Arial" w:cs="Arial" w:eastAsia="Arial" w:hAnsi="Arial"/>
                <w:sz w:val="14"/>
                <w:szCs w:val="14"/>
                <w:color w:val="auto"/>
              </w:rPr>
              <w:t>(1)</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w:t>
            </w:r>
          </w:p>
        </w:tc>
      </w:tr>
      <w:tr>
        <w:trPr>
          <w:trHeight w:val="189"/>
        </w:trPr>
        <w:tc>
          <w:tcPr>
            <w:tcW w:w="49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Injuries and damages reserve</w:t>
            </w:r>
          </w:p>
        </w:tc>
        <w:tc>
          <w:tcPr>
            <w:tcW w:w="2540" w:type="dxa"/>
            <w:vAlign w:val="bottom"/>
            <w:shd w:val="clear" w:color="auto" w:fill="E5E5E5"/>
          </w:tcPr>
          <w:p>
            <w:pPr>
              <w:jc w:val="right"/>
              <w:ind w:right="848"/>
              <w:spacing w:after="0"/>
              <w:rPr>
                <w:sz w:val="20"/>
                <w:szCs w:val="20"/>
                <w:color w:val="auto"/>
              </w:rPr>
            </w:pPr>
            <w:r>
              <w:rPr>
                <w:rFonts w:ascii="Arial" w:cs="Arial" w:eastAsia="Arial" w:hAnsi="Arial"/>
                <w:sz w:val="14"/>
                <w:szCs w:val="14"/>
                <w:color w:val="auto"/>
              </w:rPr>
              <w:t>(2)</w:t>
            </w:r>
          </w:p>
        </w:tc>
        <w:tc>
          <w:tcPr>
            <w:tcW w:w="1300" w:type="dxa"/>
            <w:vAlign w:val="bottom"/>
            <w:shd w:val="clear" w:color="auto" w:fill="E5E5E5"/>
          </w:tcPr>
          <w:p>
            <w:pPr>
              <w:jc w:val="right"/>
              <w:ind w:right="6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E5E5E5"/>
          </w:tcPr>
          <w:p>
            <w:pPr>
              <w:jc w:val="right"/>
              <w:ind w:right="788"/>
              <w:spacing w:after="0"/>
              <w:rPr>
                <w:sz w:val="20"/>
                <w:szCs w:val="20"/>
                <w:color w:val="auto"/>
              </w:rPr>
            </w:pPr>
            <w:r>
              <w:rPr>
                <w:rFonts w:ascii="Arial" w:cs="Arial" w:eastAsia="Arial" w:hAnsi="Arial"/>
                <w:sz w:val="14"/>
                <w:szCs w:val="14"/>
                <w:color w:val="auto"/>
              </w:rPr>
              <w:t>(2)</w:t>
            </w:r>
          </w:p>
        </w:tc>
        <w:tc>
          <w:tcPr>
            <w:tcW w:w="8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900" w:type="dxa"/>
            <w:vAlign w:val="bottom"/>
            <w:tcBorders>
              <w:bottom w:val="single" w:sz="8" w:color="828282"/>
            </w:tcBorders>
          </w:tcPr>
          <w:p>
            <w:pPr>
              <w:ind w:left="140"/>
              <w:spacing w:after="0"/>
              <w:rPr>
                <w:sz w:val="20"/>
                <w:szCs w:val="20"/>
                <w:color w:val="auto"/>
              </w:rPr>
            </w:pPr>
            <w:r>
              <w:rPr>
                <w:rFonts w:ascii="Arial" w:cs="Arial" w:eastAsia="Arial" w:hAnsi="Arial"/>
                <w:sz w:val="14"/>
                <w:szCs w:val="14"/>
                <w:color w:val="auto"/>
              </w:rPr>
              <w:t>Other</w:t>
            </w:r>
          </w:p>
        </w:tc>
        <w:tc>
          <w:tcPr>
            <w:tcW w:w="2540" w:type="dxa"/>
            <w:vAlign w:val="bottom"/>
            <w:tcBorders>
              <w:bottom w:val="single" w:sz="8" w:color="828282"/>
            </w:tcBorders>
          </w:tcPr>
          <w:p>
            <w:pPr>
              <w:jc w:val="right"/>
              <w:ind w:right="8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828282"/>
            </w:tcBorders>
          </w:tcPr>
          <w:p>
            <w:pPr>
              <w:jc w:val="right"/>
              <w:ind w:right="668"/>
              <w:spacing w:after="0"/>
              <w:rPr>
                <w:sz w:val="20"/>
                <w:szCs w:val="20"/>
                <w:color w:val="auto"/>
              </w:rPr>
            </w:pPr>
            <w:r>
              <w:rPr>
                <w:rFonts w:ascii="Arial" w:cs="Arial" w:eastAsia="Arial" w:hAnsi="Arial"/>
                <w:sz w:val="14"/>
                <w:szCs w:val="14"/>
                <w:color w:val="auto"/>
              </w:rPr>
              <w:t>1</w:t>
            </w:r>
          </w:p>
        </w:tc>
        <w:tc>
          <w:tcPr>
            <w:tcW w:w="1680" w:type="dxa"/>
            <w:vAlign w:val="bottom"/>
            <w:tcBorders>
              <w:bottom w:val="single" w:sz="8" w:color="828282"/>
            </w:tcBorders>
          </w:tcPr>
          <w:p>
            <w:pPr>
              <w:jc w:val="right"/>
              <w:ind w:right="788"/>
              <w:spacing w:after="0"/>
              <w:rPr>
                <w:sz w:val="20"/>
                <w:szCs w:val="20"/>
                <w:color w:val="auto"/>
              </w:rPr>
            </w:pPr>
            <w:r>
              <w:rPr>
                <w:rFonts w:ascii="Arial" w:cs="Arial" w:eastAsia="Arial" w:hAnsi="Arial"/>
                <w:sz w:val="14"/>
                <w:szCs w:val="14"/>
                <w:color w:val="auto"/>
              </w:rPr>
              <w:t>(1)</w:t>
            </w:r>
          </w:p>
        </w:tc>
        <w:tc>
          <w:tcPr>
            <w:tcW w:w="820" w:type="dxa"/>
            <w:vAlign w:val="bottom"/>
            <w:tcBorders>
              <w:bottom w:val="single" w:sz="8" w:color="828282"/>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83"/>
        </w:trPr>
        <w:tc>
          <w:tcPr>
            <w:tcW w:w="4900" w:type="dxa"/>
            <w:vAlign w:val="bottom"/>
            <w:tcBorders>
              <w:bottom w:val="single" w:sz="8" w:color="828282"/>
            </w:tcBorders>
            <w:shd w:val="clear" w:color="auto" w:fill="E5E5E5"/>
          </w:tcPr>
          <w:p>
            <w:pPr>
              <w:ind w:left="20"/>
              <w:spacing w:after="0"/>
              <w:rPr>
                <w:sz w:val="20"/>
                <w:szCs w:val="20"/>
                <w:color w:val="auto"/>
              </w:rPr>
            </w:pPr>
            <w:r>
              <w:rPr>
                <w:rFonts w:ascii="Arial" w:cs="Arial" w:eastAsia="Arial" w:hAnsi="Arial"/>
                <w:sz w:val="14"/>
                <w:szCs w:val="14"/>
                <w:color w:val="auto"/>
              </w:rPr>
              <w:t>Effective tax rate</w:t>
            </w:r>
          </w:p>
        </w:tc>
        <w:tc>
          <w:tcPr>
            <w:tcW w:w="2540" w:type="dxa"/>
            <w:vAlign w:val="bottom"/>
            <w:tcBorders>
              <w:bottom w:val="single" w:sz="8" w:color="828282"/>
            </w:tcBorders>
            <w:shd w:val="clear" w:color="auto" w:fill="E5E5E5"/>
          </w:tcPr>
          <w:p>
            <w:pPr>
              <w:jc w:val="right"/>
              <w:ind w:right="708"/>
              <w:spacing w:after="0"/>
              <w:rPr>
                <w:sz w:val="20"/>
                <w:szCs w:val="20"/>
                <w:color w:val="auto"/>
              </w:rPr>
            </w:pPr>
            <w:r>
              <w:rPr>
                <w:rFonts w:ascii="Arial" w:cs="Arial" w:eastAsia="Arial" w:hAnsi="Arial"/>
                <w:sz w:val="14"/>
                <w:szCs w:val="14"/>
                <w:color w:val="auto"/>
              </w:rPr>
              <w:t>(10)%</w:t>
            </w:r>
          </w:p>
        </w:tc>
        <w:tc>
          <w:tcPr>
            <w:tcW w:w="1300" w:type="dxa"/>
            <w:vAlign w:val="bottom"/>
            <w:tcBorders>
              <w:bottom w:val="single" w:sz="8" w:color="828282"/>
            </w:tcBorders>
            <w:shd w:val="clear" w:color="auto" w:fill="E5E5E5"/>
          </w:tcPr>
          <w:p>
            <w:pPr>
              <w:jc w:val="right"/>
              <w:ind w:right="488"/>
              <w:spacing w:after="0"/>
              <w:rPr>
                <w:sz w:val="20"/>
                <w:szCs w:val="20"/>
                <w:color w:val="auto"/>
              </w:rPr>
            </w:pPr>
            <w:r>
              <w:rPr>
                <w:rFonts w:ascii="Arial" w:cs="Arial" w:eastAsia="Arial" w:hAnsi="Arial"/>
                <w:sz w:val="14"/>
                <w:szCs w:val="14"/>
                <w:color w:val="auto"/>
              </w:rPr>
              <w:t>4 %</w:t>
            </w:r>
          </w:p>
        </w:tc>
        <w:tc>
          <w:tcPr>
            <w:tcW w:w="1680" w:type="dxa"/>
            <w:vAlign w:val="bottom"/>
            <w:tcBorders>
              <w:bottom w:val="single" w:sz="8" w:color="828282"/>
            </w:tcBorders>
            <w:shd w:val="clear" w:color="auto" w:fill="E5E5E5"/>
          </w:tcPr>
          <w:p>
            <w:pPr>
              <w:jc w:val="right"/>
              <w:ind w:right="648"/>
              <w:spacing w:after="0"/>
              <w:rPr>
                <w:sz w:val="20"/>
                <w:szCs w:val="20"/>
                <w:color w:val="auto"/>
              </w:rPr>
            </w:pPr>
            <w:r>
              <w:rPr>
                <w:rFonts w:ascii="Arial" w:cs="Arial" w:eastAsia="Arial" w:hAnsi="Arial"/>
                <w:sz w:val="14"/>
                <w:szCs w:val="14"/>
                <w:color w:val="auto"/>
              </w:rPr>
              <w:t>(14)%</w:t>
            </w:r>
          </w:p>
        </w:tc>
        <w:tc>
          <w:tcPr>
            <w:tcW w:w="82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-128270</wp:posOffset>
            </wp:positionV>
            <wp:extent cx="8255"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-102235</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-85090</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-67945</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-50800</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-33655</wp:posOffset>
            </wp:positionV>
            <wp:extent cx="825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-16510</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-230505</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-213995</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-196215</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-179070</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-162560</wp:posOffset>
            </wp:positionV>
            <wp:extent cx="825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-144780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-350520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-334010</wp:posOffset>
            </wp:positionV>
            <wp:extent cx="825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-316230</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-299720</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-281940</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-264795</wp:posOffset>
            </wp:positionV>
            <wp:extent cx="8255" cy="260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-471170</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-453390</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-436245</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-419735</wp:posOffset>
            </wp:positionV>
            <wp:extent cx="825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-401955</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-385445</wp:posOffset>
            </wp:positionV>
            <wp:extent cx="8255" cy="260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-591185</wp:posOffset>
            </wp:positionV>
            <wp:extent cx="825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-573405</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-556895</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-539115</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-521970</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-505460</wp:posOffset>
            </wp:positionV>
            <wp:extent cx="8255" cy="260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-710565</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-693420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-676910</wp:posOffset>
            </wp:positionV>
            <wp:extent cx="825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-659130</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-642620</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-624840</wp:posOffset>
            </wp:positionV>
            <wp:extent cx="825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-830580</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-814070</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-796290</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-779145</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-762635</wp:posOffset>
            </wp:positionV>
            <wp:extent cx="825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-744855</wp:posOffset>
            </wp:positionV>
            <wp:extent cx="825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-950595</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-934085</wp:posOffset>
            </wp:positionV>
            <wp:extent cx="825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-916305</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-899795</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-882015</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-864870</wp:posOffset>
            </wp:positionV>
            <wp:extent cx="8255" cy="2603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-1071245</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-1053465</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-1036320</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-1019810</wp:posOffset>
            </wp:positionV>
            <wp:extent cx="825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-1002030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-985520</wp:posOffset>
            </wp:positionV>
            <wp:extent cx="8255" cy="2603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-1191260</wp:posOffset>
            </wp:positionV>
            <wp:extent cx="825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-1173480</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-1156970</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-1139190</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-1122045</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-1105535</wp:posOffset>
            </wp:positionV>
            <wp:extent cx="8255" cy="2603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-1310640</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-1293495</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-1276985</wp:posOffset>
            </wp:positionV>
            <wp:extent cx="825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-1259205</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-1242695</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-1224915</wp:posOffset>
            </wp:positionV>
            <wp:extent cx="8255" cy="254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-1430655</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-1414145</wp:posOffset>
            </wp:positionV>
            <wp:extent cx="825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-1396365</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-1379220</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-1362710</wp:posOffset>
            </wp:positionV>
            <wp:extent cx="825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-1344930</wp:posOffset>
            </wp:positionV>
            <wp:extent cx="8255" cy="254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-1576705</wp:posOffset>
            </wp:positionV>
            <wp:extent cx="8255" cy="171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-1550670</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-1533525</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-1516380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-1499870</wp:posOffset>
            </wp:positionV>
            <wp:extent cx="825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-1482090</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-1464945</wp:posOffset>
            </wp:positionV>
            <wp:extent cx="8255" cy="260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-1704975</wp:posOffset>
            </wp:positionV>
            <wp:extent cx="8255"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-1679575</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-1662430</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-1645285</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-1628140</wp:posOffset>
            </wp:positionV>
            <wp:extent cx="825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-1610995</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-1593850</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03"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Con Edison’s income tax expense increased to $68 million for the six months ended June 30, 2021 from $64 million for the six months ended June 30, 2020. The increase in income tax expense is primarily due to higher income attributable to the company from non-controlling interests, offset in part by lower income before income tax expense, lower state income taxes and an increase in the amortization of excess deferred federal income taxes due to the TCJA.</w:t>
      </w:r>
    </w:p>
    <w:p>
      <w:pPr>
        <w:spacing w:after="0" w:line="21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CECONY’s income tax expense decreased to $98 million for the six months ended June 30, 2021 from $102 million for the six months ended June 30, 2020. The decrease in income tax expense is primarily due to an increase in the amortization of excess deferred federal income taxes due to the TCJA, lower allowance for uncollectible accounts, higher settlement payments related to injuries and damages, offset in part by higher income before income tax expense and higher plant related items.</w:t>
      </w:r>
    </w:p>
    <w:p>
      <w:pPr>
        <w:spacing w:after="0" w:line="229" w:lineRule="exact"/>
        <w:rPr>
          <w:sz w:val="20"/>
          <w:szCs w:val="20"/>
          <w:color w:val="auto"/>
        </w:rPr>
      </w:pPr>
    </w:p>
    <w:p>
      <w:pPr>
        <w:ind w:right="2180"/>
        <w:spacing w:after="0" w:line="256" w:lineRule="auto"/>
        <w:rPr>
          <w:sz w:val="20"/>
          <w:szCs w:val="20"/>
          <w:color w:val="auto"/>
        </w:rPr>
      </w:pPr>
      <w:r>
        <w:rPr>
          <w:rFonts w:ascii="Arial" w:cs="Arial" w:eastAsia="Arial" w:hAnsi="Arial"/>
          <w:sz w:val="18"/>
          <w:szCs w:val="18"/>
          <w:color w:val="auto"/>
        </w:rPr>
        <w:t>Reconciliation of the difference between income tax expense and the amount computed by applying the prevailing statutory income tax rate to income before income taxes for the six months ended June 30, 2021 and 2020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Borders>
              <w:top w:val="single" w:sz="8" w:color="828282"/>
              <w:bottom w:val="single" w:sz="8" w:color="828282"/>
            </w:tcBorders>
          </w:tcPr>
          <w:p>
            <w:pPr>
              <w:spacing w:after="0"/>
              <w:rPr>
                <w:sz w:val="17"/>
                <w:szCs w:val="17"/>
                <w:color w:val="auto"/>
              </w:rPr>
            </w:pPr>
          </w:p>
        </w:tc>
        <w:tc>
          <w:tcPr>
            <w:tcW w:w="2540" w:type="dxa"/>
            <w:vAlign w:val="bottom"/>
            <w:tcBorders>
              <w:top w:val="single" w:sz="8" w:color="828282"/>
              <w:bottom w:val="single" w:sz="8" w:color="828282"/>
            </w:tcBorders>
          </w:tcPr>
          <w:p>
            <w:pPr>
              <w:jc w:val="right"/>
              <w:ind w:right="288"/>
              <w:spacing w:after="0"/>
              <w:rPr>
                <w:sz w:val="20"/>
                <w:szCs w:val="20"/>
                <w:color w:val="auto"/>
              </w:rPr>
            </w:pPr>
            <w:r>
              <w:rPr>
                <w:rFonts w:ascii="Arial" w:cs="Arial" w:eastAsia="Arial" w:hAnsi="Arial"/>
                <w:sz w:val="14"/>
                <w:szCs w:val="14"/>
                <w:b w:val="1"/>
                <w:bCs w:val="1"/>
                <w:color w:val="5E5E61"/>
              </w:rPr>
              <w:t>Con Edison</w:t>
            </w:r>
          </w:p>
        </w:tc>
        <w:tc>
          <w:tcPr>
            <w:tcW w:w="1300" w:type="dxa"/>
            <w:vAlign w:val="bottom"/>
            <w:tcBorders>
              <w:top w:val="single" w:sz="8" w:color="828282"/>
              <w:bottom w:val="single" w:sz="8" w:color="828282"/>
            </w:tcBorders>
          </w:tcPr>
          <w:p>
            <w:pPr>
              <w:spacing w:after="0"/>
              <w:rPr>
                <w:sz w:val="17"/>
                <w:szCs w:val="17"/>
                <w:color w:val="auto"/>
              </w:rPr>
            </w:pPr>
          </w:p>
        </w:tc>
        <w:tc>
          <w:tcPr>
            <w:tcW w:w="1680" w:type="dxa"/>
            <w:vAlign w:val="bottom"/>
            <w:tcBorders>
              <w:top w:val="single" w:sz="8" w:color="828282"/>
              <w:bottom w:val="single" w:sz="8" w:color="828282"/>
            </w:tcBorders>
          </w:tcPr>
          <w:p>
            <w:pPr>
              <w:ind w:left="640"/>
              <w:spacing w:after="0"/>
              <w:rPr>
                <w:sz w:val="20"/>
                <w:szCs w:val="20"/>
                <w:color w:val="auto"/>
              </w:rPr>
            </w:pPr>
            <w:r>
              <w:rPr>
                <w:rFonts w:ascii="Arial" w:cs="Arial" w:eastAsia="Arial" w:hAnsi="Arial"/>
                <w:sz w:val="14"/>
                <w:szCs w:val="14"/>
                <w:b w:val="1"/>
                <w:bCs w:val="1"/>
                <w:color w:val="5E5E61"/>
              </w:rPr>
              <w:t>CECONY</w:t>
            </w:r>
          </w:p>
        </w:tc>
        <w:tc>
          <w:tcPr>
            <w:tcW w:w="820" w:type="dxa"/>
            <w:vAlign w:val="bottom"/>
            <w:tcBorders>
              <w:top w:val="single" w:sz="8" w:color="828282"/>
              <w:bottom w:val="single" w:sz="8" w:color="828282"/>
            </w:tcBorders>
          </w:tcPr>
          <w:p>
            <w:pPr>
              <w:spacing w:after="0"/>
              <w:rPr>
                <w:sz w:val="17"/>
                <w:szCs w:val="17"/>
                <w:color w:val="auto"/>
              </w:rPr>
            </w:pPr>
          </w:p>
        </w:tc>
      </w:tr>
      <w:tr>
        <w:trPr>
          <w:trHeight w:val="183"/>
        </w:trPr>
        <w:tc>
          <w:tcPr>
            <w:tcW w:w="4900" w:type="dxa"/>
            <w:vAlign w:val="bottom"/>
            <w:tcBorders>
              <w:bottom w:val="single" w:sz="8" w:color="828282"/>
            </w:tcBorders>
          </w:tcPr>
          <w:p>
            <w:pPr>
              <w:ind w:left="20"/>
              <w:spacing w:after="0"/>
              <w:rPr>
                <w:sz w:val="20"/>
                <w:szCs w:val="20"/>
                <w:color w:val="auto"/>
              </w:rPr>
            </w:pPr>
            <w:r>
              <w:rPr>
                <w:rFonts w:ascii="Arial" w:cs="Arial" w:eastAsia="Arial" w:hAnsi="Arial"/>
                <w:sz w:val="14"/>
                <w:szCs w:val="14"/>
                <w:b w:val="1"/>
                <w:bCs w:val="1"/>
                <w:i w:val="1"/>
                <w:iCs w:val="1"/>
                <w:color w:val="auto"/>
              </w:rPr>
              <w:t>(% of Pre-tax income)</w:t>
            </w:r>
          </w:p>
        </w:tc>
        <w:tc>
          <w:tcPr>
            <w:tcW w:w="2540" w:type="dxa"/>
            <w:vAlign w:val="bottom"/>
            <w:tcBorders>
              <w:bottom w:val="single" w:sz="8" w:color="828282"/>
            </w:tcBorders>
          </w:tcPr>
          <w:p>
            <w:pPr>
              <w:jc w:val="right"/>
              <w:ind w:right="708"/>
              <w:spacing w:after="0"/>
              <w:rPr>
                <w:sz w:val="20"/>
                <w:szCs w:val="20"/>
                <w:color w:val="auto"/>
              </w:rPr>
            </w:pPr>
            <w:r>
              <w:rPr>
                <w:rFonts w:ascii="Arial" w:cs="Arial" w:eastAsia="Arial" w:hAnsi="Arial"/>
                <w:sz w:val="14"/>
                <w:szCs w:val="14"/>
                <w:b w:val="1"/>
                <w:bCs w:val="1"/>
                <w:color w:val="auto"/>
              </w:rPr>
              <w:t>2021</w:t>
            </w:r>
          </w:p>
        </w:tc>
        <w:tc>
          <w:tcPr>
            <w:tcW w:w="1300" w:type="dxa"/>
            <w:vAlign w:val="bottom"/>
            <w:tcBorders>
              <w:bottom w:val="single" w:sz="8" w:color="828282"/>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680" w:type="dxa"/>
            <w:vAlign w:val="bottom"/>
            <w:tcBorders>
              <w:bottom w:val="single" w:sz="8" w:color="828282"/>
            </w:tcBorders>
          </w:tcPr>
          <w:p>
            <w:pPr>
              <w:ind w:left="640"/>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82828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4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STATUTORY TAX RATE</w:t>
            </w:r>
          </w:p>
        </w:tc>
        <w:tc>
          <w:tcPr>
            <w:tcW w:w="2540" w:type="dxa"/>
            <w:vAlign w:val="bottom"/>
            <w:shd w:val="clear" w:color="auto" w:fill="E5E5E5"/>
          </w:tcPr>
          <w:p>
            <w:pPr>
              <w:spacing w:after="0"/>
              <w:rPr>
                <w:sz w:val="15"/>
                <w:szCs w:val="15"/>
                <w:color w:val="auto"/>
              </w:rPr>
            </w:pPr>
          </w:p>
        </w:tc>
        <w:tc>
          <w:tcPr>
            <w:tcW w:w="1300" w:type="dxa"/>
            <w:vAlign w:val="bottom"/>
            <w:shd w:val="clear" w:color="auto" w:fill="E5E5E5"/>
          </w:tcPr>
          <w:p>
            <w:pPr>
              <w:spacing w:after="0"/>
              <w:rPr>
                <w:sz w:val="15"/>
                <w:szCs w:val="15"/>
                <w:color w:val="auto"/>
              </w:rPr>
            </w:pPr>
          </w:p>
        </w:tc>
        <w:tc>
          <w:tcPr>
            <w:tcW w:w="168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r>
      <w:tr>
        <w:trPr>
          <w:trHeight w:val="189"/>
        </w:trPr>
        <w:tc>
          <w:tcPr>
            <w:tcW w:w="4900" w:type="dxa"/>
            <w:vAlign w:val="bottom"/>
          </w:tcPr>
          <w:p>
            <w:pPr>
              <w:ind w:left="140"/>
              <w:spacing w:after="0"/>
              <w:rPr>
                <w:sz w:val="20"/>
                <w:szCs w:val="20"/>
                <w:color w:val="auto"/>
              </w:rPr>
            </w:pPr>
            <w:r>
              <w:rPr>
                <w:rFonts w:ascii="Arial" w:cs="Arial" w:eastAsia="Arial" w:hAnsi="Arial"/>
                <w:sz w:val="14"/>
                <w:szCs w:val="14"/>
                <w:color w:val="auto"/>
              </w:rPr>
              <w:t>Federal</w:t>
            </w:r>
          </w:p>
        </w:tc>
        <w:tc>
          <w:tcPr>
            <w:tcW w:w="2540" w:type="dxa"/>
            <w:vAlign w:val="bottom"/>
          </w:tcPr>
          <w:p>
            <w:pPr>
              <w:jc w:val="right"/>
              <w:ind w:right="708"/>
              <w:spacing w:after="0"/>
              <w:rPr>
                <w:sz w:val="20"/>
                <w:szCs w:val="20"/>
                <w:color w:val="auto"/>
              </w:rPr>
            </w:pPr>
            <w:r>
              <w:rPr>
                <w:rFonts w:ascii="Arial" w:cs="Arial" w:eastAsia="Arial" w:hAnsi="Arial"/>
                <w:sz w:val="14"/>
                <w:szCs w:val="14"/>
                <w:color w:val="auto"/>
              </w:rPr>
              <w:t>21 %</w:t>
            </w:r>
          </w:p>
        </w:tc>
        <w:tc>
          <w:tcPr>
            <w:tcW w:w="1300" w:type="dxa"/>
            <w:vAlign w:val="bottom"/>
          </w:tcPr>
          <w:p>
            <w:pPr>
              <w:jc w:val="right"/>
              <w:ind w:right="488"/>
              <w:spacing w:after="0"/>
              <w:rPr>
                <w:sz w:val="20"/>
                <w:szCs w:val="20"/>
                <w:color w:val="auto"/>
              </w:rPr>
            </w:pPr>
            <w:r>
              <w:rPr>
                <w:rFonts w:ascii="Arial" w:cs="Arial" w:eastAsia="Arial" w:hAnsi="Arial"/>
                <w:sz w:val="14"/>
                <w:szCs w:val="14"/>
                <w:color w:val="auto"/>
              </w:rPr>
              <w:t>21 %</w:t>
            </w:r>
          </w:p>
        </w:tc>
        <w:tc>
          <w:tcPr>
            <w:tcW w:w="1680" w:type="dxa"/>
            <w:vAlign w:val="bottom"/>
          </w:tcPr>
          <w:p>
            <w:pPr>
              <w:jc w:val="right"/>
              <w:ind w:right="648"/>
              <w:spacing w:after="0"/>
              <w:rPr>
                <w:sz w:val="20"/>
                <w:szCs w:val="20"/>
                <w:color w:val="auto"/>
              </w:rPr>
            </w:pPr>
            <w:r>
              <w:rPr>
                <w:rFonts w:ascii="Arial" w:cs="Arial" w:eastAsia="Arial" w:hAnsi="Arial"/>
                <w:sz w:val="14"/>
                <w:szCs w:val="14"/>
                <w:color w:val="auto"/>
              </w:rPr>
              <w:t>21 %</w:t>
            </w:r>
          </w:p>
        </w:tc>
        <w:tc>
          <w:tcPr>
            <w:tcW w:w="820" w:type="dxa"/>
            <w:vAlign w:val="bottom"/>
          </w:tcPr>
          <w:p>
            <w:pPr>
              <w:jc w:val="right"/>
              <w:spacing w:after="0"/>
              <w:rPr>
                <w:sz w:val="20"/>
                <w:szCs w:val="20"/>
                <w:color w:val="auto"/>
              </w:rPr>
            </w:pPr>
            <w:r>
              <w:rPr>
                <w:rFonts w:ascii="Arial" w:cs="Arial" w:eastAsia="Arial" w:hAnsi="Arial"/>
                <w:sz w:val="14"/>
                <w:szCs w:val="14"/>
                <w:color w:val="auto"/>
              </w:rPr>
              <w:t>21 %</w:t>
            </w:r>
          </w:p>
        </w:tc>
      </w:tr>
      <w:tr>
        <w:trPr>
          <w:trHeight w:val="189"/>
        </w:trPr>
        <w:tc>
          <w:tcPr>
            <w:tcW w:w="4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Changes in computed taxes resulting from:</w:t>
            </w:r>
          </w:p>
        </w:tc>
        <w:tc>
          <w:tcPr>
            <w:tcW w:w="2540" w:type="dxa"/>
            <w:vAlign w:val="bottom"/>
            <w:shd w:val="clear" w:color="auto" w:fill="E5E5E5"/>
          </w:tcPr>
          <w:p>
            <w:pPr>
              <w:spacing w:after="0"/>
              <w:rPr>
                <w:sz w:val="16"/>
                <w:szCs w:val="16"/>
                <w:color w:val="auto"/>
              </w:rPr>
            </w:pPr>
          </w:p>
        </w:tc>
        <w:tc>
          <w:tcPr>
            <w:tcW w:w="1300" w:type="dxa"/>
            <w:vAlign w:val="bottom"/>
            <w:shd w:val="clear" w:color="auto" w:fill="E5E5E5"/>
          </w:tcPr>
          <w:p>
            <w:pPr>
              <w:spacing w:after="0"/>
              <w:rPr>
                <w:sz w:val="16"/>
                <w:szCs w:val="16"/>
                <w:color w:val="auto"/>
              </w:rPr>
            </w:pPr>
          </w:p>
        </w:tc>
        <w:tc>
          <w:tcPr>
            <w:tcW w:w="168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r>
      <w:tr>
        <w:trPr>
          <w:trHeight w:val="189"/>
        </w:trPr>
        <w:tc>
          <w:tcPr>
            <w:tcW w:w="4900" w:type="dxa"/>
            <w:vAlign w:val="bottom"/>
          </w:tcPr>
          <w:p>
            <w:pPr>
              <w:ind w:left="140"/>
              <w:spacing w:after="0"/>
              <w:rPr>
                <w:sz w:val="20"/>
                <w:szCs w:val="20"/>
                <w:color w:val="auto"/>
              </w:rPr>
            </w:pPr>
            <w:r>
              <w:rPr>
                <w:rFonts w:ascii="Arial" w:cs="Arial" w:eastAsia="Arial" w:hAnsi="Arial"/>
                <w:sz w:val="14"/>
                <w:szCs w:val="14"/>
                <w:color w:val="auto"/>
              </w:rPr>
              <w:t>State income tax, net of federal income tax benefit</w:t>
            </w:r>
          </w:p>
        </w:tc>
        <w:tc>
          <w:tcPr>
            <w:tcW w:w="2540" w:type="dxa"/>
            <w:vAlign w:val="bottom"/>
          </w:tcPr>
          <w:p>
            <w:pPr>
              <w:jc w:val="right"/>
              <w:ind w:right="888"/>
              <w:spacing w:after="0"/>
              <w:rPr>
                <w:sz w:val="20"/>
                <w:szCs w:val="20"/>
                <w:color w:val="auto"/>
              </w:rPr>
            </w:pPr>
            <w:r>
              <w:rPr>
                <w:rFonts w:ascii="Arial" w:cs="Arial" w:eastAsia="Arial" w:hAnsi="Arial"/>
                <w:sz w:val="14"/>
                <w:szCs w:val="14"/>
                <w:color w:val="auto"/>
              </w:rPr>
              <w:t>4</w:t>
            </w:r>
          </w:p>
        </w:tc>
        <w:tc>
          <w:tcPr>
            <w:tcW w:w="1300" w:type="dxa"/>
            <w:vAlign w:val="bottom"/>
          </w:tcPr>
          <w:p>
            <w:pPr>
              <w:jc w:val="right"/>
              <w:ind w:right="668"/>
              <w:spacing w:after="0"/>
              <w:rPr>
                <w:sz w:val="20"/>
                <w:szCs w:val="20"/>
                <w:color w:val="auto"/>
              </w:rPr>
            </w:pPr>
            <w:r>
              <w:rPr>
                <w:rFonts w:ascii="Arial" w:cs="Arial" w:eastAsia="Arial" w:hAnsi="Arial"/>
                <w:sz w:val="14"/>
                <w:szCs w:val="14"/>
                <w:color w:val="auto"/>
              </w:rPr>
              <w:t>5</w:t>
            </w:r>
          </w:p>
        </w:tc>
        <w:tc>
          <w:tcPr>
            <w:tcW w:w="1680" w:type="dxa"/>
            <w:vAlign w:val="bottom"/>
          </w:tcPr>
          <w:p>
            <w:pPr>
              <w:jc w:val="right"/>
              <w:ind w:right="828"/>
              <w:spacing w:after="0"/>
              <w:rPr>
                <w:sz w:val="20"/>
                <w:szCs w:val="20"/>
                <w:color w:val="auto"/>
              </w:rPr>
            </w:pPr>
            <w:r>
              <w:rPr>
                <w:rFonts w:ascii="Arial" w:cs="Arial" w:eastAsia="Arial" w:hAnsi="Arial"/>
                <w:sz w:val="14"/>
                <w:szCs w:val="14"/>
                <w:color w:val="auto"/>
              </w:rPr>
              <w:t>5</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5</w:t>
            </w:r>
          </w:p>
        </w:tc>
      </w:tr>
      <w:tr>
        <w:trPr>
          <w:trHeight w:val="189"/>
        </w:trPr>
        <w:tc>
          <w:tcPr>
            <w:tcW w:w="49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Amortization of excess deferred federal income taxes</w:t>
            </w:r>
          </w:p>
        </w:tc>
        <w:tc>
          <w:tcPr>
            <w:tcW w:w="2540" w:type="dxa"/>
            <w:vAlign w:val="bottom"/>
            <w:shd w:val="clear" w:color="auto" w:fill="E5E5E5"/>
          </w:tcPr>
          <w:p>
            <w:pPr>
              <w:jc w:val="right"/>
              <w:ind w:right="848"/>
              <w:spacing w:after="0"/>
              <w:rPr>
                <w:sz w:val="20"/>
                <w:szCs w:val="20"/>
                <w:color w:val="auto"/>
              </w:rPr>
            </w:pPr>
            <w:r>
              <w:rPr>
                <w:rFonts w:ascii="Arial" w:cs="Arial" w:eastAsia="Arial" w:hAnsi="Arial"/>
                <w:sz w:val="14"/>
                <w:szCs w:val="14"/>
                <w:color w:val="auto"/>
              </w:rPr>
              <w:t>(14)</w:t>
            </w:r>
          </w:p>
        </w:tc>
        <w:tc>
          <w:tcPr>
            <w:tcW w:w="1300" w:type="dxa"/>
            <w:vAlign w:val="bottom"/>
            <w:shd w:val="clear" w:color="auto" w:fill="E5E5E5"/>
          </w:tcPr>
          <w:p>
            <w:pPr>
              <w:jc w:val="right"/>
              <w:ind w:right="628"/>
              <w:spacing w:after="0"/>
              <w:rPr>
                <w:sz w:val="20"/>
                <w:szCs w:val="20"/>
                <w:color w:val="auto"/>
              </w:rPr>
            </w:pPr>
            <w:r>
              <w:rPr>
                <w:rFonts w:ascii="Arial" w:cs="Arial" w:eastAsia="Arial" w:hAnsi="Arial"/>
                <w:sz w:val="14"/>
                <w:szCs w:val="14"/>
                <w:color w:val="auto"/>
              </w:rPr>
              <w:t>(12)</w:t>
            </w:r>
          </w:p>
        </w:tc>
        <w:tc>
          <w:tcPr>
            <w:tcW w:w="1680" w:type="dxa"/>
            <w:vAlign w:val="bottom"/>
            <w:shd w:val="clear" w:color="auto" w:fill="E5E5E5"/>
          </w:tcPr>
          <w:p>
            <w:pPr>
              <w:jc w:val="right"/>
              <w:ind w:right="788"/>
              <w:spacing w:after="0"/>
              <w:rPr>
                <w:sz w:val="20"/>
                <w:szCs w:val="20"/>
                <w:color w:val="auto"/>
              </w:rPr>
            </w:pPr>
            <w:r>
              <w:rPr>
                <w:rFonts w:ascii="Arial" w:cs="Arial" w:eastAsia="Arial" w:hAnsi="Arial"/>
                <w:sz w:val="14"/>
                <w:szCs w:val="14"/>
                <w:color w:val="auto"/>
              </w:rPr>
              <w:t>(13)</w:t>
            </w: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(12)</w:t>
            </w:r>
          </w:p>
        </w:tc>
      </w:tr>
      <w:tr>
        <w:trPr>
          <w:trHeight w:val="189"/>
        </w:trPr>
        <w:tc>
          <w:tcPr>
            <w:tcW w:w="4900" w:type="dxa"/>
            <w:vAlign w:val="bottom"/>
          </w:tcPr>
          <w:p>
            <w:pPr>
              <w:ind w:left="140"/>
              <w:spacing w:after="0"/>
              <w:rPr>
                <w:sz w:val="20"/>
                <w:szCs w:val="20"/>
                <w:color w:val="auto"/>
              </w:rPr>
            </w:pPr>
            <w:r>
              <w:rPr>
                <w:rFonts w:ascii="Arial" w:cs="Arial" w:eastAsia="Arial" w:hAnsi="Arial"/>
                <w:sz w:val="14"/>
                <w:szCs w:val="14"/>
                <w:color w:val="auto"/>
              </w:rPr>
              <w:t>Taxes attributable to non-controlling interests</w:t>
            </w:r>
          </w:p>
        </w:tc>
        <w:tc>
          <w:tcPr>
            <w:tcW w:w="2540" w:type="dxa"/>
            <w:vAlign w:val="bottom"/>
          </w:tcPr>
          <w:p>
            <w:pPr>
              <w:jc w:val="right"/>
              <w:ind w:right="888"/>
              <w:spacing w:after="0"/>
              <w:rPr>
                <w:sz w:val="20"/>
                <w:szCs w:val="20"/>
                <w:color w:val="auto"/>
              </w:rPr>
            </w:pPr>
            <w:r>
              <w:rPr>
                <w:rFonts w:ascii="Arial" w:cs="Arial" w:eastAsia="Arial" w:hAnsi="Arial"/>
                <w:sz w:val="14"/>
                <w:szCs w:val="14"/>
                <w:color w:val="auto"/>
              </w:rPr>
              <w:t>2</w:t>
            </w:r>
          </w:p>
        </w:tc>
        <w:tc>
          <w:tcPr>
            <w:tcW w:w="1300" w:type="dxa"/>
            <w:vAlign w:val="bottom"/>
          </w:tcPr>
          <w:p>
            <w:pPr>
              <w:jc w:val="right"/>
              <w:ind w:right="628"/>
              <w:spacing w:after="0"/>
              <w:rPr>
                <w:sz w:val="20"/>
                <w:szCs w:val="20"/>
                <w:color w:val="auto"/>
              </w:rPr>
            </w:pPr>
            <w:r>
              <w:rPr>
                <w:rFonts w:ascii="Arial" w:cs="Arial" w:eastAsia="Arial" w:hAnsi="Arial"/>
                <w:sz w:val="14"/>
                <w:szCs w:val="14"/>
                <w:color w:val="auto"/>
              </w:rPr>
              <w:t>(1)</w:t>
            </w:r>
          </w:p>
        </w:tc>
        <w:tc>
          <w:tcPr>
            <w:tcW w:w="168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9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Cost of removal</w:t>
            </w:r>
          </w:p>
        </w:tc>
        <w:tc>
          <w:tcPr>
            <w:tcW w:w="2540" w:type="dxa"/>
            <w:vAlign w:val="bottom"/>
            <w:shd w:val="clear" w:color="auto" w:fill="E5E5E5"/>
          </w:tcPr>
          <w:p>
            <w:pPr>
              <w:jc w:val="right"/>
              <w:ind w:right="888"/>
              <w:spacing w:after="0"/>
              <w:rPr>
                <w:sz w:val="20"/>
                <w:szCs w:val="20"/>
                <w:color w:val="auto"/>
              </w:rPr>
            </w:pPr>
            <w:r>
              <w:rPr>
                <w:rFonts w:ascii="Arial" w:cs="Arial" w:eastAsia="Arial" w:hAnsi="Arial"/>
                <w:sz w:val="14"/>
                <w:szCs w:val="14"/>
                <w:color w:val="auto"/>
              </w:rPr>
              <w:t>2</w:t>
            </w:r>
          </w:p>
        </w:tc>
        <w:tc>
          <w:tcPr>
            <w:tcW w:w="1300" w:type="dxa"/>
            <w:vAlign w:val="bottom"/>
            <w:shd w:val="clear" w:color="auto" w:fill="E5E5E5"/>
          </w:tcPr>
          <w:p>
            <w:pPr>
              <w:jc w:val="right"/>
              <w:ind w:right="668"/>
              <w:spacing w:after="0"/>
              <w:rPr>
                <w:sz w:val="20"/>
                <w:szCs w:val="20"/>
                <w:color w:val="auto"/>
              </w:rPr>
            </w:pPr>
            <w:r>
              <w:rPr>
                <w:rFonts w:ascii="Arial" w:cs="Arial" w:eastAsia="Arial" w:hAnsi="Arial"/>
                <w:sz w:val="14"/>
                <w:szCs w:val="14"/>
                <w:color w:val="auto"/>
              </w:rPr>
              <w:t>2</w:t>
            </w:r>
          </w:p>
        </w:tc>
        <w:tc>
          <w:tcPr>
            <w:tcW w:w="1680" w:type="dxa"/>
            <w:vAlign w:val="bottom"/>
            <w:shd w:val="clear" w:color="auto" w:fill="E5E5E5"/>
          </w:tcPr>
          <w:p>
            <w:pPr>
              <w:jc w:val="right"/>
              <w:ind w:right="828"/>
              <w:spacing w:after="0"/>
              <w:rPr>
                <w:sz w:val="20"/>
                <w:szCs w:val="20"/>
                <w:color w:val="auto"/>
              </w:rPr>
            </w:pPr>
            <w:r>
              <w:rPr>
                <w:rFonts w:ascii="Arial" w:cs="Arial" w:eastAsia="Arial" w:hAnsi="Arial"/>
                <w:sz w:val="14"/>
                <w:szCs w:val="14"/>
                <w:color w:val="auto"/>
              </w:rPr>
              <w:t>2</w:t>
            </w:r>
          </w:p>
        </w:tc>
        <w:tc>
          <w:tcPr>
            <w:tcW w:w="8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w:t>
            </w:r>
          </w:p>
        </w:tc>
      </w:tr>
      <w:tr>
        <w:trPr>
          <w:trHeight w:val="189"/>
        </w:trPr>
        <w:tc>
          <w:tcPr>
            <w:tcW w:w="4900" w:type="dxa"/>
            <w:vAlign w:val="bottom"/>
          </w:tcPr>
          <w:p>
            <w:pPr>
              <w:ind w:left="140"/>
              <w:spacing w:after="0"/>
              <w:rPr>
                <w:sz w:val="20"/>
                <w:szCs w:val="20"/>
                <w:color w:val="auto"/>
              </w:rPr>
            </w:pPr>
            <w:r>
              <w:rPr>
                <w:rFonts w:ascii="Arial" w:cs="Arial" w:eastAsia="Arial" w:hAnsi="Arial"/>
                <w:sz w:val="14"/>
                <w:szCs w:val="14"/>
                <w:color w:val="auto"/>
              </w:rPr>
              <w:t>Other plant-related items</w:t>
            </w:r>
          </w:p>
        </w:tc>
        <w:tc>
          <w:tcPr>
            <w:tcW w:w="2540" w:type="dxa"/>
            <w:vAlign w:val="bottom"/>
          </w:tcPr>
          <w:p>
            <w:pPr>
              <w:jc w:val="right"/>
              <w:ind w:right="848"/>
              <w:spacing w:after="0"/>
              <w:rPr>
                <w:sz w:val="20"/>
                <w:szCs w:val="20"/>
                <w:color w:val="auto"/>
              </w:rPr>
            </w:pPr>
            <w:r>
              <w:rPr>
                <w:rFonts w:ascii="Arial" w:cs="Arial" w:eastAsia="Arial" w:hAnsi="Arial"/>
                <w:sz w:val="14"/>
                <w:szCs w:val="14"/>
                <w:color w:val="auto"/>
              </w:rPr>
              <w:t>(1)</w:t>
            </w:r>
          </w:p>
        </w:tc>
        <w:tc>
          <w:tcPr>
            <w:tcW w:w="1300" w:type="dxa"/>
            <w:vAlign w:val="bottom"/>
          </w:tcPr>
          <w:p>
            <w:pPr>
              <w:jc w:val="right"/>
              <w:ind w:right="628"/>
              <w:spacing w:after="0"/>
              <w:rPr>
                <w:sz w:val="20"/>
                <w:szCs w:val="20"/>
                <w:color w:val="auto"/>
              </w:rPr>
            </w:pPr>
            <w:r>
              <w:rPr>
                <w:rFonts w:ascii="Arial" w:cs="Arial" w:eastAsia="Arial" w:hAnsi="Arial"/>
                <w:sz w:val="14"/>
                <w:szCs w:val="14"/>
                <w:color w:val="auto"/>
              </w:rPr>
              <w:t>(2)</w:t>
            </w:r>
          </w:p>
        </w:tc>
        <w:tc>
          <w:tcPr>
            <w:tcW w:w="1680" w:type="dxa"/>
            <w:vAlign w:val="bottom"/>
          </w:tcPr>
          <w:p>
            <w:pPr>
              <w:jc w:val="right"/>
              <w:ind w:right="788"/>
              <w:spacing w:after="0"/>
              <w:rPr>
                <w:sz w:val="20"/>
                <w:szCs w:val="20"/>
                <w:color w:val="auto"/>
              </w:rPr>
            </w:pPr>
            <w:r>
              <w:rPr>
                <w:rFonts w:ascii="Arial" w:cs="Arial" w:eastAsia="Arial" w:hAnsi="Arial"/>
                <w:sz w:val="14"/>
                <w:szCs w:val="14"/>
                <w:color w:val="auto"/>
              </w:rPr>
              <w:t>(1)</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189"/>
        </w:trPr>
        <w:tc>
          <w:tcPr>
            <w:tcW w:w="49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Renewable energy credits</w:t>
            </w:r>
          </w:p>
        </w:tc>
        <w:tc>
          <w:tcPr>
            <w:tcW w:w="2540" w:type="dxa"/>
            <w:vAlign w:val="bottom"/>
            <w:shd w:val="clear" w:color="auto" w:fill="E5E5E5"/>
          </w:tcPr>
          <w:p>
            <w:pPr>
              <w:jc w:val="right"/>
              <w:ind w:right="848"/>
              <w:spacing w:after="0"/>
              <w:rPr>
                <w:sz w:val="20"/>
                <w:szCs w:val="20"/>
                <w:color w:val="auto"/>
              </w:rPr>
            </w:pPr>
            <w:r>
              <w:rPr>
                <w:rFonts w:ascii="Arial" w:cs="Arial" w:eastAsia="Arial" w:hAnsi="Arial"/>
                <w:sz w:val="14"/>
                <w:szCs w:val="14"/>
                <w:color w:val="auto"/>
              </w:rPr>
              <w:t>(3)</w:t>
            </w:r>
          </w:p>
        </w:tc>
        <w:tc>
          <w:tcPr>
            <w:tcW w:w="1300" w:type="dxa"/>
            <w:vAlign w:val="bottom"/>
            <w:shd w:val="clear" w:color="auto" w:fill="E5E5E5"/>
          </w:tcPr>
          <w:p>
            <w:pPr>
              <w:jc w:val="right"/>
              <w:ind w:right="628"/>
              <w:spacing w:after="0"/>
              <w:rPr>
                <w:sz w:val="20"/>
                <w:szCs w:val="20"/>
                <w:color w:val="auto"/>
              </w:rPr>
            </w:pPr>
            <w:r>
              <w:rPr>
                <w:rFonts w:ascii="Arial" w:cs="Arial" w:eastAsia="Arial" w:hAnsi="Arial"/>
                <w:sz w:val="14"/>
                <w:szCs w:val="14"/>
                <w:color w:val="auto"/>
              </w:rPr>
              <w:t>(3)</w:t>
            </w:r>
          </w:p>
        </w:tc>
        <w:tc>
          <w:tcPr>
            <w:tcW w:w="1680" w:type="dxa"/>
            <w:vAlign w:val="bottom"/>
            <w:shd w:val="clear" w:color="auto" w:fill="E5E5E5"/>
          </w:tcPr>
          <w:p>
            <w:pPr>
              <w:jc w:val="right"/>
              <w:ind w:right="82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900" w:type="dxa"/>
            <w:vAlign w:val="bottom"/>
          </w:tcPr>
          <w:p>
            <w:pPr>
              <w:ind w:left="140"/>
              <w:spacing w:after="0"/>
              <w:rPr>
                <w:sz w:val="20"/>
                <w:szCs w:val="20"/>
                <w:color w:val="auto"/>
              </w:rPr>
            </w:pPr>
            <w:r>
              <w:rPr>
                <w:rFonts w:ascii="Arial" w:cs="Arial" w:eastAsia="Arial" w:hAnsi="Arial"/>
                <w:sz w:val="14"/>
                <w:szCs w:val="14"/>
                <w:color w:val="auto"/>
              </w:rPr>
              <w:t>CARES Act NOL carryback</w:t>
            </w:r>
          </w:p>
        </w:tc>
        <w:tc>
          <w:tcPr>
            <w:tcW w:w="254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28"/>
              <w:spacing w:after="0"/>
              <w:rPr>
                <w:sz w:val="20"/>
                <w:szCs w:val="20"/>
                <w:color w:val="auto"/>
              </w:rPr>
            </w:pPr>
            <w:r>
              <w:rPr>
                <w:rFonts w:ascii="Arial" w:cs="Arial" w:eastAsia="Arial" w:hAnsi="Arial"/>
                <w:sz w:val="14"/>
                <w:szCs w:val="14"/>
                <w:color w:val="auto"/>
              </w:rPr>
              <w:t>(1)</w:t>
            </w:r>
          </w:p>
        </w:tc>
        <w:tc>
          <w:tcPr>
            <w:tcW w:w="168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900" w:type="dxa"/>
            <w:vAlign w:val="bottom"/>
            <w:tcBorders>
              <w:bottom w:val="single" w:sz="8" w:color="828282"/>
            </w:tcBorders>
            <w:shd w:val="clear" w:color="auto" w:fill="E5E5E5"/>
          </w:tcPr>
          <w:p>
            <w:pPr>
              <w:ind w:left="140"/>
              <w:spacing w:after="0"/>
              <w:rPr>
                <w:sz w:val="20"/>
                <w:szCs w:val="20"/>
                <w:color w:val="auto"/>
              </w:rPr>
            </w:pPr>
            <w:r>
              <w:rPr>
                <w:rFonts w:ascii="Arial" w:cs="Arial" w:eastAsia="Arial" w:hAnsi="Arial"/>
                <w:sz w:val="14"/>
                <w:szCs w:val="14"/>
                <w:color w:val="auto"/>
              </w:rPr>
              <w:t>Other</w:t>
            </w:r>
          </w:p>
        </w:tc>
        <w:tc>
          <w:tcPr>
            <w:tcW w:w="2540" w:type="dxa"/>
            <w:vAlign w:val="bottom"/>
            <w:tcBorders>
              <w:bottom w:val="single" w:sz="8" w:color="828282"/>
            </w:tcBorders>
            <w:shd w:val="clear" w:color="auto" w:fill="E5E5E5"/>
          </w:tcPr>
          <w:p>
            <w:pPr>
              <w:jc w:val="right"/>
              <w:ind w:right="8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828282"/>
            </w:tcBorders>
            <w:shd w:val="clear" w:color="auto" w:fill="E5E5E5"/>
          </w:tcPr>
          <w:p>
            <w:pPr>
              <w:jc w:val="right"/>
              <w:ind w:right="668"/>
              <w:spacing w:after="0"/>
              <w:rPr>
                <w:sz w:val="20"/>
                <w:szCs w:val="20"/>
                <w:color w:val="auto"/>
              </w:rPr>
            </w:pPr>
            <w:r>
              <w:rPr>
                <w:rFonts w:ascii="Arial" w:cs="Arial" w:eastAsia="Arial" w:hAnsi="Arial"/>
                <w:sz w:val="14"/>
                <w:szCs w:val="14"/>
                <w:color w:val="auto"/>
              </w:rPr>
              <w:t>1</w:t>
            </w:r>
          </w:p>
        </w:tc>
        <w:tc>
          <w:tcPr>
            <w:tcW w:w="1680" w:type="dxa"/>
            <w:vAlign w:val="bottom"/>
            <w:tcBorders>
              <w:bottom w:val="single" w:sz="8" w:color="828282"/>
            </w:tcBorders>
            <w:shd w:val="clear" w:color="auto" w:fill="E5E5E5"/>
          </w:tcPr>
          <w:p>
            <w:pPr>
              <w:jc w:val="right"/>
              <w:ind w:right="8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828282"/>
            </w:tcBorders>
            <w:shd w:val="clear" w:color="auto" w:fill="E5E5E5"/>
          </w:tcPr>
          <w:p>
            <w:pPr>
              <w:jc w:val="right"/>
              <w:ind w:right="108"/>
              <w:spacing w:after="0"/>
              <w:rPr>
                <w:sz w:val="20"/>
                <w:szCs w:val="20"/>
                <w:color w:val="auto"/>
              </w:rPr>
            </w:pPr>
            <w:r>
              <w:rPr>
                <w:rFonts w:ascii="Arial" w:cs="Arial" w:eastAsia="Arial" w:hAnsi="Arial"/>
                <w:sz w:val="14"/>
                <w:szCs w:val="14"/>
                <w:color w:val="auto"/>
              </w:rPr>
              <w:t>1</w:t>
            </w:r>
          </w:p>
        </w:tc>
      </w:tr>
      <w:tr>
        <w:trPr>
          <w:trHeight w:val="182"/>
        </w:trPr>
        <w:tc>
          <w:tcPr>
            <w:tcW w:w="490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Effective tax rate</w:t>
            </w:r>
          </w:p>
        </w:tc>
        <w:tc>
          <w:tcPr>
            <w:tcW w:w="2540" w:type="dxa"/>
            <w:vAlign w:val="bottom"/>
            <w:tcBorders>
              <w:bottom w:val="single" w:sz="8" w:color="929292"/>
            </w:tcBorders>
          </w:tcPr>
          <w:p>
            <w:pPr>
              <w:jc w:val="right"/>
              <w:ind w:right="708"/>
              <w:spacing w:after="0"/>
              <w:rPr>
                <w:sz w:val="20"/>
                <w:szCs w:val="20"/>
                <w:color w:val="auto"/>
              </w:rPr>
            </w:pPr>
            <w:r>
              <w:rPr>
                <w:rFonts w:ascii="Arial" w:cs="Arial" w:eastAsia="Arial" w:hAnsi="Arial"/>
                <w:sz w:val="14"/>
                <w:szCs w:val="14"/>
                <w:color w:val="auto"/>
              </w:rPr>
              <w:t>11 %</w:t>
            </w:r>
          </w:p>
        </w:tc>
        <w:tc>
          <w:tcPr>
            <w:tcW w:w="130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10 %</w:t>
            </w:r>
          </w:p>
        </w:tc>
        <w:tc>
          <w:tcPr>
            <w:tcW w:w="1680" w:type="dxa"/>
            <w:vAlign w:val="bottom"/>
            <w:tcBorders>
              <w:bottom w:val="single" w:sz="8" w:color="929292"/>
            </w:tcBorders>
          </w:tcPr>
          <w:p>
            <w:pPr>
              <w:jc w:val="right"/>
              <w:ind w:right="648"/>
              <w:spacing w:after="0"/>
              <w:rPr>
                <w:sz w:val="20"/>
                <w:szCs w:val="20"/>
                <w:color w:val="auto"/>
              </w:rPr>
            </w:pPr>
            <w:r>
              <w:rPr>
                <w:rFonts w:ascii="Arial" w:cs="Arial" w:eastAsia="Arial" w:hAnsi="Arial"/>
                <w:sz w:val="14"/>
                <w:szCs w:val="14"/>
                <w:color w:val="auto"/>
              </w:rPr>
              <w:t>14 %</w:t>
            </w:r>
          </w:p>
        </w:tc>
        <w:tc>
          <w:tcPr>
            <w:tcW w:w="8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-128270</wp:posOffset>
            </wp:positionV>
            <wp:extent cx="8255" cy="171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-102235</wp:posOffset>
            </wp:positionV>
            <wp:extent cx="825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-85090</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-67945</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-50800</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-33655</wp:posOffset>
            </wp:positionV>
            <wp:extent cx="825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-16510</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-231140</wp:posOffset>
            </wp:positionV>
            <wp:extent cx="825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-213995</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-196215</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-179070</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-162560</wp:posOffset>
            </wp:positionV>
            <wp:extent cx="825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-145415</wp:posOffset>
            </wp:positionV>
            <wp:extent cx="825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-350520</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-334010</wp:posOffset>
            </wp:positionV>
            <wp:extent cx="825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-316865</wp:posOffset>
            </wp:positionV>
            <wp:extent cx="825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-299720</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-281940</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-264795</wp:posOffset>
            </wp:positionV>
            <wp:extent cx="8255" cy="254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-471170</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-453390</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-436245</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-419735</wp:posOffset>
            </wp:positionV>
            <wp:extent cx="825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-402590</wp:posOffset>
            </wp:positionV>
            <wp:extent cx="825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-385445</wp:posOffset>
            </wp:positionV>
            <wp:extent cx="8255" cy="254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-591185</wp:posOffset>
            </wp:positionV>
            <wp:extent cx="825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-574040</wp:posOffset>
            </wp:positionV>
            <wp:extent cx="825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-556895</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-539115</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-521970</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-505460</wp:posOffset>
            </wp:positionV>
            <wp:extent cx="8255" cy="260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-710565</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-693420</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-676910</wp:posOffset>
            </wp:positionV>
            <wp:extent cx="825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-659765</wp:posOffset>
            </wp:positionV>
            <wp:extent cx="825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-642620</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-624840</wp:posOffset>
            </wp:positionV>
            <wp:extent cx="8255" cy="254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-831215</wp:posOffset>
            </wp:positionV>
            <wp:extent cx="825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-814070</wp:posOffset>
            </wp:positionV>
            <wp:extent cx="825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-796290</wp:posOffset>
            </wp:positionV>
            <wp:extent cx="82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-779145</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-762000</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-745490</wp:posOffset>
            </wp:positionV>
            <wp:extent cx="8255" cy="260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-950595</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-933450</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-916940</wp:posOffset>
            </wp:positionV>
            <wp:extent cx="825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-899795</wp:posOffset>
            </wp:positionV>
            <wp:extent cx="825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-882015</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-864870</wp:posOffset>
            </wp:positionV>
            <wp:extent cx="8255" cy="254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-1071245</wp:posOffset>
            </wp:positionV>
            <wp:extent cx="825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-1053465</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-1036320</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-1019175</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-1002665</wp:posOffset>
            </wp:positionV>
            <wp:extent cx="825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-985520</wp:posOffset>
            </wp:positionV>
            <wp:extent cx="8255" cy="254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-1190625</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-1174115</wp:posOffset>
            </wp:positionV>
            <wp:extent cx="825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-1156970</wp:posOffset>
            </wp:positionV>
            <wp:extent cx="825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-1139190</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-1122045</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-1104900</wp:posOffset>
            </wp:positionV>
            <wp:extent cx="8255" cy="254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-1310640</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-1293495</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-1276350</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-1259840</wp:posOffset>
            </wp:positionV>
            <wp:extent cx="825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-1242695</wp:posOffset>
            </wp:positionV>
            <wp:extent cx="825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-1224915</wp:posOffset>
            </wp:positionV>
            <wp:extent cx="8255" cy="254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-1456690</wp:posOffset>
            </wp:positionV>
            <wp:extent cx="8255" cy="171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-1430655</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-1414145</wp:posOffset>
            </wp:positionV>
            <wp:extent cx="825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-1396365</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-1379220</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-1362075</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-1345565</wp:posOffset>
            </wp:positionV>
            <wp:extent cx="8255" cy="260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-1585595</wp:posOffset>
            </wp:positionV>
            <wp:extent cx="8255" cy="171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-1559560</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-1542415</wp:posOffset>
            </wp:positionV>
            <wp:extent cx="825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-1525270</wp:posOffset>
            </wp:positionV>
            <wp:extent cx="825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-1508125</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-1490980</wp:posOffset>
            </wp:positionV>
            <wp:extent cx="82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-1473835</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7" w:name="page38"/>
    <w:bookmarkEnd w:id="37"/>
    <w:p>
      <w:pPr>
        <w:ind w:right="60"/>
        <w:spacing w:after="0" w:line="253" w:lineRule="auto"/>
        <w:rPr>
          <w:sz w:val="20"/>
          <w:szCs w:val="20"/>
          <w:color w:val="auto"/>
        </w:rPr>
      </w:pPr>
      <w:r>
        <w:rPr>
          <w:rFonts w:ascii="Arial" w:cs="Arial" w:eastAsia="Arial" w:hAnsi="Arial"/>
          <w:sz w:val="18"/>
          <w:szCs w:val="18"/>
          <w:color w:val="auto"/>
        </w:rPr>
        <w:t>In response to the economic impacts of the COVID-19 pandemic, the Coronavirus Aid, Relief, and Economic Security Act (CARES Act) was signed into law on March 27, 2020. The CARES Act provides relief to corporate taxpayers by permitting a five-year carryback of net operating losses (NOLs) for tax years 2018, 2019 and 2020, temporarily removing the 80 percent limitation when applying the NOLs to carryback years, increasing the 30 percent limitation on interest deductibility to 50 percent of adjusted taxable income for tax years 2019 and 2020, and provides for certain employee retention tax credits and refunds for eligible employers.</w:t>
      </w:r>
    </w:p>
    <w:p>
      <w:pPr>
        <w:spacing w:after="0" w:line="23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Under the CARES Act, Con Edison carried back its $29 million NOL from tax year 2018 to tax year 2013 generating a $2.5 million net tax refund for which a tax receivable was established in 2020. In addition, Con Edison recognized a discrete income tax benefit of $ 4 million in 2020, due to the higher federal statutory tax rate in 2013. The 2018 federal NOL was recorded at 21 percent and will be carried back to tax year 2013, which had a 35 percent federal statutory tax rate. This tax benefit was primarily recognized at the Clean Energy Businesses.</w:t>
      </w:r>
    </w:p>
    <w:p>
      <w:pPr>
        <w:spacing w:after="0" w:line="21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Pursuant to CECONY’s electric rate plan that went into effect in January 2020, the deferral of its net benefits for its electric service ceased and is included in rates. Additionally, the unprotected excess deferred federal income taxes for its electric and gas services is being amortized over a five-year period, which decreased the income tax expense for the six months ended June 30, 2021 and 2020. See “Other Regulatory Matters” in Note B.</w:t>
      </w:r>
    </w:p>
    <w:p>
      <w:pPr>
        <w:spacing w:after="0" w:line="23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In April 2021, New York State passed a law that increased the corporate franchise tax rate on business income from 6.5% to 7.25%, retroactive to January 1, 2021, for taxpayers with taxable income greater than $5 million. The law also reinstated the business capital tax at</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0.1875%, not to exceed an annual maximum tax liability of $ 5 million per taxpayer. New York State requires a corporate franchise taxpayer to calculate and pay the highest amount of tax under the three alternative methods: a tax on business income; a tax on business capital; or a fixed dollar minimum. The provisions to increase the corporate franchise tax rate and reinstate a business capital tax are scheduled to expire after 2023 and are not expected to have a material impact on the Companies’ financial position, results of operations or liquidity.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3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At June 30, 2021, the estimated liability for uncertain tax positions for Con Edison was $ 15 million ($4 million for CECONY). Con Edison reasonably expects to resolve within the next twelve months approximately $3 million of various federal and state uncertainties due to the expected completion of ongoing tax examinations, of which the entire amount, if recognized, would reduce Con Edison's effective tax rate. The amount related to CECONY is $1 million, which, if recognized, would reduce CECONY’s effective tax rate. The total amount of unrecognized tax benefits, if recognized, that would reduce Con Edison’s effective tax rate is $15 million ($14 million, net of federal taxes) with $4 million attributable to CECONY.</w:t>
      </w: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Companies recognize interest on liabilities for uncertain tax positions in interest expense and would recognize penalties, if any, in operating expenses in the Companies’ consolidated income statements. For the six months ended June 30, 2021, the Companies recognized an immaterial amount of interest expense and no penalties for uncertain tax positions in their consolidated income statements. At June 30, 2021 and December 31, 2020, the Companies recognized an immaterial amount of accrued interest on their consolidated balance sheets.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Note K – Revenue Recognition</w:t>
      </w:r>
    </w:p>
    <w:p>
      <w:pPr>
        <w:spacing w:after="0" w:line="3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following table presents, for the three and six months ended June 30, 2021 and 2020, revenue from contracts with customers as defined in Accounting Standards Codification Topic 606, "Revenue from Contracts with Customers," as well as additional revenue from sources other than contracts with customers, disaggregated by major source.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8" w:name="page39"/>
    <w:bookmarkEnd w:id="38"/>
    <w:tbl>
      <w:tblPr>
        <w:tblLayout w:type="fixed"/>
        <w:tblInd w:w="140" w:type="dxa"/>
        <w:tblCellMar>
          <w:top w:w="0" w:type="dxa"/>
          <w:left w:w="0" w:type="dxa"/>
          <w:bottom w:w="0" w:type="dxa"/>
          <w:right w:w="0" w:type="dxa"/>
        </w:tblCellMar>
      </w:tblPr>
      <w:tr>
        <w:trPr>
          <w:trHeight w:val="189"/>
        </w:trPr>
        <w:tc>
          <w:tcPr>
            <w:tcW w:w="2700" w:type="dxa"/>
            <w:vAlign w:val="bottom"/>
            <w:tcBorders>
              <w:bottom w:val="single" w:sz="8" w:color="8C8272"/>
            </w:tcBorders>
          </w:tcPr>
          <w:p>
            <w:pPr>
              <w:spacing w:after="0"/>
              <w:rPr>
                <w:sz w:val="16"/>
                <w:szCs w:val="16"/>
                <w:color w:val="auto"/>
              </w:rPr>
            </w:pPr>
          </w:p>
        </w:tc>
        <w:tc>
          <w:tcPr>
            <w:tcW w:w="4200" w:type="dxa"/>
            <w:vAlign w:val="bottom"/>
            <w:tcBorders>
              <w:bottom w:val="single" w:sz="8" w:color="8C8272"/>
            </w:tcBorders>
            <w:gridSpan w:val="3"/>
          </w:tcPr>
          <w:p>
            <w:pPr>
              <w:jc w:val="right"/>
              <w:ind w:right="568"/>
              <w:spacing w:after="0"/>
              <w:rPr>
                <w:sz w:val="20"/>
                <w:szCs w:val="20"/>
                <w:color w:val="auto"/>
              </w:rPr>
            </w:pPr>
            <w:r>
              <w:rPr>
                <w:rFonts w:ascii="Arial" w:cs="Arial" w:eastAsia="Arial" w:hAnsi="Arial"/>
                <w:sz w:val="14"/>
                <w:szCs w:val="14"/>
                <w:b w:val="1"/>
                <w:bCs w:val="1"/>
                <w:color w:val="auto"/>
              </w:rPr>
              <w:t>For the Three Months Ended June 30, 2021</w:t>
            </w:r>
          </w:p>
        </w:tc>
        <w:tc>
          <w:tcPr>
            <w:tcW w:w="4280" w:type="dxa"/>
            <w:vAlign w:val="bottom"/>
            <w:tcBorders>
              <w:bottom w:val="single" w:sz="8" w:color="8C8272"/>
            </w:tcBorders>
            <w:gridSpan w:val="3"/>
          </w:tcPr>
          <w:p>
            <w:pPr>
              <w:jc w:val="right"/>
              <w:ind w:right="628"/>
              <w:spacing w:after="0"/>
              <w:rPr>
                <w:sz w:val="20"/>
                <w:szCs w:val="20"/>
                <w:color w:val="auto"/>
              </w:rPr>
            </w:pPr>
            <w:r>
              <w:rPr>
                <w:rFonts w:ascii="Arial" w:cs="Arial" w:eastAsia="Arial" w:hAnsi="Arial"/>
                <w:sz w:val="14"/>
                <w:szCs w:val="14"/>
                <w:b w:val="1"/>
                <w:bCs w:val="1"/>
                <w:color w:val="auto"/>
              </w:rPr>
              <w:t>For the Three Months Ended June 30, 2020</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1720" w:type="dxa"/>
            <w:vAlign w:val="bottom"/>
          </w:tcPr>
          <w:p>
            <w:pPr>
              <w:jc w:val="center"/>
              <w:ind w:right="288"/>
              <w:spacing w:after="0" w:line="142" w:lineRule="exact"/>
              <w:rPr>
                <w:sz w:val="20"/>
                <w:szCs w:val="20"/>
                <w:color w:val="auto"/>
              </w:rPr>
            </w:pPr>
            <w:r>
              <w:rPr>
                <w:rFonts w:ascii="Arial" w:cs="Arial" w:eastAsia="Arial" w:hAnsi="Arial"/>
                <w:sz w:val="14"/>
                <w:szCs w:val="14"/>
                <w:b w:val="1"/>
                <w:bCs w:val="1"/>
                <w:color w:val="auto"/>
              </w:rPr>
              <w:t>Revenues from</w:t>
            </w: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Other revenues</w:t>
            </w:r>
          </w:p>
        </w:tc>
        <w:tc>
          <w:tcPr>
            <w:tcW w:w="12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 operating</w:t>
            </w:r>
          </w:p>
        </w:tc>
        <w:tc>
          <w:tcPr>
            <w:tcW w:w="1700" w:type="dxa"/>
            <w:vAlign w:val="bottom"/>
          </w:tcPr>
          <w:p>
            <w:pPr>
              <w:jc w:val="center"/>
              <w:ind w:right="268"/>
              <w:spacing w:after="0" w:line="142" w:lineRule="exact"/>
              <w:rPr>
                <w:sz w:val="20"/>
                <w:szCs w:val="20"/>
                <w:color w:val="auto"/>
              </w:rPr>
            </w:pPr>
            <w:r>
              <w:rPr>
                <w:rFonts w:ascii="Arial" w:cs="Arial" w:eastAsia="Arial" w:hAnsi="Arial"/>
                <w:sz w:val="14"/>
                <w:szCs w:val="14"/>
                <w:b w:val="1"/>
                <w:bCs w:val="1"/>
                <w:color w:val="auto"/>
              </w:rPr>
              <w:t>Revenues from</w:t>
            </w: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Other revenues</w:t>
            </w: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 operating</w:t>
            </w:r>
          </w:p>
        </w:tc>
        <w:tc>
          <w:tcPr>
            <w:tcW w:w="0" w:type="dxa"/>
            <w:vAlign w:val="bottom"/>
          </w:tcPr>
          <w:p>
            <w:pPr>
              <w:spacing w:after="0"/>
              <w:rPr>
                <w:sz w:val="1"/>
                <w:szCs w:val="1"/>
                <w:color w:val="auto"/>
              </w:rPr>
            </w:pPr>
          </w:p>
        </w:tc>
      </w:tr>
      <w:tr>
        <w:trPr>
          <w:trHeight w:val="135"/>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720" w:type="dxa"/>
            <w:vAlign w:val="bottom"/>
          </w:tcPr>
          <w:p>
            <w:pPr>
              <w:jc w:val="center"/>
              <w:ind w:right="268"/>
              <w:spacing w:after="0" w:line="135" w:lineRule="exact"/>
              <w:rPr>
                <w:sz w:val="20"/>
                <w:szCs w:val="20"/>
                <w:color w:val="auto"/>
              </w:rPr>
            </w:pPr>
            <w:r>
              <w:rPr>
                <w:rFonts w:ascii="Arial" w:cs="Arial" w:eastAsia="Arial" w:hAnsi="Arial"/>
                <w:sz w:val="14"/>
                <w:szCs w:val="14"/>
                <w:b w:val="1"/>
                <w:bCs w:val="1"/>
                <w:color w:val="auto"/>
              </w:rPr>
              <w:t>contracts with</w:t>
            </w:r>
          </w:p>
        </w:tc>
        <w:tc>
          <w:tcPr>
            <w:tcW w:w="12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700" w:type="dxa"/>
            <w:vAlign w:val="bottom"/>
          </w:tcPr>
          <w:p>
            <w:pPr>
              <w:jc w:val="center"/>
              <w:ind w:right="288"/>
              <w:spacing w:after="0" w:line="135" w:lineRule="exact"/>
              <w:rPr>
                <w:sz w:val="20"/>
                <w:szCs w:val="20"/>
                <w:color w:val="auto"/>
              </w:rPr>
            </w:pPr>
            <w:r>
              <w:rPr>
                <w:rFonts w:ascii="Arial" w:cs="Arial" w:eastAsia="Arial" w:hAnsi="Arial"/>
                <w:sz w:val="14"/>
                <w:szCs w:val="14"/>
                <w:b w:val="1"/>
                <w:bCs w:val="1"/>
                <w:color w:val="auto"/>
              </w:rPr>
              <w:t>contracts with</w:t>
            </w:r>
          </w:p>
        </w:tc>
        <w:tc>
          <w:tcPr>
            <w:tcW w:w="13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00" w:type="dxa"/>
            <w:vAlign w:val="bottom"/>
            <w:tcBorders>
              <w:bottom w:val="single" w:sz="8" w:color="8C8272"/>
            </w:tcBorders>
            <w:vMerge w:val="continue"/>
          </w:tcPr>
          <w:p>
            <w:pPr>
              <w:spacing w:after="0"/>
              <w:rPr>
                <w:sz w:val="15"/>
                <w:szCs w:val="15"/>
                <w:color w:val="auto"/>
              </w:rPr>
            </w:pPr>
          </w:p>
        </w:tc>
        <w:tc>
          <w:tcPr>
            <w:tcW w:w="1720" w:type="dxa"/>
            <w:vAlign w:val="bottom"/>
            <w:tcBorders>
              <w:bottom w:val="single" w:sz="8" w:color="8C8272"/>
            </w:tcBorders>
          </w:tcPr>
          <w:p>
            <w:pPr>
              <w:jc w:val="center"/>
              <w:ind w:right="288"/>
              <w:spacing w:after="0"/>
              <w:rPr>
                <w:sz w:val="20"/>
                <w:szCs w:val="20"/>
                <w:color w:val="auto"/>
              </w:rPr>
            </w:pPr>
            <w:r>
              <w:rPr>
                <w:rFonts w:ascii="Arial" w:cs="Arial" w:eastAsia="Arial" w:hAnsi="Arial"/>
                <w:sz w:val="14"/>
                <w:szCs w:val="14"/>
                <w:b w:val="1"/>
                <w:bCs w:val="1"/>
                <w:color w:val="auto"/>
              </w:rPr>
              <w:t>customers</w:t>
            </w:r>
          </w:p>
        </w:tc>
        <w:tc>
          <w:tcPr>
            <w:tcW w:w="1200" w:type="dxa"/>
            <w:vAlign w:val="bottom"/>
            <w:tcBorders>
              <w:bottom w:val="single" w:sz="8" w:color="828282"/>
            </w:tcBorders>
          </w:tcPr>
          <w:p>
            <w:pPr>
              <w:jc w:val="right"/>
              <w:ind w:right="448"/>
              <w:spacing w:after="0"/>
              <w:rPr>
                <w:sz w:val="20"/>
                <w:szCs w:val="20"/>
                <w:color w:val="auto"/>
              </w:rPr>
            </w:pPr>
            <w:r>
              <w:rPr>
                <w:rFonts w:ascii="Arial" w:cs="Arial" w:eastAsia="Arial" w:hAnsi="Arial"/>
                <w:sz w:val="14"/>
                <w:szCs w:val="14"/>
                <w:b w:val="1"/>
                <w:bCs w:val="1"/>
                <w:color w:val="auto"/>
              </w:rPr>
              <w:t>(a)</w:t>
            </w:r>
          </w:p>
        </w:tc>
        <w:tc>
          <w:tcPr>
            <w:tcW w:w="1280" w:type="dxa"/>
            <w:vAlign w:val="bottom"/>
            <w:tcBorders>
              <w:bottom w:val="single" w:sz="8" w:color="8C8272"/>
            </w:tcBorders>
          </w:tcPr>
          <w:p>
            <w:pPr>
              <w:jc w:val="right"/>
              <w:ind w:right="268"/>
              <w:spacing w:after="0"/>
              <w:rPr>
                <w:sz w:val="20"/>
                <w:szCs w:val="20"/>
                <w:color w:val="auto"/>
              </w:rPr>
            </w:pPr>
            <w:r>
              <w:rPr>
                <w:rFonts w:ascii="Arial" w:cs="Arial" w:eastAsia="Arial" w:hAnsi="Arial"/>
                <w:sz w:val="14"/>
                <w:szCs w:val="14"/>
                <w:b w:val="1"/>
                <w:bCs w:val="1"/>
                <w:color w:val="auto"/>
              </w:rPr>
              <w:t>revenues</w:t>
            </w:r>
          </w:p>
        </w:tc>
        <w:tc>
          <w:tcPr>
            <w:tcW w:w="1700" w:type="dxa"/>
            <w:vAlign w:val="bottom"/>
            <w:tcBorders>
              <w:bottom w:val="single" w:sz="8" w:color="828282"/>
            </w:tcBorders>
          </w:tcPr>
          <w:p>
            <w:pPr>
              <w:jc w:val="center"/>
              <w:ind w:right="268"/>
              <w:spacing w:after="0"/>
              <w:rPr>
                <w:sz w:val="20"/>
                <w:szCs w:val="20"/>
                <w:color w:val="auto"/>
              </w:rPr>
            </w:pPr>
            <w:r>
              <w:rPr>
                <w:rFonts w:ascii="Arial" w:cs="Arial" w:eastAsia="Arial" w:hAnsi="Arial"/>
                <w:sz w:val="14"/>
                <w:szCs w:val="14"/>
                <w:b w:val="1"/>
                <w:bCs w:val="1"/>
                <w:color w:val="auto"/>
              </w:rPr>
              <w:t>customers</w:t>
            </w:r>
          </w:p>
        </w:tc>
        <w:tc>
          <w:tcPr>
            <w:tcW w:w="1300" w:type="dxa"/>
            <w:vAlign w:val="bottom"/>
            <w:tcBorders>
              <w:bottom w:val="single" w:sz="8" w:color="828282"/>
            </w:tcBorders>
          </w:tcPr>
          <w:p>
            <w:pPr>
              <w:jc w:val="right"/>
              <w:ind w:right="508"/>
              <w:spacing w:after="0"/>
              <w:rPr>
                <w:sz w:val="20"/>
                <w:szCs w:val="20"/>
                <w:color w:val="auto"/>
              </w:rPr>
            </w:pPr>
            <w:r>
              <w:rPr>
                <w:rFonts w:ascii="Arial" w:cs="Arial" w:eastAsia="Arial" w:hAnsi="Arial"/>
                <w:sz w:val="14"/>
                <w:szCs w:val="14"/>
                <w:b w:val="1"/>
                <w:bCs w:val="1"/>
                <w:color w:val="auto"/>
              </w:rPr>
              <w:t>(a)</w:t>
            </w:r>
          </w:p>
        </w:tc>
        <w:tc>
          <w:tcPr>
            <w:tcW w:w="1280" w:type="dxa"/>
            <w:vAlign w:val="bottom"/>
            <w:tcBorders>
              <w:bottom w:val="single" w:sz="8" w:color="828282"/>
            </w:tcBorders>
          </w:tcPr>
          <w:p>
            <w:pPr>
              <w:jc w:val="right"/>
              <w:ind w:right="288"/>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27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CECONY</w:t>
            </w:r>
          </w:p>
        </w:tc>
        <w:tc>
          <w:tcPr>
            <w:tcW w:w="1720" w:type="dxa"/>
            <w:vAlign w:val="bottom"/>
            <w:shd w:val="clear" w:color="auto" w:fill="E5E5E5"/>
          </w:tcPr>
          <w:p>
            <w:pPr>
              <w:spacing w:after="0"/>
              <w:rPr>
                <w:sz w:val="17"/>
                <w:szCs w:val="17"/>
                <w:color w:val="auto"/>
              </w:rPr>
            </w:pPr>
          </w:p>
        </w:tc>
        <w:tc>
          <w:tcPr>
            <w:tcW w:w="1200" w:type="dxa"/>
            <w:vAlign w:val="bottom"/>
            <w:shd w:val="clear" w:color="auto" w:fill="E5E5E5"/>
          </w:tcPr>
          <w:p>
            <w:pPr>
              <w:spacing w:after="0"/>
              <w:rPr>
                <w:sz w:val="17"/>
                <w:szCs w:val="17"/>
                <w:color w:val="auto"/>
              </w:rPr>
            </w:pPr>
          </w:p>
        </w:tc>
        <w:tc>
          <w:tcPr>
            <w:tcW w:w="1280" w:type="dxa"/>
            <w:vAlign w:val="bottom"/>
            <w:shd w:val="clear" w:color="auto" w:fill="E5E5E5"/>
          </w:tcPr>
          <w:p>
            <w:pPr>
              <w:spacing w:after="0"/>
              <w:rPr>
                <w:sz w:val="17"/>
                <w:szCs w:val="17"/>
                <w:color w:val="auto"/>
              </w:rPr>
            </w:pPr>
          </w:p>
        </w:tc>
        <w:tc>
          <w:tcPr>
            <w:tcW w:w="1700" w:type="dxa"/>
            <w:vAlign w:val="bottom"/>
            <w:shd w:val="clear" w:color="auto" w:fill="E5E5E5"/>
          </w:tcPr>
          <w:p>
            <w:pPr>
              <w:spacing w:after="0"/>
              <w:rPr>
                <w:sz w:val="17"/>
                <w:szCs w:val="17"/>
                <w:color w:val="auto"/>
              </w:rPr>
            </w:pPr>
          </w:p>
        </w:tc>
        <w:tc>
          <w:tcPr>
            <w:tcW w:w="1300" w:type="dxa"/>
            <w:vAlign w:val="bottom"/>
            <w:shd w:val="clear" w:color="auto" w:fill="E5E5E5"/>
          </w:tcPr>
          <w:p>
            <w:pPr>
              <w:spacing w:after="0"/>
              <w:rPr>
                <w:sz w:val="17"/>
                <w:szCs w:val="17"/>
                <w:color w:val="auto"/>
              </w:rPr>
            </w:pPr>
          </w:p>
        </w:tc>
        <w:tc>
          <w:tcPr>
            <w:tcW w:w="12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140"/>
              <w:spacing w:after="0"/>
              <w:rPr>
                <w:sz w:val="20"/>
                <w:szCs w:val="20"/>
                <w:color w:val="auto"/>
              </w:rPr>
            </w:pPr>
            <w:r>
              <w:rPr>
                <w:rFonts w:ascii="Arial" w:cs="Arial" w:eastAsia="Arial" w:hAnsi="Arial"/>
                <w:sz w:val="14"/>
                <w:szCs w:val="14"/>
                <w:color w:val="auto"/>
              </w:rPr>
              <w:t>Electric</w:t>
            </w:r>
          </w:p>
        </w:tc>
        <w:tc>
          <w:tcPr>
            <w:tcW w:w="1720" w:type="dxa"/>
            <w:vAlign w:val="bottom"/>
          </w:tcPr>
          <w:p>
            <w:pPr>
              <w:jc w:val="right"/>
              <w:ind w:right="308"/>
              <w:spacing w:after="0"/>
              <w:rPr>
                <w:sz w:val="20"/>
                <w:szCs w:val="20"/>
                <w:color w:val="auto"/>
              </w:rPr>
            </w:pPr>
            <w:r>
              <w:rPr>
                <w:rFonts w:ascii="Arial" w:cs="Arial" w:eastAsia="Arial" w:hAnsi="Arial"/>
                <w:sz w:val="14"/>
                <w:szCs w:val="14"/>
                <w:color w:val="auto"/>
              </w:rPr>
              <w:t>$1,953</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1280" w:type="dxa"/>
            <w:vAlign w:val="bottom"/>
          </w:tcPr>
          <w:p>
            <w:pPr>
              <w:jc w:val="right"/>
              <w:spacing w:after="0"/>
              <w:rPr>
                <w:sz w:val="20"/>
                <w:szCs w:val="20"/>
                <w:color w:val="auto"/>
              </w:rPr>
            </w:pPr>
            <w:r>
              <w:rPr>
                <w:rFonts w:ascii="Arial" w:cs="Arial" w:eastAsia="Arial" w:hAnsi="Arial"/>
                <w:sz w:val="14"/>
                <w:szCs w:val="14"/>
                <w:color w:val="auto"/>
              </w:rPr>
              <w:t>$1,963</w:t>
            </w:r>
          </w:p>
        </w:tc>
        <w:tc>
          <w:tcPr>
            <w:tcW w:w="1700" w:type="dxa"/>
            <w:vAlign w:val="bottom"/>
          </w:tcPr>
          <w:p>
            <w:pPr>
              <w:jc w:val="right"/>
              <w:ind w:right="288"/>
              <w:spacing w:after="0"/>
              <w:rPr>
                <w:sz w:val="20"/>
                <w:szCs w:val="20"/>
                <w:color w:val="auto"/>
              </w:rPr>
            </w:pPr>
            <w:r>
              <w:rPr>
                <w:rFonts w:ascii="Arial" w:cs="Arial" w:eastAsia="Arial" w:hAnsi="Arial"/>
                <w:sz w:val="14"/>
                <w:szCs w:val="14"/>
                <w:color w:val="auto"/>
              </w:rPr>
              <w:t>$1,781</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1280" w:type="dxa"/>
            <w:vAlign w:val="bottom"/>
          </w:tcPr>
          <w:p>
            <w:pPr>
              <w:jc w:val="right"/>
              <w:spacing w:after="0"/>
              <w:rPr>
                <w:sz w:val="20"/>
                <w:szCs w:val="20"/>
                <w:color w:val="auto"/>
              </w:rPr>
            </w:pPr>
            <w:r>
              <w:rPr>
                <w:rFonts w:ascii="Arial" w:cs="Arial" w:eastAsia="Arial" w:hAnsi="Arial"/>
                <w:sz w:val="14"/>
                <w:szCs w:val="14"/>
                <w:color w:val="auto"/>
              </w:rPr>
              <w:t>$1,845</w:t>
            </w:r>
          </w:p>
        </w:tc>
        <w:tc>
          <w:tcPr>
            <w:tcW w:w="0" w:type="dxa"/>
            <w:vAlign w:val="bottom"/>
          </w:tcPr>
          <w:p>
            <w:pPr>
              <w:spacing w:after="0"/>
              <w:rPr>
                <w:sz w:val="1"/>
                <w:szCs w:val="1"/>
                <w:color w:val="auto"/>
              </w:rPr>
            </w:pPr>
          </w:p>
        </w:tc>
      </w:tr>
      <w:tr>
        <w:trPr>
          <w:trHeight w:val="216"/>
        </w:trPr>
        <w:tc>
          <w:tcPr>
            <w:tcW w:w="27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Gas</w:t>
            </w:r>
          </w:p>
        </w:tc>
        <w:tc>
          <w:tcPr>
            <w:tcW w:w="172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447</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449</w:t>
            </w:r>
          </w:p>
        </w:tc>
        <w:tc>
          <w:tcPr>
            <w:tcW w:w="17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399</w:t>
            </w:r>
          </w:p>
        </w:tc>
        <w:tc>
          <w:tcPr>
            <w:tcW w:w="13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17</w:t>
            </w:r>
          </w:p>
        </w:tc>
        <w:tc>
          <w:tcPr>
            <w:tcW w:w="1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89"/>
        </w:trPr>
        <w:tc>
          <w:tcPr>
            <w:tcW w:w="2700" w:type="dxa"/>
            <w:vAlign w:val="bottom"/>
            <w:tcBorders>
              <w:bottom w:val="single" w:sz="8" w:color="828282"/>
            </w:tcBorders>
          </w:tcPr>
          <w:p>
            <w:pPr>
              <w:ind w:left="140"/>
              <w:spacing w:after="0"/>
              <w:rPr>
                <w:sz w:val="20"/>
                <w:szCs w:val="20"/>
                <w:color w:val="auto"/>
              </w:rPr>
            </w:pPr>
            <w:r>
              <w:rPr>
                <w:rFonts w:ascii="Arial" w:cs="Arial" w:eastAsia="Arial" w:hAnsi="Arial"/>
                <w:sz w:val="14"/>
                <w:szCs w:val="14"/>
                <w:color w:val="auto"/>
              </w:rPr>
              <w:t>Steam</w:t>
            </w:r>
          </w:p>
        </w:tc>
        <w:tc>
          <w:tcPr>
            <w:tcW w:w="1720" w:type="dxa"/>
            <w:vAlign w:val="bottom"/>
            <w:tcBorders>
              <w:bottom w:val="single" w:sz="8" w:color="828282"/>
            </w:tcBorders>
          </w:tcPr>
          <w:p>
            <w:pPr>
              <w:jc w:val="right"/>
              <w:ind w:right="308"/>
              <w:spacing w:after="0"/>
              <w:rPr>
                <w:sz w:val="20"/>
                <w:szCs w:val="20"/>
                <w:color w:val="auto"/>
              </w:rPr>
            </w:pPr>
            <w:r>
              <w:rPr>
                <w:rFonts w:ascii="Arial" w:cs="Arial" w:eastAsia="Arial" w:hAnsi="Arial"/>
                <w:sz w:val="14"/>
                <w:szCs w:val="14"/>
                <w:color w:val="auto"/>
              </w:rPr>
              <w:t>71</w:t>
            </w:r>
          </w:p>
        </w:tc>
        <w:tc>
          <w:tcPr>
            <w:tcW w:w="120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3</w:t>
            </w:r>
          </w:p>
        </w:tc>
        <w:tc>
          <w:tcPr>
            <w:tcW w:w="128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74</w:t>
            </w:r>
          </w:p>
        </w:tc>
        <w:tc>
          <w:tcPr>
            <w:tcW w:w="1700" w:type="dxa"/>
            <w:vAlign w:val="bottom"/>
            <w:tcBorders>
              <w:bottom w:val="single" w:sz="8" w:color="828282"/>
            </w:tcBorders>
          </w:tcPr>
          <w:p>
            <w:pPr>
              <w:jc w:val="right"/>
              <w:ind w:right="288"/>
              <w:spacing w:after="0"/>
              <w:rPr>
                <w:sz w:val="20"/>
                <w:szCs w:val="20"/>
                <w:color w:val="auto"/>
              </w:rPr>
            </w:pPr>
            <w:r>
              <w:rPr>
                <w:rFonts w:ascii="Arial" w:cs="Arial" w:eastAsia="Arial" w:hAnsi="Arial"/>
                <w:sz w:val="14"/>
                <w:szCs w:val="14"/>
                <w:color w:val="auto"/>
              </w:rPr>
              <w:t>81</w:t>
            </w:r>
          </w:p>
        </w:tc>
        <w:tc>
          <w:tcPr>
            <w:tcW w:w="1300" w:type="dxa"/>
            <w:vAlign w:val="bottom"/>
            <w:tcBorders>
              <w:bottom w:val="single" w:sz="8" w:color="828282"/>
            </w:tcBorders>
          </w:tcPr>
          <w:p>
            <w:pPr>
              <w:jc w:val="right"/>
              <w:ind w:right="8"/>
              <w:spacing w:after="0"/>
              <w:rPr>
                <w:sz w:val="20"/>
                <w:szCs w:val="20"/>
                <w:color w:val="auto"/>
              </w:rPr>
            </w:pPr>
            <w:r>
              <w:rPr>
                <w:rFonts w:ascii="Arial" w:cs="Arial" w:eastAsia="Arial" w:hAnsi="Arial"/>
                <w:sz w:val="14"/>
                <w:szCs w:val="14"/>
                <w:color w:val="auto"/>
              </w:rPr>
              <w:t>3</w:t>
            </w:r>
          </w:p>
        </w:tc>
        <w:tc>
          <w:tcPr>
            <w:tcW w:w="128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3"/>
        </w:trPr>
        <w:tc>
          <w:tcPr>
            <w:tcW w:w="2700" w:type="dxa"/>
            <w:vAlign w:val="bottom"/>
            <w:tcBorders>
              <w:bottom w:val="single" w:sz="8" w:color="828282"/>
            </w:tcBorders>
            <w:shd w:val="clear" w:color="auto" w:fill="E5E5E5"/>
          </w:tcPr>
          <w:p>
            <w:pPr>
              <w:ind w:left="20"/>
              <w:spacing w:after="0"/>
              <w:rPr>
                <w:sz w:val="20"/>
                <w:szCs w:val="20"/>
                <w:color w:val="auto"/>
              </w:rPr>
            </w:pPr>
            <w:r>
              <w:rPr>
                <w:rFonts w:ascii="Arial" w:cs="Arial" w:eastAsia="Arial" w:hAnsi="Arial"/>
                <w:sz w:val="14"/>
                <w:szCs w:val="14"/>
                <w:color w:val="auto"/>
              </w:rPr>
              <w:t>Total CECONY</w:t>
            </w:r>
          </w:p>
        </w:tc>
        <w:tc>
          <w:tcPr>
            <w:tcW w:w="1720" w:type="dxa"/>
            <w:vAlign w:val="bottom"/>
            <w:tcBorders>
              <w:bottom w:val="single" w:sz="8" w:color="828282"/>
            </w:tcBorders>
            <w:shd w:val="clear" w:color="auto" w:fill="E5E5E5"/>
          </w:tcPr>
          <w:p>
            <w:pPr>
              <w:jc w:val="right"/>
              <w:ind w:right="308"/>
              <w:spacing w:after="0"/>
              <w:rPr>
                <w:sz w:val="20"/>
                <w:szCs w:val="20"/>
                <w:color w:val="auto"/>
              </w:rPr>
            </w:pPr>
            <w:r>
              <w:rPr>
                <w:rFonts w:ascii="Arial" w:cs="Arial" w:eastAsia="Arial" w:hAnsi="Arial"/>
                <w:sz w:val="14"/>
                <w:szCs w:val="14"/>
                <w:color w:val="auto"/>
              </w:rPr>
              <w:t>$2,471</w:t>
            </w:r>
          </w:p>
        </w:tc>
        <w:tc>
          <w:tcPr>
            <w:tcW w:w="120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$15</w:t>
            </w:r>
          </w:p>
        </w:tc>
        <w:tc>
          <w:tcPr>
            <w:tcW w:w="128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$2,486</w:t>
            </w:r>
          </w:p>
        </w:tc>
        <w:tc>
          <w:tcPr>
            <w:tcW w:w="1700" w:type="dxa"/>
            <w:vAlign w:val="bottom"/>
            <w:tcBorders>
              <w:bottom w:val="single" w:sz="8" w:color="828282"/>
            </w:tcBorders>
            <w:shd w:val="clear" w:color="auto" w:fill="E5E5E5"/>
          </w:tcPr>
          <w:p>
            <w:pPr>
              <w:jc w:val="right"/>
              <w:ind w:right="288"/>
              <w:spacing w:after="0"/>
              <w:rPr>
                <w:sz w:val="20"/>
                <w:szCs w:val="20"/>
                <w:color w:val="auto"/>
              </w:rPr>
            </w:pPr>
            <w:r>
              <w:rPr>
                <w:rFonts w:ascii="Arial" w:cs="Arial" w:eastAsia="Arial" w:hAnsi="Arial"/>
                <w:sz w:val="14"/>
                <w:szCs w:val="14"/>
                <w:color w:val="auto"/>
              </w:rPr>
              <w:t>$2,261</w:t>
            </w:r>
          </w:p>
        </w:tc>
        <w:tc>
          <w:tcPr>
            <w:tcW w:w="1300" w:type="dxa"/>
            <w:vAlign w:val="bottom"/>
            <w:tcBorders>
              <w:bottom w:val="single" w:sz="8" w:color="828282"/>
            </w:tcBorders>
            <w:shd w:val="clear" w:color="auto" w:fill="E5E5E5"/>
          </w:tcPr>
          <w:p>
            <w:pPr>
              <w:jc w:val="right"/>
              <w:ind w:right="8"/>
              <w:spacing w:after="0"/>
              <w:rPr>
                <w:sz w:val="20"/>
                <w:szCs w:val="20"/>
                <w:color w:val="auto"/>
              </w:rPr>
            </w:pPr>
            <w:r>
              <w:rPr>
                <w:rFonts w:ascii="Arial" w:cs="Arial" w:eastAsia="Arial" w:hAnsi="Arial"/>
                <w:sz w:val="14"/>
                <w:szCs w:val="14"/>
                <w:color w:val="auto"/>
              </w:rPr>
              <w:t>$84</w:t>
            </w:r>
          </w:p>
        </w:tc>
        <w:tc>
          <w:tcPr>
            <w:tcW w:w="128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$2,345</w:t>
            </w:r>
          </w:p>
        </w:tc>
        <w:tc>
          <w:tcPr>
            <w:tcW w:w="0" w:type="dxa"/>
            <w:vAlign w:val="bottom"/>
          </w:tcPr>
          <w:p>
            <w:pPr>
              <w:spacing w:after="0"/>
              <w:rPr>
                <w:sz w:val="1"/>
                <w:szCs w:val="1"/>
                <w:color w:val="auto"/>
              </w:rPr>
            </w:pPr>
          </w:p>
        </w:tc>
      </w:tr>
      <w:tr>
        <w:trPr>
          <w:trHeight w:val="183"/>
        </w:trPr>
        <w:tc>
          <w:tcPr>
            <w:tcW w:w="2700" w:type="dxa"/>
            <w:vAlign w:val="bottom"/>
          </w:tcPr>
          <w:p>
            <w:pPr>
              <w:ind w:left="20"/>
              <w:spacing w:after="0"/>
              <w:rPr>
                <w:sz w:val="20"/>
                <w:szCs w:val="20"/>
                <w:color w:val="auto"/>
              </w:rPr>
            </w:pPr>
            <w:r>
              <w:rPr>
                <w:rFonts w:ascii="Arial" w:cs="Arial" w:eastAsia="Arial" w:hAnsi="Arial"/>
                <w:sz w:val="14"/>
                <w:szCs w:val="14"/>
                <w:color w:val="auto"/>
              </w:rPr>
              <w:t>O&amp;R</w:t>
            </w:r>
          </w:p>
        </w:tc>
        <w:tc>
          <w:tcPr>
            <w:tcW w:w="1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Electric</w:t>
            </w:r>
          </w:p>
        </w:tc>
        <w:tc>
          <w:tcPr>
            <w:tcW w:w="172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161</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w:t>
            </w:r>
          </w:p>
        </w:tc>
        <w:tc>
          <w:tcPr>
            <w:tcW w:w="1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153</w:t>
            </w:r>
          </w:p>
        </w:tc>
        <w:tc>
          <w:tcPr>
            <w:tcW w:w="17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139</w:t>
            </w:r>
          </w:p>
        </w:tc>
        <w:tc>
          <w:tcPr>
            <w:tcW w:w="13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w:t>
            </w:r>
          </w:p>
        </w:tc>
        <w:tc>
          <w:tcPr>
            <w:tcW w:w="1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9"/>
        </w:trPr>
        <w:tc>
          <w:tcPr>
            <w:tcW w:w="2700" w:type="dxa"/>
            <w:vAlign w:val="bottom"/>
            <w:tcBorders>
              <w:bottom w:val="single" w:sz="8" w:color="828282"/>
            </w:tcBorders>
          </w:tcPr>
          <w:p>
            <w:pPr>
              <w:ind w:left="140"/>
              <w:spacing w:after="0"/>
              <w:rPr>
                <w:sz w:val="20"/>
                <w:szCs w:val="20"/>
                <w:color w:val="auto"/>
              </w:rPr>
            </w:pPr>
            <w:r>
              <w:rPr>
                <w:rFonts w:ascii="Arial" w:cs="Arial" w:eastAsia="Arial" w:hAnsi="Arial"/>
                <w:sz w:val="14"/>
                <w:szCs w:val="14"/>
                <w:color w:val="auto"/>
              </w:rPr>
              <w:t>Gas</w:t>
            </w:r>
          </w:p>
        </w:tc>
        <w:tc>
          <w:tcPr>
            <w:tcW w:w="1720" w:type="dxa"/>
            <w:vAlign w:val="bottom"/>
            <w:tcBorders>
              <w:bottom w:val="single" w:sz="8" w:color="828282"/>
            </w:tcBorders>
          </w:tcPr>
          <w:p>
            <w:pPr>
              <w:jc w:val="right"/>
              <w:ind w:right="308"/>
              <w:spacing w:after="0"/>
              <w:rPr>
                <w:sz w:val="20"/>
                <w:szCs w:val="20"/>
                <w:color w:val="auto"/>
              </w:rPr>
            </w:pPr>
            <w:r>
              <w:rPr>
                <w:rFonts w:ascii="Arial" w:cs="Arial" w:eastAsia="Arial" w:hAnsi="Arial"/>
                <w:sz w:val="14"/>
                <w:szCs w:val="14"/>
                <w:color w:val="auto"/>
              </w:rPr>
              <w:t>44</w:t>
            </w:r>
          </w:p>
        </w:tc>
        <w:tc>
          <w:tcPr>
            <w:tcW w:w="120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(3)</w:t>
            </w:r>
          </w:p>
        </w:tc>
        <w:tc>
          <w:tcPr>
            <w:tcW w:w="128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41</w:t>
            </w:r>
          </w:p>
        </w:tc>
        <w:tc>
          <w:tcPr>
            <w:tcW w:w="1700" w:type="dxa"/>
            <w:vAlign w:val="bottom"/>
            <w:tcBorders>
              <w:bottom w:val="single" w:sz="8" w:color="828282"/>
            </w:tcBorders>
          </w:tcPr>
          <w:p>
            <w:pPr>
              <w:jc w:val="right"/>
              <w:ind w:right="288"/>
              <w:spacing w:after="0"/>
              <w:rPr>
                <w:sz w:val="20"/>
                <w:szCs w:val="20"/>
                <w:color w:val="auto"/>
              </w:rPr>
            </w:pPr>
            <w:r>
              <w:rPr>
                <w:rFonts w:ascii="Arial" w:cs="Arial" w:eastAsia="Arial" w:hAnsi="Arial"/>
                <w:sz w:val="14"/>
                <w:szCs w:val="14"/>
                <w:color w:val="auto"/>
              </w:rPr>
              <w:t>37</w:t>
            </w:r>
          </w:p>
        </w:tc>
        <w:tc>
          <w:tcPr>
            <w:tcW w:w="1300" w:type="dxa"/>
            <w:vAlign w:val="bottom"/>
            <w:tcBorders>
              <w:bottom w:val="single" w:sz="8" w:color="828282"/>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3"/>
        </w:trPr>
        <w:tc>
          <w:tcPr>
            <w:tcW w:w="2700" w:type="dxa"/>
            <w:vAlign w:val="bottom"/>
            <w:tcBorders>
              <w:bottom w:val="single" w:sz="8" w:color="828282"/>
            </w:tcBorders>
            <w:shd w:val="clear" w:color="auto" w:fill="E5E5E5"/>
          </w:tcPr>
          <w:p>
            <w:pPr>
              <w:ind w:left="20"/>
              <w:spacing w:after="0"/>
              <w:rPr>
                <w:sz w:val="20"/>
                <w:szCs w:val="20"/>
                <w:color w:val="auto"/>
              </w:rPr>
            </w:pPr>
            <w:r>
              <w:rPr>
                <w:rFonts w:ascii="Arial" w:cs="Arial" w:eastAsia="Arial" w:hAnsi="Arial"/>
                <w:sz w:val="14"/>
                <w:szCs w:val="14"/>
                <w:color w:val="auto"/>
              </w:rPr>
              <w:t>Total O&amp;R</w:t>
            </w:r>
          </w:p>
        </w:tc>
        <w:tc>
          <w:tcPr>
            <w:tcW w:w="1720" w:type="dxa"/>
            <w:vAlign w:val="bottom"/>
            <w:tcBorders>
              <w:bottom w:val="single" w:sz="8" w:color="828282"/>
            </w:tcBorders>
            <w:shd w:val="clear" w:color="auto" w:fill="E5E5E5"/>
          </w:tcPr>
          <w:p>
            <w:pPr>
              <w:jc w:val="right"/>
              <w:ind w:right="308"/>
              <w:spacing w:after="0"/>
              <w:rPr>
                <w:sz w:val="20"/>
                <w:szCs w:val="20"/>
                <w:color w:val="auto"/>
              </w:rPr>
            </w:pPr>
            <w:r>
              <w:rPr>
                <w:rFonts w:ascii="Arial" w:cs="Arial" w:eastAsia="Arial" w:hAnsi="Arial"/>
                <w:sz w:val="14"/>
                <w:szCs w:val="14"/>
                <w:color w:val="auto"/>
              </w:rPr>
              <w:t>$205</w:t>
            </w:r>
          </w:p>
        </w:tc>
        <w:tc>
          <w:tcPr>
            <w:tcW w:w="120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28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$194</w:t>
            </w:r>
          </w:p>
        </w:tc>
        <w:tc>
          <w:tcPr>
            <w:tcW w:w="1700" w:type="dxa"/>
            <w:vAlign w:val="bottom"/>
            <w:tcBorders>
              <w:bottom w:val="single" w:sz="8" w:color="828282"/>
            </w:tcBorders>
            <w:shd w:val="clear" w:color="auto" w:fill="E5E5E5"/>
          </w:tcPr>
          <w:p>
            <w:pPr>
              <w:jc w:val="right"/>
              <w:ind w:right="288"/>
              <w:spacing w:after="0"/>
              <w:rPr>
                <w:sz w:val="20"/>
                <w:szCs w:val="20"/>
                <w:color w:val="auto"/>
              </w:rPr>
            </w:pPr>
            <w:r>
              <w:rPr>
                <w:rFonts w:ascii="Arial" w:cs="Arial" w:eastAsia="Arial" w:hAnsi="Arial"/>
                <w:sz w:val="14"/>
                <w:szCs w:val="14"/>
                <w:color w:val="auto"/>
              </w:rPr>
              <w:t>$176</w:t>
            </w:r>
          </w:p>
        </w:tc>
        <w:tc>
          <w:tcPr>
            <w:tcW w:w="1300" w:type="dxa"/>
            <w:vAlign w:val="bottom"/>
            <w:tcBorders>
              <w:bottom w:val="single" w:sz="8" w:color="828282"/>
            </w:tcBorders>
            <w:shd w:val="clear" w:color="auto" w:fill="E5E5E5"/>
          </w:tcPr>
          <w:p>
            <w:pPr>
              <w:jc w:val="right"/>
              <w:ind w:right="8"/>
              <w:spacing w:after="0"/>
              <w:rPr>
                <w:sz w:val="20"/>
                <w:szCs w:val="20"/>
                <w:color w:val="auto"/>
              </w:rPr>
            </w:pPr>
            <w:r>
              <w:rPr>
                <w:rFonts w:ascii="Arial" w:cs="Arial" w:eastAsia="Arial" w:hAnsi="Arial"/>
                <w:sz w:val="14"/>
                <w:szCs w:val="14"/>
                <w:color w:val="auto"/>
              </w:rPr>
              <w:t>($1)</w:t>
            </w:r>
          </w:p>
        </w:tc>
        <w:tc>
          <w:tcPr>
            <w:tcW w:w="128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3"/>
        </w:trPr>
        <w:tc>
          <w:tcPr>
            <w:tcW w:w="2700" w:type="dxa"/>
            <w:vAlign w:val="bottom"/>
          </w:tcPr>
          <w:p>
            <w:pPr>
              <w:ind w:left="20"/>
              <w:spacing w:after="0"/>
              <w:rPr>
                <w:sz w:val="20"/>
                <w:szCs w:val="20"/>
                <w:color w:val="auto"/>
              </w:rPr>
            </w:pPr>
            <w:r>
              <w:rPr>
                <w:rFonts w:ascii="Arial" w:cs="Arial" w:eastAsia="Arial" w:hAnsi="Arial"/>
                <w:sz w:val="14"/>
                <w:szCs w:val="14"/>
                <w:color w:val="auto"/>
              </w:rPr>
              <w:t>Clean Energy Businesses</w:t>
            </w:r>
          </w:p>
        </w:tc>
        <w:tc>
          <w:tcPr>
            <w:tcW w:w="1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Renewables</w:t>
            </w:r>
          </w:p>
        </w:tc>
        <w:tc>
          <w:tcPr>
            <w:tcW w:w="172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192</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192</w:t>
            </w:r>
          </w:p>
        </w:tc>
        <w:tc>
          <w:tcPr>
            <w:tcW w:w="17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178</w:t>
            </w:r>
          </w:p>
        </w:tc>
        <w:tc>
          <w:tcPr>
            <w:tcW w:w="13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9"/>
        </w:trPr>
        <w:tc>
          <w:tcPr>
            <w:tcW w:w="2700" w:type="dxa"/>
            <w:vAlign w:val="bottom"/>
          </w:tcPr>
          <w:p>
            <w:pPr>
              <w:ind w:left="140"/>
              <w:spacing w:after="0"/>
              <w:rPr>
                <w:sz w:val="20"/>
                <w:szCs w:val="20"/>
                <w:color w:val="auto"/>
              </w:rPr>
            </w:pPr>
            <w:r>
              <w:rPr>
                <w:rFonts w:ascii="Arial" w:cs="Arial" w:eastAsia="Arial" w:hAnsi="Arial"/>
                <w:sz w:val="14"/>
                <w:szCs w:val="14"/>
                <w:color w:val="auto"/>
              </w:rPr>
              <w:t>Energy services</w:t>
            </w:r>
          </w:p>
        </w:tc>
        <w:tc>
          <w:tcPr>
            <w:tcW w:w="1720" w:type="dxa"/>
            <w:vAlign w:val="bottom"/>
          </w:tcPr>
          <w:p>
            <w:pPr>
              <w:jc w:val="right"/>
              <w:ind w:right="308"/>
              <w:spacing w:after="0"/>
              <w:rPr>
                <w:sz w:val="20"/>
                <w:szCs w:val="20"/>
                <w:color w:val="auto"/>
              </w:rPr>
            </w:pPr>
            <w:r>
              <w:rPr>
                <w:rFonts w:ascii="Arial" w:cs="Arial" w:eastAsia="Arial" w:hAnsi="Arial"/>
                <w:sz w:val="14"/>
                <w:szCs w:val="14"/>
                <w:color w:val="auto"/>
              </w:rPr>
              <w:t>81</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81</w:t>
            </w:r>
          </w:p>
        </w:tc>
        <w:tc>
          <w:tcPr>
            <w:tcW w:w="1700" w:type="dxa"/>
            <w:vAlign w:val="bottom"/>
          </w:tcPr>
          <w:p>
            <w:pPr>
              <w:jc w:val="right"/>
              <w:ind w:right="288"/>
              <w:spacing w:after="0"/>
              <w:rPr>
                <w:sz w:val="20"/>
                <w:szCs w:val="20"/>
                <w:color w:val="auto"/>
              </w:rPr>
            </w:pPr>
            <w:r>
              <w:rPr>
                <w:rFonts w:ascii="Arial" w:cs="Arial" w:eastAsia="Arial" w:hAnsi="Arial"/>
                <w:sz w:val="14"/>
                <w:szCs w:val="14"/>
                <w:color w:val="auto"/>
              </w:rPr>
              <w:t>11</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2700" w:type="dxa"/>
            <w:vAlign w:val="bottom"/>
            <w:tcBorders>
              <w:bottom w:val="single" w:sz="8" w:color="828282"/>
            </w:tcBorders>
            <w:shd w:val="clear" w:color="auto" w:fill="E5E5E5"/>
          </w:tcPr>
          <w:p>
            <w:pPr>
              <w:ind w:left="140"/>
              <w:spacing w:after="0"/>
              <w:rPr>
                <w:sz w:val="20"/>
                <w:szCs w:val="20"/>
                <w:color w:val="auto"/>
              </w:rPr>
            </w:pPr>
            <w:r>
              <w:rPr>
                <w:rFonts w:ascii="Arial" w:cs="Arial" w:eastAsia="Arial" w:hAnsi="Arial"/>
                <w:sz w:val="14"/>
                <w:szCs w:val="14"/>
                <w:color w:val="auto"/>
              </w:rPr>
              <w:t>Other</w:t>
            </w:r>
          </w:p>
        </w:tc>
        <w:tc>
          <w:tcPr>
            <w:tcW w:w="1720" w:type="dxa"/>
            <w:vAlign w:val="bottom"/>
            <w:tcBorders>
              <w:bottom w:val="single" w:sz="8" w:color="auto"/>
            </w:tcBorders>
            <w:shd w:val="clear" w:color="auto" w:fill="E5E5E5"/>
          </w:tcPr>
          <w:p>
            <w:pPr>
              <w:jc w:val="right"/>
              <w:ind w:right="3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w:t>
            </w:r>
          </w:p>
        </w:tc>
        <w:tc>
          <w:tcPr>
            <w:tcW w:w="1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w:t>
            </w:r>
          </w:p>
        </w:tc>
        <w:tc>
          <w:tcPr>
            <w:tcW w:w="1700" w:type="dxa"/>
            <w:vAlign w:val="bottom"/>
            <w:tcBorders>
              <w:bottom w:val="single" w:sz="8" w:color="auto"/>
            </w:tcBorders>
            <w:shd w:val="clear" w:color="auto" w:fill="E5E5E5"/>
          </w:tcPr>
          <w:p>
            <w:pPr>
              <w:jc w:val="right"/>
              <w:ind w:right="3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9</w:t>
            </w:r>
          </w:p>
        </w:tc>
        <w:tc>
          <w:tcPr>
            <w:tcW w:w="1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3"/>
        </w:trPr>
        <w:tc>
          <w:tcPr>
            <w:tcW w:w="2700" w:type="dxa"/>
            <w:vAlign w:val="bottom"/>
            <w:tcBorders>
              <w:bottom w:val="single" w:sz="8" w:color="828282"/>
            </w:tcBorders>
          </w:tcPr>
          <w:p>
            <w:pPr>
              <w:ind w:left="20"/>
              <w:spacing w:after="0"/>
              <w:rPr>
                <w:sz w:val="20"/>
                <w:szCs w:val="20"/>
                <w:color w:val="auto"/>
              </w:rPr>
            </w:pPr>
            <w:r>
              <w:rPr>
                <w:rFonts w:ascii="Arial" w:cs="Arial" w:eastAsia="Arial" w:hAnsi="Arial"/>
                <w:sz w:val="14"/>
                <w:szCs w:val="14"/>
                <w:color w:val="auto"/>
              </w:rPr>
              <w:t>Total Clean Energy Businesses</w:t>
            </w:r>
          </w:p>
        </w:tc>
        <w:tc>
          <w:tcPr>
            <w:tcW w:w="1720" w:type="dxa"/>
            <w:vAlign w:val="bottom"/>
            <w:tcBorders>
              <w:bottom w:val="single" w:sz="8" w:color="828282"/>
            </w:tcBorders>
          </w:tcPr>
          <w:p>
            <w:pPr>
              <w:jc w:val="right"/>
              <w:ind w:right="308"/>
              <w:spacing w:after="0"/>
              <w:rPr>
                <w:sz w:val="20"/>
                <w:szCs w:val="20"/>
                <w:color w:val="auto"/>
              </w:rPr>
            </w:pPr>
            <w:r>
              <w:rPr>
                <w:rFonts w:ascii="Arial" w:cs="Arial" w:eastAsia="Arial" w:hAnsi="Arial"/>
                <w:sz w:val="14"/>
                <w:szCs w:val="14"/>
                <w:color w:val="auto"/>
              </w:rPr>
              <w:t>$273</w:t>
            </w:r>
          </w:p>
        </w:tc>
        <w:tc>
          <w:tcPr>
            <w:tcW w:w="120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$18</w:t>
            </w:r>
          </w:p>
        </w:tc>
        <w:tc>
          <w:tcPr>
            <w:tcW w:w="128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$291</w:t>
            </w:r>
          </w:p>
        </w:tc>
        <w:tc>
          <w:tcPr>
            <w:tcW w:w="1700" w:type="dxa"/>
            <w:vAlign w:val="bottom"/>
            <w:tcBorders>
              <w:bottom w:val="single" w:sz="8" w:color="828282"/>
            </w:tcBorders>
          </w:tcPr>
          <w:p>
            <w:pPr>
              <w:jc w:val="right"/>
              <w:ind w:right="288"/>
              <w:spacing w:after="0"/>
              <w:rPr>
                <w:sz w:val="20"/>
                <w:szCs w:val="20"/>
                <w:color w:val="auto"/>
              </w:rPr>
            </w:pPr>
            <w:r>
              <w:rPr>
                <w:rFonts w:ascii="Arial" w:cs="Arial" w:eastAsia="Arial" w:hAnsi="Arial"/>
                <w:sz w:val="14"/>
                <w:szCs w:val="14"/>
                <w:color w:val="auto"/>
              </w:rPr>
              <w:t>$189</w:t>
            </w:r>
          </w:p>
        </w:tc>
        <w:tc>
          <w:tcPr>
            <w:tcW w:w="1300" w:type="dxa"/>
            <w:vAlign w:val="bottom"/>
            <w:tcBorders>
              <w:bottom w:val="single" w:sz="8" w:color="828282"/>
            </w:tcBorders>
          </w:tcPr>
          <w:p>
            <w:pPr>
              <w:jc w:val="right"/>
              <w:ind w:right="8"/>
              <w:spacing w:after="0"/>
              <w:rPr>
                <w:sz w:val="20"/>
                <w:szCs w:val="20"/>
                <w:color w:val="auto"/>
              </w:rPr>
            </w:pPr>
            <w:r>
              <w:rPr>
                <w:rFonts w:ascii="Arial" w:cs="Arial" w:eastAsia="Arial" w:hAnsi="Arial"/>
                <w:sz w:val="14"/>
                <w:szCs w:val="14"/>
                <w:color w:val="auto"/>
              </w:rPr>
              <w:t>$9</w:t>
            </w:r>
          </w:p>
        </w:tc>
        <w:tc>
          <w:tcPr>
            <w:tcW w:w="128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96"/>
        </w:trPr>
        <w:tc>
          <w:tcPr>
            <w:tcW w:w="27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Con Edison Transmission</w:t>
            </w:r>
          </w:p>
        </w:tc>
        <w:tc>
          <w:tcPr>
            <w:tcW w:w="172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1</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7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1</w:t>
            </w:r>
          </w:p>
        </w:tc>
        <w:tc>
          <w:tcPr>
            <w:tcW w:w="13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700" w:type="dxa"/>
            <w:vAlign w:val="bottom"/>
            <w:tcBorders>
              <w:bottom w:val="single" w:sz="8" w:color="828282"/>
            </w:tcBorders>
          </w:tcPr>
          <w:p>
            <w:pPr>
              <w:ind w:left="20"/>
              <w:spacing w:after="0"/>
              <w:rPr>
                <w:sz w:val="20"/>
                <w:szCs w:val="20"/>
                <w:color w:val="auto"/>
              </w:rPr>
            </w:pPr>
            <w:r>
              <w:rPr>
                <w:rFonts w:ascii="Arial" w:cs="Arial" w:eastAsia="Arial" w:hAnsi="Arial"/>
                <w:sz w:val="14"/>
                <w:szCs w:val="14"/>
                <w:color w:val="auto"/>
              </w:rPr>
              <w:t>Other (b)</w:t>
            </w:r>
          </w:p>
        </w:tc>
        <w:tc>
          <w:tcPr>
            <w:tcW w:w="1720" w:type="dxa"/>
            <w:vAlign w:val="bottom"/>
            <w:tcBorders>
              <w:bottom w:val="single" w:sz="8" w:color="828282"/>
            </w:tcBorders>
          </w:tcPr>
          <w:p>
            <w:pPr>
              <w:jc w:val="right"/>
              <w:ind w:right="3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(1)</w:t>
            </w:r>
          </w:p>
        </w:tc>
        <w:tc>
          <w:tcPr>
            <w:tcW w:w="128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(1)</w:t>
            </w:r>
          </w:p>
        </w:tc>
        <w:tc>
          <w:tcPr>
            <w:tcW w:w="1700" w:type="dxa"/>
            <w:vAlign w:val="bottom"/>
            <w:tcBorders>
              <w:bottom w:val="single" w:sz="8" w:color="828282"/>
            </w:tcBorders>
          </w:tcPr>
          <w:p>
            <w:pPr>
              <w:jc w:val="right"/>
              <w:ind w:right="3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828282"/>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828282"/>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700" w:type="dxa"/>
            <w:vAlign w:val="bottom"/>
            <w:tcBorders>
              <w:bottom w:val="single" w:sz="8" w:color="828282"/>
            </w:tcBorders>
            <w:shd w:val="clear" w:color="auto" w:fill="E5E5E5"/>
          </w:tcPr>
          <w:p>
            <w:pPr>
              <w:ind w:left="20"/>
              <w:spacing w:after="0"/>
              <w:rPr>
                <w:sz w:val="20"/>
                <w:szCs w:val="20"/>
                <w:color w:val="auto"/>
              </w:rPr>
            </w:pPr>
            <w:r>
              <w:rPr>
                <w:rFonts w:ascii="Arial" w:cs="Arial" w:eastAsia="Arial" w:hAnsi="Arial"/>
                <w:sz w:val="14"/>
                <w:szCs w:val="14"/>
                <w:color w:val="auto"/>
              </w:rPr>
              <w:t>Total Con Edison</w:t>
            </w:r>
          </w:p>
        </w:tc>
        <w:tc>
          <w:tcPr>
            <w:tcW w:w="1720" w:type="dxa"/>
            <w:vAlign w:val="bottom"/>
            <w:tcBorders>
              <w:bottom w:val="single" w:sz="8" w:color="828282"/>
            </w:tcBorders>
            <w:shd w:val="clear" w:color="auto" w:fill="E5E5E5"/>
          </w:tcPr>
          <w:p>
            <w:pPr>
              <w:jc w:val="right"/>
              <w:ind w:right="308"/>
              <w:spacing w:after="0"/>
              <w:rPr>
                <w:sz w:val="20"/>
                <w:szCs w:val="20"/>
                <w:color w:val="auto"/>
              </w:rPr>
            </w:pPr>
            <w:r>
              <w:rPr>
                <w:rFonts w:ascii="Arial" w:cs="Arial" w:eastAsia="Arial" w:hAnsi="Arial"/>
                <w:sz w:val="14"/>
                <w:szCs w:val="14"/>
                <w:color w:val="auto"/>
              </w:rPr>
              <w:t>$2,950</w:t>
            </w:r>
          </w:p>
        </w:tc>
        <w:tc>
          <w:tcPr>
            <w:tcW w:w="120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$21</w:t>
            </w:r>
          </w:p>
        </w:tc>
        <w:tc>
          <w:tcPr>
            <w:tcW w:w="128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$2,971</w:t>
            </w:r>
          </w:p>
        </w:tc>
        <w:tc>
          <w:tcPr>
            <w:tcW w:w="1700" w:type="dxa"/>
            <w:vAlign w:val="bottom"/>
            <w:tcBorders>
              <w:bottom w:val="single" w:sz="8" w:color="828282"/>
            </w:tcBorders>
            <w:shd w:val="clear" w:color="auto" w:fill="E5E5E5"/>
          </w:tcPr>
          <w:p>
            <w:pPr>
              <w:jc w:val="right"/>
              <w:ind w:right="288"/>
              <w:spacing w:after="0"/>
              <w:rPr>
                <w:sz w:val="20"/>
                <w:szCs w:val="20"/>
                <w:color w:val="auto"/>
              </w:rPr>
            </w:pPr>
            <w:r>
              <w:rPr>
                <w:rFonts w:ascii="Arial" w:cs="Arial" w:eastAsia="Arial" w:hAnsi="Arial"/>
                <w:sz w:val="14"/>
                <w:szCs w:val="14"/>
                <w:color w:val="auto"/>
              </w:rPr>
              <w:t>$2,627</w:t>
            </w:r>
          </w:p>
        </w:tc>
        <w:tc>
          <w:tcPr>
            <w:tcW w:w="1300" w:type="dxa"/>
            <w:vAlign w:val="bottom"/>
            <w:tcBorders>
              <w:bottom w:val="single" w:sz="8" w:color="828282"/>
            </w:tcBorders>
            <w:shd w:val="clear" w:color="auto" w:fill="E5E5E5"/>
          </w:tcPr>
          <w:p>
            <w:pPr>
              <w:jc w:val="right"/>
              <w:ind w:right="8"/>
              <w:spacing w:after="0"/>
              <w:rPr>
                <w:sz w:val="20"/>
                <w:szCs w:val="20"/>
                <w:color w:val="auto"/>
              </w:rPr>
            </w:pPr>
            <w:r>
              <w:rPr>
                <w:rFonts w:ascii="Arial" w:cs="Arial" w:eastAsia="Arial" w:hAnsi="Arial"/>
                <w:sz w:val="14"/>
                <w:szCs w:val="14"/>
                <w:color w:val="auto"/>
              </w:rPr>
              <w:t>$92</w:t>
            </w:r>
          </w:p>
        </w:tc>
        <w:tc>
          <w:tcPr>
            <w:tcW w:w="128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$2,719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-128270</wp:posOffset>
            </wp:positionV>
            <wp:extent cx="8255" cy="171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-102235</wp:posOffset>
            </wp:positionV>
            <wp:extent cx="82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-85090</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-67945</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-50800</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-33655</wp:posOffset>
            </wp:positionV>
            <wp:extent cx="825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-16510</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-256540</wp:posOffset>
            </wp:positionV>
            <wp:extent cx="8255" cy="171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-230505</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-213995</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-196215</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-179070</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-162560</wp:posOffset>
            </wp:positionV>
            <wp:extent cx="8255"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-144780</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-385445</wp:posOffset>
            </wp:positionV>
            <wp:extent cx="8255" cy="171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-359410</wp:posOffset>
            </wp:positionV>
            <wp:extent cx="825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-342265</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-325120</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-307975</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-290830</wp:posOffset>
            </wp:positionV>
            <wp:extent cx="8255"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-273685</wp:posOffset>
            </wp:positionV>
            <wp:extent cx="825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-513715</wp:posOffset>
            </wp:positionV>
            <wp:extent cx="8255" cy="171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-487680</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-471170</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-453390</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-436245</wp:posOffset>
            </wp:positionV>
            <wp:extent cx="82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-419735</wp:posOffset>
            </wp:positionV>
            <wp:extent cx="8255"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-401955</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-616585</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-599440</wp:posOffset>
            </wp:positionV>
            <wp:extent cx="8255"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-582295</wp:posOffset>
            </wp:positionV>
            <wp:extent cx="825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-565150</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-548005</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-530860</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-762000</wp:posOffset>
            </wp:positionV>
            <wp:extent cx="8255" cy="171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-736600</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-719455</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-702310</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-685165</wp:posOffset>
            </wp:positionV>
            <wp:extent cx="825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-668020</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-650875</wp:posOffset>
            </wp:positionV>
            <wp:extent cx="8255" cy="260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-890905</wp:posOffset>
            </wp:positionV>
            <wp:extent cx="8255" cy="171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-864870</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-847725</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-830580</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-814070</wp:posOffset>
            </wp:positionV>
            <wp:extent cx="825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-796290</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-779145</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-1019175</wp:posOffset>
            </wp:positionV>
            <wp:extent cx="8255" cy="171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-993775</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-976630</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-959485</wp:posOffset>
            </wp:positionV>
            <wp:extent cx="82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-942340</wp:posOffset>
            </wp:positionV>
            <wp:extent cx="8255"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-925195</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-908050</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-1148080</wp:posOffset>
            </wp:positionV>
            <wp:extent cx="8255" cy="171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-1122045</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-1104900</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-1087755</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-1071245</wp:posOffset>
            </wp:positionV>
            <wp:extent cx="8255"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-1053465</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-1036320</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-1276350</wp:posOffset>
            </wp:positionV>
            <wp:extent cx="8255" cy="171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-1250950</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-1233805</wp:posOffset>
            </wp:positionV>
            <wp:extent cx="825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-1216660</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-1199515</wp:posOffset>
            </wp:positionV>
            <wp:extent cx="8255"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-1182370</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-1165225</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-1405255</wp:posOffset>
            </wp:positionV>
            <wp:extent cx="8255" cy="171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-1379220</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-1362075</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-1344930</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-1328420</wp:posOffset>
            </wp:positionV>
            <wp:extent cx="8255"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-1310640</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-1293495</wp:posOffset>
            </wp:positionV>
            <wp:extent cx="825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-1533525</wp:posOffset>
            </wp:positionV>
            <wp:extent cx="8255" cy="171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-1508125</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-1490980</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-1473835</wp:posOffset>
            </wp:positionV>
            <wp:extent cx="825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-1456690</wp:posOffset>
            </wp:positionV>
            <wp:extent cx="8255"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-1439545</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-1422400</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-1662430</wp:posOffset>
            </wp:positionV>
            <wp:extent cx="8255" cy="171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-1636395</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-1619250</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-1602105</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-1585595</wp:posOffset>
            </wp:positionV>
            <wp:extent cx="8255"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-1567815</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-1550670</wp:posOffset>
            </wp:positionV>
            <wp:extent cx="82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-1790700</wp:posOffset>
            </wp:positionV>
            <wp:extent cx="8255" cy="171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-1765300</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-1748155</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-1731010</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-1713865</wp:posOffset>
            </wp:positionV>
            <wp:extent cx="8255"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-1696720</wp:posOffset>
            </wp:positionV>
            <wp:extent cx="82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-1679575</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-1919605</wp:posOffset>
            </wp:positionV>
            <wp:extent cx="8255" cy="171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-1893570</wp:posOffset>
            </wp:positionV>
            <wp:extent cx="825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-1876425</wp:posOffset>
            </wp:positionV>
            <wp:extent cx="825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-1859280</wp:posOffset>
            </wp:positionV>
            <wp:extent cx="82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-1842770</wp:posOffset>
            </wp:positionV>
            <wp:extent cx="8255"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-1824990</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-1807845</wp:posOffset>
            </wp:positionV>
            <wp:extent cx="8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-2047875</wp:posOffset>
            </wp:positionV>
            <wp:extent cx="8255" cy="171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-2022475</wp:posOffset>
            </wp:positionV>
            <wp:extent cx="8255"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-2005330</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-1988185</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-1971040</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-1953895</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-1936750</wp:posOffset>
            </wp:positionV>
            <wp:extent cx="8255"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-2176780</wp:posOffset>
            </wp:positionV>
            <wp:extent cx="8255" cy="171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-2150745</wp:posOffset>
            </wp:positionV>
            <wp:extent cx="8255"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-2133600</wp:posOffset>
            </wp:positionV>
            <wp:extent cx="825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-2116455</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-2099310</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-2082165</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-2065020</wp:posOffset>
            </wp:positionV>
            <wp:extent cx="8255"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-2476500</wp:posOffset>
            </wp:positionV>
            <wp:extent cx="8255" cy="171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-2451100</wp:posOffset>
            </wp:positionV>
            <wp:extent cx="825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-2433955</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-2416810</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-2399665</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-2382520</wp:posOffset>
            </wp:positionV>
            <wp:extent cx="825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-2365375</wp:posOffset>
            </wp:positionV>
            <wp:extent cx="8255"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-2348230</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-2331085</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-2313940</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-2296795</wp:posOffset>
            </wp:positionV>
            <wp:extent cx="825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-2279650</wp:posOffset>
            </wp:positionV>
            <wp:extent cx="8255"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-2262505</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-2245360</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-2228215</wp:posOffset>
            </wp:positionV>
            <wp:extent cx="825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-2211070</wp:posOffset>
            </wp:positionV>
            <wp:extent cx="825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-2193925</wp:posOffset>
            </wp:positionV>
            <wp:extent cx="8255"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66" w:lineRule="exact"/>
        <w:rPr>
          <w:sz w:val="20"/>
          <w:szCs w:val="20"/>
          <w:color w:val="auto"/>
        </w:rPr>
      </w:pPr>
    </w:p>
    <w:p>
      <w:pPr>
        <w:ind w:left="440" w:right="40" w:hanging="332"/>
        <w:spacing w:after="0" w:line="241" w:lineRule="auto"/>
        <w:tabs>
          <w:tab w:leader="none" w:pos="332"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Utilities, this includes revenue from alternative revenue programs, such as the revenue decoupling mechanisms under their New York electric and gas rate plans. For the Clean Energy Businesses, this includes revenue from wholesale services</w:t>
      </w:r>
    </w:p>
    <w:p>
      <w:pPr>
        <w:ind w:left="440" w:hanging="332"/>
        <w:spacing w:after="0"/>
        <w:tabs>
          <w:tab w:leader="none" w:pos="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Parent company and consolidation adjustments.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2140" w:type="dxa"/>
            <w:vAlign w:val="bottom"/>
            <w:tcBorders>
              <w:bottom w:val="single" w:sz="8" w:color="8C8272"/>
            </w:tcBorders>
          </w:tcPr>
          <w:p>
            <w:pPr>
              <w:spacing w:after="0"/>
              <w:rPr>
                <w:sz w:val="16"/>
                <w:szCs w:val="16"/>
                <w:color w:val="auto"/>
              </w:rPr>
            </w:pPr>
          </w:p>
        </w:tc>
        <w:tc>
          <w:tcPr>
            <w:tcW w:w="480" w:type="dxa"/>
            <w:vAlign w:val="bottom"/>
            <w:tcBorders>
              <w:bottom w:val="single" w:sz="8" w:color="8C8272"/>
            </w:tcBorders>
          </w:tcPr>
          <w:p>
            <w:pPr>
              <w:spacing w:after="0"/>
              <w:rPr>
                <w:sz w:val="16"/>
                <w:szCs w:val="16"/>
                <w:color w:val="auto"/>
              </w:rPr>
            </w:pPr>
          </w:p>
        </w:tc>
        <w:tc>
          <w:tcPr>
            <w:tcW w:w="4080" w:type="dxa"/>
            <w:vAlign w:val="bottom"/>
            <w:tcBorders>
              <w:bottom w:val="single" w:sz="8" w:color="8C8272"/>
            </w:tcBorders>
            <w:gridSpan w:val="4"/>
          </w:tcPr>
          <w:p>
            <w:pPr>
              <w:jc w:val="right"/>
              <w:ind w:right="768"/>
              <w:spacing w:after="0"/>
              <w:rPr>
                <w:sz w:val="20"/>
                <w:szCs w:val="20"/>
                <w:color w:val="auto"/>
              </w:rPr>
            </w:pPr>
            <w:r>
              <w:rPr>
                <w:rFonts w:ascii="Arial" w:cs="Arial" w:eastAsia="Arial" w:hAnsi="Arial"/>
                <w:sz w:val="14"/>
                <w:szCs w:val="14"/>
                <w:b w:val="1"/>
                <w:bCs w:val="1"/>
                <w:color w:val="auto"/>
              </w:rPr>
              <w:t>For the Six Months Ended June 30, 2021</w:t>
            </w:r>
          </w:p>
        </w:tc>
        <w:tc>
          <w:tcPr>
            <w:tcW w:w="4140" w:type="dxa"/>
            <w:vAlign w:val="bottom"/>
            <w:tcBorders>
              <w:bottom w:val="single" w:sz="8" w:color="8C8272"/>
            </w:tcBorders>
            <w:gridSpan w:val="4"/>
          </w:tcPr>
          <w:p>
            <w:pPr>
              <w:jc w:val="right"/>
              <w:ind w:right="788"/>
              <w:spacing w:after="0"/>
              <w:rPr>
                <w:sz w:val="20"/>
                <w:szCs w:val="20"/>
                <w:color w:val="auto"/>
              </w:rPr>
            </w:pPr>
            <w:r>
              <w:rPr>
                <w:rFonts w:ascii="Arial" w:cs="Arial" w:eastAsia="Arial" w:hAnsi="Arial"/>
                <w:sz w:val="14"/>
                <w:szCs w:val="14"/>
                <w:b w:val="1"/>
                <w:bCs w:val="1"/>
                <w:color w:val="auto"/>
              </w:rPr>
              <w:t>For the Six Months Ended June 30, 2020</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0" w:type="dxa"/>
            <w:vAlign w:val="bottom"/>
            <w:gridSpan w:val="2"/>
          </w:tcPr>
          <w:p>
            <w:pPr>
              <w:jc w:val="right"/>
              <w:ind w:right="228"/>
              <w:spacing w:after="0" w:line="142" w:lineRule="exact"/>
              <w:rPr>
                <w:sz w:val="20"/>
                <w:szCs w:val="20"/>
                <w:color w:val="auto"/>
              </w:rPr>
            </w:pPr>
            <w:r>
              <w:rPr>
                <w:rFonts w:ascii="Arial" w:cs="Arial" w:eastAsia="Arial" w:hAnsi="Arial"/>
                <w:sz w:val="14"/>
                <w:szCs w:val="14"/>
                <w:b w:val="1"/>
                <w:bCs w:val="1"/>
                <w:color w:val="auto"/>
              </w:rPr>
              <w:t>Revenues from</w:t>
            </w:r>
          </w:p>
        </w:tc>
        <w:tc>
          <w:tcPr>
            <w:tcW w:w="340" w:type="dxa"/>
            <w:vAlign w:val="bottom"/>
          </w:tcPr>
          <w:p>
            <w:pPr>
              <w:spacing w:after="0"/>
              <w:rPr>
                <w:sz w:val="12"/>
                <w:szCs w:val="12"/>
                <w:color w:val="auto"/>
              </w:rPr>
            </w:pPr>
          </w:p>
        </w:tc>
        <w:tc>
          <w:tcPr>
            <w:tcW w:w="242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Total operating</w:t>
            </w:r>
          </w:p>
        </w:tc>
        <w:tc>
          <w:tcPr>
            <w:tcW w:w="132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w w:val="98"/>
              </w:rPr>
              <w:t>Revenues from</w:t>
            </w:r>
          </w:p>
        </w:tc>
        <w:tc>
          <w:tcPr>
            <w:tcW w:w="340" w:type="dxa"/>
            <w:vAlign w:val="bottom"/>
          </w:tcPr>
          <w:p>
            <w:pPr>
              <w:spacing w:after="0"/>
              <w:rPr>
                <w:sz w:val="12"/>
                <w:szCs w:val="12"/>
                <w:color w:val="auto"/>
              </w:rPr>
            </w:pPr>
          </w:p>
        </w:tc>
        <w:tc>
          <w:tcPr>
            <w:tcW w:w="248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Total operating</w:t>
            </w:r>
          </w:p>
        </w:tc>
        <w:tc>
          <w:tcPr>
            <w:tcW w:w="0" w:type="dxa"/>
            <w:vAlign w:val="bottom"/>
          </w:tcPr>
          <w:p>
            <w:pPr>
              <w:spacing w:after="0"/>
              <w:rPr>
                <w:sz w:val="1"/>
                <w:szCs w:val="1"/>
                <w:color w:val="auto"/>
              </w:rPr>
            </w:pPr>
          </w:p>
        </w:tc>
      </w:tr>
      <w:tr>
        <w:trPr>
          <w:trHeight w:val="135"/>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llions of Dollars)</w:t>
            </w:r>
          </w:p>
        </w:tc>
        <w:tc>
          <w:tcPr>
            <w:tcW w:w="480" w:type="dxa"/>
            <w:vAlign w:val="bottom"/>
          </w:tcPr>
          <w:p>
            <w:pPr>
              <w:spacing w:after="0"/>
              <w:rPr>
                <w:sz w:val="11"/>
                <w:szCs w:val="11"/>
                <w:color w:val="auto"/>
              </w:rPr>
            </w:pPr>
          </w:p>
        </w:tc>
        <w:tc>
          <w:tcPr>
            <w:tcW w:w="1320" w:type="dxa"/>
            <w:vAlign w:val="bottom"/>
          </w:tcPr>
          <w:p>
            <w:pPr>
              <w:jc w:val="right"/>
              <w:ind w:right="108"/>
              <w:spacing w:after="0" w:line="135" w:lineRule="exact"/>
              <w:rPr>
                <w:sz w:val="20"/>
                <w:szCs w:val="20"/>
                <w:color w:val="auto"/>
              </w:rPr>
            </w:pPr>
            <w:r>
              <w:rPr>
                <w:rFonts w:ascii="Arial" w:cs="Arial" w:eastAsia="Arial" w:hAnsi="Arial"/>
                <w:sz w:val="14"/>
                <w:szCs w:val="14"/>
                <w:b w:val="1"/>
                <w:bCs w:val="1"/>
                <w:color w:val="auto"/>
              </w:rPr>
              <w:t>contracts with</w:t>
            </w:r>
          </w:p>
        </w:tc>
        <w:tc>
          <w:tcPr>
            <w:tcW w:w="340" w:type="dxa"/>
            <w:vAlign w:val="bottom"/>
          </w:tcPr>
          <w:p>
            <w:pPr>
              <w:spacing w:after="0"/>
              <w:rPr>
                <w:sz w:val="11"/>
                <w:szCs w:val="11"/>
                <w:color w:val="auto"/>
              </w:rPr>
            </w:pPr>
          </w:p>
        </w:tc>
        <w:tc>
          <w:tcPr>
            <w:tcW w:w="2420" w:type="dxa"/>
            <w:vAlign w:val="bottom"/>
            <w:gridSpan w:val="2"/>
            <w:vMerge w:val="continue"/>
          </w:tcPr>
          <w:p>
            <w:pPr>
              <w:spacing w:after="0"/>
              <w:rPr>
                <w:sz w:val="11"/>
                <w:szCs w:val="11"/>
                <w:color w:val="auto"/>
              </w:rPr>
            </w:pPr>
          </w:p>
        </w:tc>
        <w:tc>
          <w:tcPr>
            <w:tcW w:w="1320" w:type="dxa"/>
            <w:vAlign w:val="bottom"/>
          </w:tcPr>
          <w:p>
            <w:pPr>
              <w:jc w:val="right"/>
              <w:ind w:right="88"/>
              <w:spacing w:after="0" w:line="135" w:lineRule="exact"/>
              <w:rPr>
                <w:sz w:val="20"/>
                <w:szCs w:val="20"/>
                <w:color w:val="auto"/>
              </w:rPr>
            </w:pPr>
            <w:r>
              <w:rPr>
                <w:rFonts w:ascii="Arial" w:cs="Arial" w:eastAsia="Arial" w:hAnsi="Arial"/>
                <w:sz w:val="14"/>
                <w:szCs w:val="14"/>
                <w:b w:val="1"/>
                <w:bCs w:val="1"/>
                <w:color w:val="auto"/>
              </w:rPr>
              <w:t>contracts with</w:t>
            </w:r>
          </w:p>
        </w:tc>
        <w:tc>
          <w:tcPr>
            <w:tcW w:w="340" w:type="dxa"/>
            <w:vAlign w:val="bottom"/>
          </w:tcPr>
          <w:p>
            <w:pPr>
              <w:spacing w:after="0"/>
              <w:rPr>
                <w:sz w:val="11"/>
                <w:szCs w:val="11"/>
                <w:color w:val="auto"/>
              </w:rPr>
            </w:pPr>
          </w:p>
        </w:tc>
        <w:tc>
          <w:tcPr>
            <w:tcW w:w="2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2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b w:val="1"/>
                <w:bCs w:val="1"/>
                <w:color w:val="auto"/>
              </w:rPr>
              <w:t>customers</w:t>
            </w:r>
          </w:p>
        </w:tc>
        <w:tc>
          <w:tcPr>
            <w:tcW w:w="15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Other revenues (a)</w:t>
            </w: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revenues</w:t>
            </w:r>
          </w:p>
        </w:tc>
        <w:tc>
          <w:tcPr>
            <w:tcW w:w="1320" w:type="dxa"/>
            <w:vAlign w:val="bottom"/>
          </w:tcPr>
          <w:p>
            <w:pPr>
              <w:jc w:val="right"/>
              <w:ind w:right="228"/>
              <w:spacing w:after="0"/>
              <w:rPr>
                <w:sz w:val="20"/>
                <w:szCs w:val="20"/>
                <w:color w:val="auto"/>
              </w:rPr>
            </w:pPr>
            <w:r>
              <w:rPr>
                <w:rFonts w:ascii="Arial" w:cs="Arial" w:eastAsia="Arial" w:hAnsi="Arial"/>
                <w:sz w:val="14"/>
                <w:szCs w:val="14"/>
                <w:b w:val="1"/>
                <w:bCs w:val="1"/>
                <w:color w:val="auto"/>
              </w:rPr>
              <w:t>customers</w:t>
            </w:r>
          </w:p>
        </w:tc>
        <w:tc>
          <w:tcPr>
            <w:tcW w:w="170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Other revenues (a)</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140" w:type="dxa"/>
            <w:vAlign w:val="bottom"/>
            <w:shd w:val="clear" w:color="auto" w:fill="8C8272"/>
          </w:tcPr>
          <w:p>
            <w:pPr>
              <w:spacing w:after="0" w:line="20" w:lineRule="exact"/>
              <w:rPr>
                <w:sz w:val="1"/>
                <w:szCs w:val="1"/>
                <w:color w:val="auto"/>
              </w:rPr>
            </w:pPr>
          </w:p>
        </w:tc>
        <w:tc>
          <w:tcPr>
            <w:tcW w:w="480" w:type="dxa"/>
            <w:vAlign w:val="bottom"/>
            <w:shd w:val="clear" w:color="auto" w:fill="8C8272"/>
          </w:tcPr>
          <w:p>
            <w:pPr>
              <w:spacing w:after="0" w:line="20" w:lineRule="exact"/>
              <w:rPr>
                <w:sz w:val="1"/>
                <w:szCs w:val="1"/>
                <w:color w:val="auto"/>
              </w:rPr>
            </w:pPr>
          </w:p>
        </w:tc>
        <w:tc>
          <w:tcPr>
            <w:tcW w:w="1320" w:type="dxa"/>
            <w:vAlign w:val="bottom"/>
            <w:shd w:val="clear" w:color="auto" w:fill="8C8272"/>
          </w:tcPr>
          <w:p>
            <w:pPr>
              <w:spacing w:after="0" w:line="20" w:lineRule="exact"/>
              <w:rPr>
                <w:sz w:val="1"/>
                <w:szCs w:val="1"/>
                <w:color w:val="auto"/>
              </w:rPr>
            </w:pPr>
          </w:p>
        </w:tc>
        <w:tc>
          <w:tcPr>
            <w:tcW w:w="340" w:type="dxa"/>
            <w:vAlign w:val="bottom"/>
            <w:shd w:val="clear" w:color="auto" w:fill="8C8272"/>
          </w:tcPr>
          <w:p>
            <w:pPr>
              <w:spacing w:after="0" w:line="20" w:lineRule="exact"/>
              <w:rPr>
                <w:sz w:val="1"/>
                <w:szCs w:val="1"/>
                <w:color w:val="auto"/>
              </w:rPr>
            </w:pPr>
          </w:p>
        </w:tc>
        <w:tc>
          <w:tcPr>
            <w:tcW w:w="1160" w:type="dxa"/>
            <w:vAlign w:val="bottom"/>
            <w:shd w:val="clear" w:color="auto" w:fill="828282"/>
          </w:tcPr>
          <w:p>
            <w:pPr>
              <w:spacing w:after="0" w:line="20" w:lineRule="exact"/>
              <w:rPr>
                <w:sz w:val="1"/>
                <w:szCs w:val="1"/>
                <w:color w:val="auto"/>
              </w:rPr>
            </w:pPr>
          </w:p>
        </w:tc>
        <w:tc>
          <w:tcPr>
            <w:tcW w:w="1260" w:type="dxa"/>
            <w:vAlign w:val="bottom"/>
            <w:tcBorders>
              <w:right w:val="single" w:sz="8" w:color="8C8272"/>
            </w:tcBorders>
            <w:shd w:val="clear" w:color="auto" w:fill="8C8272"/>
          </w:tcPr>
          <w:p>
            <w:pPr>
              <w:spacing w:after="0" w:line="20" w:lineRule="exact"/>
              <w:rPr>
                <w:sz w:val="1"/>
                <w:szCs w:val="1"/>
                <w:color w:val="auto"/>
              </w:rPr>
            </w:pPr>
          </w:p>
        </w:tc>
        <w:tc>
          <w:tcPr>
            <w:tcW w:w="1320" w:type="dxa"/>
            <w:vAlign w:val="bottom"/>
            <w:shd w:val="clear" w:color="auto" w:fill="828282"/>
          </w:tcPr>
          <w:p>
            <w:pPr>
              <w:spacing w:after="0" w:line="20" w:lineRule="exact"/>
              <w:rPr>
                <w:sz w:val="1"/>
                <w:szCs w:val="1"/>
                <w:color w:val="auto"/>
              </w:rPr>
            </w:pPr>
          </w:p>
        </w:tc>
        <w:tc>
          <w:tcPr>
            <w:tcW w:w="340" w:type="dxa"/>
            <w:vAlign w:val="bottom"/>
            <w:shd w:val="clear" w:color="auto" w:fill="828282"/>
          </w:tcPr>
          <w:p>
            <w:pPr>
              <w:spacing w:after="0" w:line="20" w:lineRule="exact"/>
              <w:rPr>
                <w:sz w:val="1"/>
                <w:szCs w:val="1"/>
                <w:color w:val="auto"/>
              </w:rPr>
            </w:pPr>
          </w:p>
        </w:tc>
        <w:tc>
          <w:tcPr>
            <w:tcW w:w="1360" w:type="dxa"/>
            <w:vAlign w:val="bottom"/>
            <w:shd w:val="clear" w:color="auto" w:fill="828282"/>
          </w:tcPr>
          <w:p>
            <w:pPr>
              <w:spacing w:after="0" w:line="20" w:lineRule="exact"/>
              <w:rPr>
                <w:sz w:val="1"/>
                <w:szCs w:val="1"/>
                <w:color w:val="auto"/>
              </w:rPr>
            </w:pPr>
          </w:p>
        </w:tc>
        <w:tc>
          <w:tcPr>
            <w:tcW w:w="1120" w:type="dxa"/>
            <w:vAlign w:val="bottom"/>
            <w:shd w:val="clear" w:color="auto" w:fill="828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gridSpan w:val="2"/>
          </w:tcPr>
          <w:p>
            <w:pPr>
              <w:spacing w:after="0"/>
              <w:rPr>
                <w:sz w:val="20"/>
                <w:szCs w:val="20"/>
                <w:color w:val="auto"/>
              </w:rPr>
            </w:pPr>
            <w:r>
              <w:rPr>
                <w:rFonts w:ascii="Arial" w:cs="Arial" w:eastAsia="Arial" w:hAnsi="Arial"/>
                <w:sz w:val="14"/>
                <w:szCs w:val="14"/>
                <w:color w:val="auto"/>
              </w:rPr>
              <w:t>CONY</w:t>
            </w:r>
          </w:p>
        </w:tc>
        <w:tc>
          <w:tcPr>
            <w:tcW w:w="480" w:type="dxa"/>
            <w:vAlign w:val="bottom"/>
          </w:tcPr>
          <w:p>
            <w:pPr>
              <w:spacing w:after="0"/>
              <w:rPr>
                <w:sz w:val="15"/>
                <w:szCs w:val="15"/>
                <w:color w:val="auto"/>
              </w:rPr>
            </w:pPr>
          </w:p>
        </w:tc>
        <w:tc>
          <w:tcPr>
            <w:tcW w:w="1320" w:type="dxa"/>
            <w:vAlign w:val="bottom"/>
            <w:tcBorders>
              <w:bottom w:val="single" w:sz="8" w:color="E5E5E5"/>
            </w:tcBorders>
          </w:tcPr>
          <w:p>
            <w:pPr>
              <w:spacing w:after="0"/>
              <w:rPr>
                <w:sz w:val="15"/>
                <w:szCs w:val="15"/>
                <w:color w:val="auto"/>
              </w:rPr>
            </w:pPr>
          </w:p>
        </w:tc>
        <w:tc>
          <w:tcPr>
            <w:tcW w:w="340" w:type="dxa"/>
            <w:vAlign w:val="bottom"/>
            <w:tcBorders>
              <w:bottom w:val="single" w:sz="8" w:color="E5E5E5"/>
            </w:tcBorders>
          </w:tcPr>
          <w:p>
            <w:pPr>
              <w:spacing w:after="0"/>
              <w:rPr>
                <w:sz w:val="15"/>
                <w:szCs w:val="15"/>
                <w:color w:val="auto"/>
              </w:rPr>
            </w:pPr>
          </w:p>
        </w:tc>
        <w:tc>
          <w:tcPr>
            <w:tcW w:w="1160" w:type="dxa"/>
            <w:vAlign w:val="bottom"/>
            <w:tcBorders>
              <w:bottom w:val="single" w:sz="8" w:color="E5E5E5"/>
            </w:tcBorders>
          </w:tcPr>
          <w:p>
            <w:pPr>
              <w:spacing w:after="0"/>
              <w:rPr>
                <w:sz w:val="15"/>
                <w:szCs w:val="15"/>
                <w:color w:val="auto"/>
              </w:rPr>
            </w:pPr>
          </w:p>
        </w:tc>
        <w:tc>
          <w:tcPr>
            <w:tcW w:w="1260" w:type="dxa"/>
            <w:vAlign w:val="bottom"/>
            <w:tcBorders>
              <w:bottom w:val="single" w:sz="8" w:color="E5E5E5"/>
            </w:tcBorders>
          </w:tcPr>
          <w:p>
            <w:pPr>
              <w:spacing w:after="0"/>
              <w:rPr>
                <w:sz w:val="15"/>
                <w:szCs w:val="15"/>
                <w:color w:val="auto"/>
              </w:rPr>
            </w:pPr>
          </w:p>
        </w:tc>
        <w:tc>
          <w:tcPr>
            <w:tcW w:w="1320" w:type="dxa"/>
            <w:vAlign w:val="bottom"/>
            <w:tcBorders>
              <w:bottom w:val="single" w:sz="8" w:color="E5E5E5"/>
            </w:tcBorders>
          </w:tcPr>
          <w:p>
            <w:pPr>
              <w:spacing w:after="0"/>
              <w:rPr>
                <w:sz w:val="15"/>
                <w:szCs w:val="15"/>
                <w:color w:val="auto"/>
              </w:rPr>
            </w:pPr>
          </w:p>
        </w:tc>
        <w:tc>
          <w:tcPr>
            <w:tcW w:w="340" w:type="dxa"/>
            <w:vAlign w:val="bottom"/>
            <w:tcBorders>
              <w:bottom w:val="single" w:sz="8" w:color="E5E5E5"/>
            </w:tcBorders>
          </w:tcPr>
          <w:p>
            <w:pPr>
              <w:spacing w:after="0"/>
              <w:rPr>
                <w:sz w:val="15"/>
                <w:szCs w:val="15"/>
                <w:color w:val="auto"/>
              </w:rPr>
            </w:pPr>
          </w:p>
        </w:tc>
        <w:tc>
          <w:tcPr>
            <w:tcW w:w="1360" w:type="dxa"/>
            <w:vAlign w:val="bottom"/>
            <w:tcBorders>
              <w:bottom w:val="single" w:sz="8" w:color="E5E5E5"/>
            </w:tcBorders>
          </w:tcPr>
          <w:p>
            <w:pPr>
              <w:spacing w:after="0"/>
              <w:rPr>
                <w:sz w:val="15"/>
                <w:szCs w:val="15"/>
                <w:color w:val="auto"/>
              </w:rPr>
            </w:pPr>
          </w:p>
        </w:tc>
        <w:tc>
          <w:tcPr>
            <w:tcW w:w="1120" w:type="dxa"/>
            <w:vAlign w:val="bottom"/>
            <w:tcBorders>
              <w:bottom w:val="single" w:sz="8" w:color="E5E5E5"/>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40" w:type="dxa"/>
            <w:vAlign w:val="bottom"/>
            <w:gridSpan w:val="2"/>
          </w:tcPr>
          <w:p>
            <w:pPr>
              <w:ind w:left="20"/>
              <w:spacing w:after="0"/>
              <w:rPr>
                <w:sz w:val="20"/>
                <w:szCs w:val="20"/>
                <w:color w:val="auto"/>
              </w:rPr>
            </w:pPr>
            <w:r>
              <w:rPr>
                <w:rFonts w:ascii="Arial" w:cs="Arial" w:eastAsia="Arial" w:hAnsi="Arial"/>
                <w:sz w:val="14"/>
                <w:szCs w:val="14"/>
                <w:color w:val="auto"/>
              </w:rPr>
              <w:t>lectric</w:t>
            </w: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$3,919</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1260" w:type="dxa"/>
            <w:vAlign w:val="bottom"/>
          </w:tcPr>
          <w:p>
            <w:pPr>
              <w:jc w:val="right"/>
              <w:spacing w:after="0"/>
              <w:rPr>
                <w:sz w:val="20"/>
                <w:szCs w:val="20"/>
                <w:color w:val="auto"/>
              </w:rPr>
            </w:pPr>
            <w:r>
              <w:rPr>
                <w:rFonts w:ascii="Arial" w:cs="Arial" w:eastAsia="Arial" w:hAnsi="Arial"/>
                <w:sz w:val="14"/>
                <w:szCs w:val="14"/>
                <w:color w:val="auto"/>
              </w:rPr>
              <w:t>$3,931</w:t>
            </w:r>
          </w:p>
        </w:tc>
        <w:tc>
          <w:tcPr>
            <w:tcW w:w="1320" w:type="dxa"/>
            <w:vAlign w:val="bottom"/>
          </w:tcPr>
          <w:p>
            <w:pPr>
              <w:jc w:val="right"/>
              <w:spacing w:after="0"/>
              <w:rPr>
                <w:sz w:val="20"/>
                <w:szCs w:val="20"/>
                <w:color w:val="auto"/>
              </w:rPr>
            </w:pPr>
            <w:r>
              <w:rPr>
                <w:rFonts w:ascii="Arial" w:cs="Arial" w:eastAsia="Arial" w:hAnsi="Arial"/>
                <w:sz w:val="14"/>
                <w:szCs w:val="14"/>
                <w:color w:val="auto"/>
              </w:rPr>
              <w:t>$3,514</w:t>
            </w:r>
          </w:p>
        </w:tc>
        <w:tc>
          <w:tcPr>
            <w:tcW w:w="1700" w:type="dxa"/>
            <w:vAlign w:val="bottom"/>
            <w:gridSpan w:val="2"/>
          </w:tcPr>
          <w:p>
            <w:pPr>
              <w:jc w:val="right"/>
              <w:ind w:right="108"/>
              <w:spacing w:after="0"/>
              <w:rPr>
                <w:sz w:val="20"/>
                <w:szCs w:val="20"/>
                <w:color w:val="auto"/>
              </w:rPr>
            </w:pPr>
            <w:r>
              <w:rPr>
                <w:rFonts w:ascii="Arial" w:cs="Arial" w:eastAsia="Arial" w:hAnsi="Arial"/>
                <w:sz w:val="14"/>
                <w:szCs w:val="14"/>
                <w:color w:val="auto"/>
              </w:rPr>
              <w:t>$102</w:t>
            </w:r>
          </w:p>
        </w:tc>
        <w:tc>
          <w:tcPr>
            <w:tcW w:w="1120" w:type="dxa"/>
            <w:vAlign w:val="bottom"/>
          </w:tcPr>
          <w:p>
            <w:pPr>
              <w:jc w:val="right"/>
              <w:spacing w:after="0"/>
              <w:rPr>
                <w:sz w:val="20"/>
                <w:szCs w:val="20"/>
                <w:color w:val="auto"/>
              </w:rPr>
            </w:pPr>
            <w:r>
              <w:rPr>
                <w:rFonts w:ascii="Arial" w:cs="Arial" w:eastAsia="Arial" w:hAnsi="Arial"/>
                <w:sz w:val="14"/>
                <w:szCs w:val="14"/>
                <w:color w:val="auto"/>
              </w:rPr>
              <w:t>$3,616</w:t>
            </w:r>
          </w:p>
        </w:tc>
        <w:tc>
          <w:tcPr>
            <w:tcW w:w="0" w:type="dxa"/>
            <w:vAlign w:val="bottom"/>
          </w:tcPr>
          <w:p>
            <w:pPr>
              <w:spacing w:after="0"/>
              <w:rPr>
                <w:sz w:val="1"/>
                <w:szCs w:val="1"/>
                <w:color w:val="auto"/>
              </w:rPr>
            </w:pPr>
          </w:p>
        </w:tc>
      </w:tr>
      <w:tr>
        <w:trPr>
          <w:trHeight w:val="182"/>
        </w:trPr>
        <w:tc>
          <w:tcPr>
            <w:tcW w:w="2240" w:type="dxa"/>
            <w:vAlign w:val="bottom"/>
            <w:gridSpan w:val="2"/>
          </w:tcPr>
          <w:p>
            <w:pPr>
              <w:ind w:left="40"/>
              <w:spacing w:after="0"/>
              <w:rPr>
                <w:sz w:val="20"/>
                <w:szCs w:val="20"/>
                <w:color w:val="auto"/>
              </w:rPr>
            </w:pPr>
            <w:r>
              <w:rPr>
                <w:rFonts w:ascii="Arial" w:cs="Arial" w:eastAsia="Arial" w:hAnsi="Arial"/>
                <w:sz w:val="14"/>
                <w:szCs w:val="14"/>
                <w:color w:val="auto"/>
              </w:rPr>
              <w:t>as</w:t>
            </w:r>
          </w:p>
        </w:tc>
        <w:tc>
          <w:tcPr>
            <w:tcW w:w="480" w:type="dxa"/>
            <w:vAlign w:val="bottom"/>
          </w:tcPr>
          <w:p>
            <w:pPr>
              <w:spacing w:after="0"/>
              <w:rPr>
                <w:sz w:val="15"/>
                <w:szCs w:val="15"/>
                <w:color w:val="auto"/>
              </w:rPr>
            </w:pPr>
          </w:p>
        </w:tc>
        <w:tc>
          <w:tcPr>
            <w:tcW w:w="1320" w:type="dxa"/>
            <w:vAlign w:val="bottom"/>
            <w:tcBorders>
              <w:top w:val="single" w:sz="8" w:color="E5E5E5"/>
              <w:bottom w:val="single" w:sz="8" w:color="E5E5E5"/>
            </w:tcBorders>
          </w:tcPr>
          <w:p>
            <w:pPr>
              <w:jc w:val="right"/>
              <w:spacing w:after="0"/>
              <w:rPr>
                <w:sz w:val="20"/>
                <w:szCs w:val="20"/>
                <w:color w:val="auto"/>
              </w:rPr>
            </w:pPr>
            <w:r>
              <w:rPr>
                <w:rFonts w:ascii="Arial" w:cs="Arial" w:eastAsia="Arial" w:hAnsi="Arial"/>
                <w:sz w:val="14"/>
                <w:szCs w:val="14"/>
                <w:color w:val="auto"/>
              </w:rPr>
              <w:t>1,394</w:t>
            </w:r>
          </w:p>
        </w:tc>
        <w:tc>
          <w:tcPr>
            <w:tcW w:w="1500" w:type="dxa"/>
            <w:vAlign w:val="bottom"/>
            <w:tcBorders>
              <w:top w:val="single" w:sz="8" w:color="E5E5E5"/>
              <w:bottom w:val="single" w:sz="8" w:color="E5E5E5"/>
            </w:tcBorders>
            <w:gridSpan w:val="2"/>
          </w:tcPr>
          <w:p>
            <w:pPr>
              <w:jc w:val="right"/>
              <w:spacing w:after="0"/>
              <w:rPr>
                <w:sz w:val="20"/>
                <w:szCs w:val="20"/>
                <w:color w:val="auto"/>
              </w:rPr>
            </w:pPr>
            <w:r>
              <w:rPr>
                <w:rFonts w:ascii="Arial" w:cs="Arial" w:eastAsia="Arial" w:hAnsi="Arial"/>
                <w:sz w:val="14"/>
                <w:szCs w:val="14"/>
                <w:color w:val="auto"/>
              </w:rPr>
              <w:t>29</w:t>
            </w:r>
          </w:p>
        </w:tc>
        <w:tc>
          <w:tcPr>
            <w:tcW w:w="1260" w:type="dxa"/>
            <w:vAlign w:val="bottom"/>
            <w:tcBorders>
              <w:top w:val="single" w:sz="8" w:color="E5E5E5"/>
              <w:bottom w:val="single" w:sz="8" w:color="E5E5E5"/>
            </w:tcBorders>
          </w:tcPr>
          <w:p>
            <w:pPr>
              <w:jc w:val="right"/>
              <w:spacing w:after="0"/>
              <w:rPr>
                <w:sz w:val="20"/>
                <w:szCs w:val="20"/>
                <w:color w:val="auto"/>
              </w:rPr>
            </w:pPr>
            <w:r>
              <w:rPr>
                <w:rFonts w:ascii="Arial" w:cs="Arial" w:eastAsia="Arial" w:hAnsi="Arial"/>
                <w:sz w:val="14"/>
                <w:szCs w:val="14"/>
                <w:color w:val="auto"/>
              </w:rPr>
              <w:t>1,423</w:t>
            </w:r>
          </w:p>
        </w:tc>
        <w:tc>
          <w:tcPr>
            <w:tcW w:w="1320" w:type="dxa"/>
            <w:vAlign w:val="bottom"/>
            <w:tcBorders>
              <w:top w:val="single" w:sz="8" w:color="E5E5E5"/>
              <w:bottom w:val="single" w:sz="8" w:color="E5E5E5"/>
            </w:tcBorders>
          </w:tcPr>
          <w:p>
            <w:pPr>
              <w:jc w:val="right"/>
              <w:spacing w:after="0"/>
              <w:rPr>
                <w:sz w:val="20"/>
                <w:szCs w:val="20"/>
                <w:color w:val="auto"/>
              </w:rPr>
            </w:pPr>
            <w:r>
              <w:rPr>
                <w:rFonts w:ascii="Arial" w:cs="Arial" w:eastAsia="Arial" w:hAnsi="Arial"/>
                <w:sz w:val="14"/>
                <w:szCs w:val="14"/>
                <w:color w:val="auto"/>
              </w:rPr>
              <w:t>1,232</w:t>
            </w:r>
          </w:p>
        </w:tc>
        <w:tc>
          <w:tcPr>
            <w:tcW w:w="1700" w:type="dxa"/>
            <w:vAlign w:val="bottom"/>
            <w:tcBorders>
              <w:top w:val="single" w:sz="8" w:color="E5E5E5"/>
              <w:bottom w:val="single" w:sz="8" w:color="E5E5E5"/>
            </w:tcBorders>
            <w:gridSpan w:val="2"/>
          </w:tcPr>
          <w:p>
            <w:pPr>
              <w:jc w:val="right"/>
              <w:ind w:right="108"/>
              <w:spacing w:after="0"/>
              <w:rPr>
                <w:sz w:val="20"/>
                <w:szCs w:val="20"/>
                <w:color w:val="auto"/>
              </w:rPr>
            </w:pPr>
            <w:r>
              <w:rPr>
                <w:rFonts w:ascii="Arial" w:cs="Arial" w:eastAsia="Arial" w:hAnsi="Arial"/>
                <w:sz w:val="14"/>
                <w:szCs w:val="14"/>
                <w:color w:val="auto"/>
              </w:rPr>
              <w:t>18</w:t>
            </w:r>
          </w:p>
        </w:tc>
        <w:tc>
          <w:tcPr>
            <w:tcW w:w="1120" w:type="dxa"/>
            <w:vAlign w:val="bottom"/>
            <w:tcBorders>
              <w:top w:val="single" w:sz="8" w:color="E5E5E5"/>
              <w:bottom w:val="single" w:sz="8" w:color="E5E5E5"/>
            </w:tcBorders>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83"/>
        </w:trPr>
        <w:tc>
          <w:tcPr>
            <w:tcW w:w="2240" w:type="dxa"/>
            <w:vAlign w:val="bottom"/>
            <w:gridSpan w:val="2"/>
          </w:tcPr>
          <w:p>
            <w:pPr>
              <w:ind w:left="20"/>
              <w:spacing w:after="0"/>
              <w:rPr>
                <w:sz w:val="20"/>
                <w:szCs w:val="20"/>
                <w:color w:val="auto"/>
              </w:rPr>
            </w:pPr>
            <w:r>
              <w:rPr>
                <w:rFonts w:ascii="Arial" w:cs="Arial" w:eastAsia="Arial" w:hAnsi="Arial"/>
                <w:sz w:val="14"/>
                <w:szCs w:val="14"/>
                <w:color w:val="auto"/>
              </w:rPr>
              <w:t>team</w:t>
            </w: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331</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260" w:type="dxa"/>
            <w:vAlign w:val="bottom"/>
          </w:tcPr>
          <w:p>
            <w:pPr>
              <w:jc w:val="right"/>
              <w:spacing w:after="0"/>
              <w:rPr>
                <w:sz w:val="20"/>
                <w:szCs w:val="20"/>
                <w:color w:val="auto"/>
              </w:rPr>
            </w:pPr>
            <w:r>
              <w:rPr>
                <w:rFonts w:ascii="Arial" w:cs="Arial" w:eastAsia="Arial" w:hAnsi="Arial"/>
                <w:sz w:val="14"/>
                <w:szCs w:val="14"/>
                <w:color w:val="auto"/>
              </w:rPr>
              <w:t>338</w:t>
            </w:r>
          </w:p>
        </w:tc>
        <w:tc>
          <w:tcPr>
            <w:tcW w:w="1320" w:type="dxa"/>
            <w:vAlign w:val="bottom"/>
          </w:tcPr>
          <w:p>
            <w:pPr>
              <w:jc w:val="right"/>
              <w:spacing w:after="0"/>
              <w:rPr>
                <w:sz w:val="20"/>
                <w:szCs w:val="20"/>
                <w:color w:val="auto"/>
              </w:rPr>
            </w:pPr>
            <w:r>
              <w:rPr>
                <w:rFonts w:ascii="Arial" w:cs="Arial" w:eastAsia="Arial" w:hAnsi="Arial"/>
                <w:sz w:val="14"/>
                <w:szCs w:val="14"/>
                <w:color w:val="auto"/>
              </w:rPr>
              <w:t>325</w:t>
            </w:r>
          </w:p>
        </w:tc>
        <w:tc>
          <w:tcPr>
            <w:tcW w:w="1700" w:type="dxa"/>
            <w:vAlign w:val="bottom"/>
            <w:gridSpan w:val="2"/>
          </w:tcPr>
          <w:p>
            <w:pPr>
              <w:jc w:val="right"/>
              <w:ind w:right="108"/>
              <w:spacing w:after="0"/>
              <w:rPr>
                <w:sz w:val="20"/>
                <w:szCs w:val="20"/>
                <w:color w:val="auto"/>
              </w:rPr>
            </w:pPr>
            <w:r>
              <w:rPr>
                <w:rFonts w:ascii="Arial" w:cs="Arial" w:eastAsia="Arial" w:hAnsi="Arial"/>
                <w:sz w:val="14"/>
                <w:szCs w:val="14"/>
                <w:color w:val="auto"/>
              </w:rPr>
              <w:t>9</w:t>
            </w:r>
          </w:p>
        </w:tc>
        <w:tc>
          <w:tcPr>
            <w:tcW w:w="1120" w:type="dxa"/>
            <w:vAlign w:val="bottom"/>
          </w:tcPr>
          <w:p>
            <w:pPr>
              <w:jc w:val="right"/>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83"/>
        </w:trPr>
        <w:tc>
          <w:tcPr>
            <w:tcW w:w="100" w:type="dxa"/>
            <w:vAlign w:val="bottom"/>
          </w:tcPr>
          <w:p>
            <w:pPr>
              <w:spacing w:after="0"/>
              <w:rPr>
                <w:sz w:val="20"/>
                <w:szCs w:val="20"/>
                <w:color w:val="auto"/>
              </w:rPr>
            </w:pPr>
            <w:r>
              <w:rPr>
                <w:rFonts w:ascii="Arial" w:cs="Arial" w:eastAsia="Arial" w:hAnsi="Arial"/>
                <w:sz w:val="14"/>
                <w:szCs w:val="14"/>
                <w:color w:val="auto"/>
                <w:w w:val="72"/>
              </w:rPr>
              <w:t>al</w:t>
            </w:r>
          </w:p>
        </w:tc>
        <w:tc>
          <w:tcPr>
            <w:tcW w:w="2140" w:type="dxa"/>
            <w:vAlign w:val="bottom"/>
            <w:tcBorders>
              <w:top w:val="single" w:sz="8" w:color="828282"/>
              <w:bottom w:val="single" w:sz="8" w:color="828282"/>
            </w:tcBorders>
            <w:shd w:val="clear" w:color="auto" w:fill="E5E5E5"/>
          </w:tcPr>
          <w:p>
            <w:pPr>
              <w:ind w:left="40"/>
              <w:spacing w:after="0"/>
              <w:rPr>
                <w:sz w:val="20"/>
                <w:szCs w:val="20"/>
                <w:color w:val="auto"/>
              </w:rPr>
            </w:pPr>
            <w:r>
              <w:rPr>
                <w:rFonts w:ascii="Arial" w:cs="Arial" w:eastAsia="Arial" w:hAnsi="Arial"/>
                <w:sz w:val="14"/>
                <w:szCs w:val="14"/>
                <w:color w:val="auto"/>
              </w:rPr>
              <w:t>CECONY</w:t>
            </w:r>
          </w:p>
        </w:tc>
        <w:tc>
          <w:tcPr>
            <w:tcW w:w="1800" w:type="dxa"/>
            <w:vAlign w:val="bottom"/>
            <w:tcBorders>
              <w:top w:val="single" w:sz="8" w:color="828282"/>
              <w:bottom w:val="single" w:sz="8" w:color="828282"/>
            </w:tcBorders>
            <w:gridSpan w:val="2"/>
            <w:shd w:val="clear" w:color="auto" w:fill="E5E5E5"/>
          </w:tcPr>
          <w:p>
            <w:pPr>
              <w:jc w:val="right"/>
              <w:spacing w:after="0"/>
              <w:rPr>
                <w:sz w:val="20"/>
                <w:szCs w:val="20"/>
                <w:color w:val="auto"/>
              </w:rPr>
            </w:pPr>
            <w:r>
              <w:rPr>
                <w:rFonts w:ascii="Arial" w:cs="Arial" w:eastAsia="Arial" w:hAnsi="Arial"/>
                <w:sz w:val="14"/>
                <w:szCs w:val="14"/>
                <w:color w:val="auto"/>
              </w:rPr>
              <w:t>$5,644</w:t>
            </w:r>
          </w:p>
        </w:tc>
        <w:tc>
          <w:tcPr>
            <w:tcW w:w="1500" w:type="dxa"/>
            <w:vAlign w:val="bottom"/>
            <w:tcBorders>
              <w:top w:val="single" w:sz="8" w:color="828282"/>
              <w:bottom w:val="single" w:sz="8" w:color="828282"/>
            </w:tcBorders>
            <w:gridSpan w:val="2"/>
            <w:shd w:val="clear" w:color="auto" w:fill="E5E5E5"/>
          </w:tcPr>
          <w:p>
            <w:pPr>
              <w:jc w:val="right"/>
              <w:spacing w:after="0"/>
              <w:rPr>
                <w:sz w:val="20"/>
                <w:szCs w:val="20"/>
                <w:color w:val="auto"/>
              </w:rPr>
            </w:pPr>
            <w:r>
              <w:rPr>
                <w:rFonts w:ascii="Arial" w:cs="Arial" w:eastAsia="Arial" w:hAnsi="Arial"/>
                <w:sz w:val="14"/>
                <w:szCs w:val="14"/>
                <w:color w:val="auto"/>
              </w:rPr>
              <w:t>$48</w:t>
            </w:r>
          </w:p>
        </w:tc>
        <w:tc>
          <w:tcPr>
            <w:tcW w:w="1260" w:type="dxa"/>
            <w:vAlign w:val="bottom"/>
            <w:tcBorders>
              <w:top w:val="single" w:sz="8" w:color="828282"/>
              <w:bottom w:val="single" w:sz="8" w:color="828282"/>
              <w:right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$5,692</w:t>
            </w:r>
          </w:p>
        </w:tc>
        <w:tc>
          <w:tcPr>
            <w:tcW w:w="1320" w:type="dxa"/>
            <w:vAlign w:val="bottom"/>
            <w:tcBorders>
              <w:top w:val="single" w:sz="8" w:color="828282"/>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$5,071</w:t>
            </w:r>
          </w:p>
        </w:tc>
        <w:tc>
          <w:tcPr>
            <w:tcW w:w="1700" w:type="dxa"/>
            <w:vAlign w:val="bottom"/>
            <w:tcBorders>
              <w:top w:val="single" w:sz="8" w:color="828282"/>
              <w:bottom w:val="single" w:sz="8" w:color="828282"/>
            </w:tcBorders>
            <w:gridSpan w:val="2"/>
            <w:shd w:val="clear" w:color="auto" w:fill="E5E5E5"/>
          </w:tcPr>
          <w:p>
            <w:pPr>
              <w:jc w:val="right"/>
              <w:ind w:right="108"/>
              <w:spacing w:after="0"/>
              <w:rPr>
                <w:sz w:val="20"/>
                <w:szCs w:val="20"/>
                <w:color w:val="auto"/>
              </w:rPr>
            </w:pPr>
            <w:r>
              <w:rPr>
                <w:rFonts w:ascii="Arial" w:cs="Arial" w:eastAsia="Arial" w:hAnsi="Arial"/>
                <w:sz w:val="14"/>
                <w:szCs w:val="14"/>
                <w:color w:val="auto"/>
              </w:rPr>
              <w:t>$129</w:t>
            </w:r>
          </w:p>
        </w:tc>
        <w:tc>
          <w:tcPr>
            <w:tcW w:w="1120" w:type="dxa"/>
            <w:vAlign w:val="bottom"/>
            <w:tcBorders>
              <w:top w:val="single" w:sz="8" w:color="828282"/>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$5,200</w:t>
            </w:r>
          </w:p>
        </w:tc>
        <w:tc>
          <w:tcPr>
            <w:tcW w:w="0" w:type="dxa"/>
            <w:vAlign w:val="bottom"/>
          </w:tcPr>
          <w:p>
            <w:pPr>
              <w:spacing w:after="0"/>
              <w:rPr>
                <w:sz w:val="1"/>
                <w:szCs w:val="1"/>
                <w:color w:val="auto"/>
              </w:rPr>
            </w:pPr>
          </w:p>
        </w:tc>
      </w:tr>
      <w:tr>
        <w:trPr>
          <w:trHeight w:val="183"/>
        </w:trPr>
        <w:tc>
          <w:tcPr>
            <w:tcW w:w="2240" w:type="dxa"/>
            <w:vAlign w:val="bottom"/>
            <w:gridSpan w:val="2"/>
          </w:tcPr>
          <w:p>
            <w:pPr>
              <w:spacing w:after="0"/>
              <w:rPr>
                <w:sz w:val="20"/>
                <w:szCs w:val="20"/>
                <w:color w:val="auto"/>
              </w:rPr>
            </w:pPr>
            <w:r>
              <w:rPr>
                <w:rFonts w:ascii="Arial" w:cs="Arial" w:eastAsia="Arial" w:hAnsi="Arial"/>
                <w:sz w:val="14"/>
                <w:szCs w:val="14"/>
                <w:color w:val="auto"/>
              </w:rPr>
              <w:t>R</w:t>
            </w: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140" w:type="dxa"/>
            <w:vAlign w:val="bottom"/>
            <w:shd w:val="clear" w:color="auto" w:fill="E5E5E5"/>
          </w:tcPr>
          <w:p>
            <w:pPr>
              <w:spacing w:after="0"/>
              <w:rPr>
                <w:sz w:val="20"/>
                <w:szCs w:val="20"/>
                <w:color w:val="auto"/>
              </w:rPr>
            </w:pPr>
            <w:r>
              <w:rPr>
                <w:rFonts w:ascii="Arial" w:cs="Arial" w:eastAsia="Arial" w:hAnsi="Arial"/>
                <w:sz w:val="14"/>
                <w:szCs w:val="14"/>
                <w:color w:val="auto"/>
              </w:rPr>
              <w:t>lectric</w:t>
            </w:r>
          </w:p>
        </w:tc>
        <w:tc>
          <w:tcPr>
            <w:tcW w:w="48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305</w:t>
            </w:r>
          </w:p>
        </w:tc>
        <w:tc>
          <w:tcPr>
            <w:tcW w:w="15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126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299</w:t>
            </w:r>
          </w:p>
        </w:tc>
        <w:tc>
          <w:tcPr>
            <w:tcW w:w="1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267</w:t>
            </w:r>
          </w:p>
        </w:tc>
        <w:tc>
          <w:tcPr>
            <w:tcW w:w="1700" w:type="dxa"/>
            <w:vAlign w:val="bottom"/>
            <w:gridSpan w:val="2"/>
            <w:shd w:val="clear" w:color="auto" w:fill="E5E5E5"/>
          </w:tcPr>
          <w:p>
            <w:pPr>
              <w:jc w:val="right"/>
              <w:ind w:right="108"/>
              <w:spacing w:after="0"/>
              <w:rPr>
                <w:sz w:val="20"/>
                <w:szCs w:val="20"/>
                <w:color w:val="auto"/>
              </w:rPr>
            </w:pPr>
            <w:r>
              <w:rPr>
                <w:rFonts w:ascii="Arial" w:cs="Arial" w:eastAsia="Arial" w:hAnsi="Arial"/>
                <w:sz w:val="14"/>
                <w:szCs w:val="14"/>
                <w:color w:val="auto"/>
              </w:rPr>
              <w:t>7</w:t>
            </w: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89"/>
        </w:trPr>
        <w:tc>
          <w:tcPr>
            <w:tcW w:w="2240" w:type="dxa"/>
            <w:vAlign w:val="bottom"/>
            <w:gridSpan w:val="2"/>
          </w:tcPr>
          <w:p>
            <w:pPr>
              <w:ind w:left="40"/>
              <w:spacing w:after="0"/>
              <w:rPr>
                <w:sz w:val="20"/>
                <w:szCs w:val="20"/>
                <w:color w:val="auto"/>
              </w:rPr>
            </w:pPr>
            <w:r>
              <w:rPr>
                <w:rFonts w:ascii="Arial" w:cs="Arial" w:eastAsia="Arial" w:hAnsi="Arial"/>
                <w:sz w:val="14"/>
                <w:szCs w:val="14"/>
                <w:color w:val="auto"/>
              </w:rPr>
              <w:t>as</w:t>
            </w: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152</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260" w:type="dxa"/>
            <w:vAlign w:val="bottom"/>
          </w:tcPr>
          <w:p>
            <w:pPr>
              <w:jc w:val="right"/>
              <w:spacing w:after="0"/>
              <w:rPr>
                <w:sz w:val="20"/>
                <w:szCs w:val="20"/>
                <w:color w:val="auto"/>
              </w:rPr>
            </w:pPr>
            <w:r>
              <w:rPr>
                <w:rFonts w:ascii="Arial" w:cs="Arial" w:eastAsia="Arial" w:hAnsi="Arial"/>
                <w:sz w:val="14"/>
                <w:szCs w:val="14"/>
                <w:color w:val="auto"/>
              </w:rPr>
              <w:t>143</w:t>
            </w:r>
          </w:p>
        </w:tc>
        <w:tc>
          <w:tcPr>
            <w:tcW w:w="1320" w:type="dxa"/>
            <w:vAlign w:val="bottom"/>
          </w:tcPr>
          <w:p>
            <w:pPr>
              <w:jc w:val="right"/>
              <w:spacing w:after="0"/>
              <w:rPr>
                <w:sz w:val="20"/>
                <w:szCs w:val="20"/>
                <w:color w:val="auto"/>
              </w:rPr>
            </w:pPr>
            <w:r>
              <w:rPr>
                <w:rFonts w:ascii="Arial" w:cs="Arial" w:eastAsia="Arial" w:hAnsi="Arial"/>
                <w:sz w:val="14"/>
                <w:szCs w:val="14"/>
                <w:color w:val="auto"/>
              </w:rPr>
              <w:t>130</w:t>
            </w:r>
          </w:p>
        </w:tc>
        <w:tc>
          <w:tcPr>
            <w:tcW w:w="1700" w:type="dxa"/>
            <w:vAlign w:val="bottom"/>
            <w:gridSpan w:val="2"/>
          </w:tcPr>
          <w:p>
            <w:pPr>
              <w:jc w:val="right"/>
              <w:ind w:right="108"/>
              <w:spacing w:after="0"/>
              <w:rPr>
                <w:sz w:val="20"/>
                <w:szCs w:val="20"/>
                <w:color w:val="auto"/>
              </w:rPr>
            </w:pPr>
            <w:r>
              <w:rPr>
                <w:rFonts w:ascii="Arial" w:cs="Arial" w:eastAsia="Arial" w:hAnsi="Arial"/>
                <w:sz w:val="14"/>
                <w:szCs w:val="14"/>
                <w:color w:val="auto"/>
              </w:rPr>
              <w:t>4</w:t>
            </w:r>
          </w:p>
        </w:tc>
        <w:tc>
          <w:tcPr>
            <w:tcW w:w="112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3"/>
        </w:trPr>
        <w:tc>
          <w:tcPr>
            <w:tcW w:w="100" w:type="dxa"/>
            <w:vAlign w:val="bottom"/>
          </w:tcPr>
          <w:p>
            <w:pPr>
              <w:spacing w:after="0"/>
              <w:rPr>
                <w:sz w:val="20"/>
                <w:szCs w:val="20"/>
                <w:color w:val="auto"/>
              </w:rPr>
            </w:pPr>
            <w:r>
              <w:rPr>
                <w:rFonts w:ascii="Arial" w:cs="Arial" w:eastAsia="Arial" w:hAnsi="Arial"/>
                <w:sz w:val="14"/>
                <w:szCs w:val="14"/>
                <w:color w:val="auto"/>
                <w:w w:val="72"/>
              </w:rPr>
              <w:t>al</w:t>
            </w:r>
          </w:p>
        </w:tc>
        <w:tc>
          <w:tcPr>
            <w:tcW w:w="2140" w:type="dxa"/>
            <w:vAlign w:val="bottom"/>
            <w:tcBorders>
              <w:top w:val="single" w:sz="8" w:color="828282"/>
              <w:bottom w:val="single" w:sz="8" w:color="828282"/>
            </w:tcBorders>
            <w:shd w:val="clear" w:color="auto" w:fill="E5E5E5"/>
          </w:tcPr>
          <w:p>
            <w:pPr>
              <w:ind w:left="40"/>
              <w:spacing w:after="0"/>
              <w:rPr>
                <w:sz w:val="20"/>
                <w:szCs w:val="20"/>
                <w:color w:val="auto"/>
              </w:rPr>
            </w:pPr>
            <w:r>
              <w:rPr>
                <w:rFonts w:ascii="Arial" w:cs="Arial" w:eastAsia="Arial" w:hAnsi="Arial"/>
                <w:sz w:val="14"/>
                <w:szCs w:val="14"/>
                <w:color w:val="auto"/>
              </w:rPr>
              <w:t>O&amp;R</w:t>
            </w:r>
          </w:p>
        </w:tc>
        <w:tc>
          <w:tcPr>
            <w:tcW w:w="1800" w:type="dxa"/>
            <w:vAlign w:val="bottom"/>
            <w:tcBorders>
              <w:top w:val="single" w:sz="8" w:color="828282"/>
              <w:bottom w:val="single" w:sz="8" w:color="828282"/>
            </w:tcBorders>
            <w:gridSpan w:val="2"/>
            <w:shd w:val="clear" w:color="auto" w:fill="E5E5E5"/>
          </w:tcPr>
          <w:p>
            <w:pPr>
              <w:jc w:val="right"/>
              <w:spacing w:after="0"/>
              <w:rPr>
                <w:sz w:val="20"/>
                <w:szCs w:val="20"/>
                <w:color w:val="auto"/>
              </w:rPr>
            </w:pPr>
            <w:r>
              <w:rPr>
                <w:rFonts w:ascii="Arial" w:cs="Arial" w:eastAsia="Arial" w:hAnsi="Arial"/>
                <w:sz w:val="14"/>
                <w:szCs w:val="14"/>
                <w:color w:val="auto"/>
              </w:rPr>
              <w:t>$457</w:t>
            </w:r>
          </w:p>
        </w:tc>
        <w:tc>
          <w:tcPr>
            <w:tcW w:w="1500" w:type="dxa"/>
            <w:vAlign w:val="bottom"/>
            <w:tcBorders>
              <w:top w:val="single" w:sz="8" w:color="828282"/>
              <w:bottom w:val="single" w:sz="8" w:color="828282"/>
            </w:tcBorders>
            <w:gridSpan w:val="2"/>
            <w:shd w:val="clear" w:color="auto" w:fill="E5E5E5"/>
          </w:tcPr>
          <w:p>
            <w:pPr>
              <w:jc w:val="right"/>
              <w:spacing w:after="0"/>
              <w:rPr>
                <w:sz w:val="20"/>
                <w:szCs w:val="20"/>
                <w:color w:val="auto"/>
              </w:rPr>
            </w:pPr>
            <w:r>
              <w:rPr>
                <w:rFonts w:ascii="Arial" w:cs="Arial" w:eastAsia="Arial" w:hAnsi="Arial"/>
                <w:sz w:val="14"/>
                <w:szCs w:val="14"/>
                <w:color w:val="auto"/>
              </w:rPr>
              <w:t>$(15)</w:t>
            </w:r>
          </w:p>
        </w:tc>
        <w:tc>
          <w:tcPr>
            <w:tcW w:w="1260" w:type="dxa"/>
            <w:vAlign w:val="bottom"/>
            <w:tcBorders>
              <w:top w:val="single" w:sz="8" w:color="828282"/>
              <w:bottom w:val="single" w:sz="8" w:color="828282"/>
              <w:right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$442</w:t>
            </w:r>
          </w:p>
        </w:tc>
        <w:tc>
          <w:tcPr>
            <w:tcW w:w="1320" w:type="dxa"/>
            <w:vAlign w:val="bottom"/>
            <w:tcBorders>
              <w:top w:val="single" w:sz="8" w:color="828282"/>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$397</w:t>
            </w:r>
          </w:p>
        </w:tc>
        <w:tc>
          <w:tcPr>
            <w:tcW w:w="1700" w:type="dxa"/>
            <w:vAlign w:val="bottom"/>
            <w:tcBorders>
              <w:top w:val="single" w:sz="8" w:color="828282"/>
              <w:bottom w:val="single" w:sz="8" w:color="828282"/>
            </w:tcBorders>
            <w:gridSpan w:val="2"/>
            <w:shd w:val="clear" w:color="auto" w:fill="E5E5E5"/>
          </w:tcPr>
          <w:p>
            <w:pPr>
              <w:jc w:val="right"/>
              <w:ind w:right="108"/>
              <w:spacing w:after="0"/>
              <w:rPr>
                <w:sz w:val="20"/>
                <w:szCs w:val="20"/>
                <w:color w:val="auto"/>
              </w:rPr>
            </w:pPr>
            <w:r>
              <w:rPr>
                <w:rFonts w:ascii="Arial" w:cs="Arial" w:eastAsia="Arial" w:hAnsi="Arial"/>
                <w:sz w:val="14"/>
                <w:szCs w:val="14"/>
                <w:color w:val="auto"/>
              </w:rPr>
              <w:t>$11</w:t>
            </w:r>
          </w:p>
        </w:tc>
        <w:tc>
          <w:tcPr>
            <w:tcW w:w="1120" w:type="dxa"/>
            <w:vAlign w:val="bottom"/>
            <w:tcBorders>
              <w:top w:val="single" w:sz="8" w:color="828282"/>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83"/>
        </w:trPr>
        <w:tc>
          <w:tcPr>
            <w:tcW w:w="2240" w:type="dxa"/>
            <w:vAlign w:val="bottom"/>
            <w:gridSpan w:val="2"/>
          </w:tcPr>
          <w:p>
            <w:pPr>
              <w:ind w:left="20"/>
              <w:spacing w:after="0"/>
              <w:rPr>
                <w:sz w:val="20"/>
                <w:szCs w:val="20"/>
                <w:color w:val="auto"/>
              </w:rPr>
            </w:pPr>
            <w:r>
              <w:rPr>
                <w:rFonts w:ascii="Arial" w:cs="Arial" w:eastAsia="Arial" w:hAnsi="Arial"/>
                <w:sz w:val="14"/>
                <w:szCs w:val="14"/>
                <w:color w:val="auto"/>
              </w:rPr>
              <w:t>an Energy Businesses</w:t>
            </w: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140" w:type="dxa"/>
            <w:vAlign w:val="bottom"/>
            <w:shd w:val="clear" w:color="auto" w:fill="E5E5E5"/>
          </w:tcPr>
          <w:p>
            <w:pPr>
              <w:spacing w:after="0"/>
              <w:rPr>
                <w:sz w:val="20"/>
                <w:szCs w:val="20"/>
                <w:color w:val="auto"/>
              </w:rPr>
            </w:pPr>
            <w:r>
              <w:rPr>
                <w:rFonts w:ascii="Arial" w:cs="Arial" w:eastAsia="Arial" w:hAnsi="Arial"/>
                <w:sz w:val="14"/>
                <w:szCs w:val="14"/>
                <w:color w:val="auto"/>
              </w:rPr>
              <w:t>enewables</w:t>
            </w:r>
          </w:p>
        </w:tc>
        <w:tc>
          <w:tcPr>
            <w:tcW w:w="48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346</w:t>
            </w:r>
          </w:p>
        </w:tc>
        <w:tc>
          <w:tcPr>
            <w:tcW w:w="340" w:type="dxa"/>
            <w:vAlign w:val="bottom"/>
            <w:shd w:val="clear" w:color="auto" w:fill="E5E5E5"/>
          </w:tcPr>
          <w:p>
            <w:pPr>
              <w:spacing w:after="0"/>
              <w:rPr>
                <w:sz w:val="18"/>
                <w:szCs w:val="18"/>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346</w:t>
            </w:r>
          </w:p>
        </w:tc>
        <w:tc>
          <w:tcPr>
            <w:tcW w:w="1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292</w:t>
            </w:r>
          </w:p>
        </w:tc>
        <w:tc>
          <w:tcPr>
            <w:tcW w:w="340" w:type="dxa"/>
            <w:vAlign w:val="bottom"/>
            <w:shd w:val="clear" w:color="auto" w:fill="E5E5E5"/>
          </w:tcPr>
          <w:p>
            <w:pPr>
              <w:spacing w:after="0"/>
              <w:rPr>
                <w:sz w:val="18"/>
                <w:szCs w:val="18"/>
                <w:color w:val="auto"/>
              </w:rPr>
            </w:pPr>
          </w:p>
        </w:tc>
        <w:tc>
          <w:tcPr>
            <w:tcW w:w="136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89"/>
        </w:trPr>
        <w:tc>
          <w:tcPr>
            <w:tcW w:w="2240" w:type="dxa"/>
            <w:vAlign w:val="bottom"/>
            <w:gridSpan w:val="2"/>
          </w:tcPr>
          <w:p>
            <w:pPr>
              <w:ind w:left="20"/>
              <w:spacing w:after="0"/>
              <w:rPr>
                <w:sz w:val="20"/>
                <w:szCs w:val="20"/>
                <w:color w:val="auto"/>
              </w:rPr>
            </w:pPr>
            <w:r>
              <w:rPr>
                <w:rFonts w:ascii="Arial" w:cs="Arial" w:eastAsia="Arial" w:hAnsi="Arial"/>
                <w:sz w:val="14"/>
                <w:szCs w:val="14"/>
                <w:color w:val="auto"/>
              </w:rPr>
              <w:t>nergy services</w:t>
            </w: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103</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103</w:t>
            </w:r>
          </w:p>
        </w:tc>
        <w:tc>
          <w:tcPr>
            <w:tcW w:w="1320" w:type="dxa"/>
            <w:vAlign w:val="bottom"/>
          </w:tcPr>
          <w:p>
            <w:pPr>
              <w:jc w:val="right"/>
              <w:spacing w:after="0"/>
              <w:rPr>
                <w:sz w:val="20"/>
                <w:szCs w:val="20"/>
                <w:color w:val="auto"/>
              </w:rPr>
            </w:pPr>
            <w:r>
              <w:rPr>
                <w:rFonts w:ascii="Arial" w:cs="Arial" w:eastAsia="Arial" w:hAnsi="Arial"/>
                <w:sz w:val="14"/>
                <w:szCs w:val="14"/>
                <w:color w:val="auto"/>
              </w:rPr>
              <w:t>22</w:t>
            </w:r>
          </w:p>
        </w:tc>
        <w:tc>
          <w:tcPr>
            <w:tcW w:w="340" w:type="dxa"/>
            <w:vAlign w:val="bottom"/>
          </w:tcPr>
          <w:p>
            <w:pPr>
              <w:spacing w:after="0"/>
              <w:rPr>
                <w:sz w:val="16"/>
                <w:szCs w:val="16"/>
                <w:color w:val="auto"/>
              </w:rPr>
            </w:pP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140" w:type="dxa"/>
            <w:vAlign w:val="bottom"/>
            <w:tcBorders>
              <w:bottom w:val="single" w:sz="8" w:color="828282"/>
            </w:tcBorders>
            <w:shd w:val="clear" w:color="auto" w:fill="E5E5E5"/>
          </w:tcPr>
          <w:p>
            <w:pPr>
              <w:spacing w:after="0"/>
              <w:rPr>
                <w:sz w:val="20"/>
                <w:szCs w:val="20"/>
                <w:color w:val="auto"/>
              </w:rPr>
            </w:pPr>
            <w:r>
              <w:rPr>
                <w:rFonts w:ascii="Arial" w:cs="Arial" w:eastAsia="Arial" w:hAnsi="Arial"/>
                <w:sz w:val="14"/>
                <w:szCs w:val="14"/>
                <w:color w:val="auto"/>
              </w:rPr>
              <w:t>Other</w:t>
            </w:r>
          </w:p>
        </w:tc>
        <w:tc>
          <w:tcPr>
            <w:tcW w:w="480" w:type="dxa"/>
            <w:vAlign w:val="bottom"/>
            <w:tcBorders>
              <w:bottom w:val="single" w:sz="8" w:color="828282"/>
            </w:tcBorders>
            <w:shd w:val="clear" w:color="auto" w:fill="E5E5E5"/>
          </w:tcPr>
          <w:p>
            <w:pPr>
              <w:spacing w:after="0"/>
              <w:rPr>
                <w:sz w:val="16"/>
                <w:szCs w:val="16"/>
                <w:color w:val="auto"/>
              </w:rPr>
            </w:pPr>
          </w:p>
        </w:tc>
        <w:tc>
          <w:tcPr>
            <w:tcW w:w="1320" w:type="dxa"/>
            <w:vAlign w:val="bottom"/>
            <w:tcBorders>
              <w:bottom w:val="single" w:sz="8" w:color="828282"/>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828282"/>
            </w:tcBorders>
            <w:gridSpan w:val="2"/>
            <w:shd w:val="clear" w:color="auto" w:fill="E5E5E5"/>
          </w:tcPr>
          <w:p>
            <w:pPr>
              <w:jc w:val="right"/>
              <w:spacing w:after="0"/>
              <w:rPr>
                <w:sz w:val="20"/>
                <w:szCs w:val="20"/>
                <w:color w:val="auto"/>
              </w:rPr>
            </w:pPr>
            <w:r>
              <w:rPr>
                <w:rFonts w:ascii="Arial" w:cs="Arial" w:eastAsia="Arial" w:hAnsi="Arial"/>
                <w:sz w:val="14"/>
                <w:szCs w:val="14"/>
                <w:color w:val="auto"/>
              </w:rPr>
              <w:t>66</w:t>
            </w:r>
          </w:p>
        </w:tc>
        <w:tc>
          <w:tcPr>
            <w:tcW w:w="126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66</w:t>
            </w:r>
          </w:p>
        </w:tc>
        <w:tc>
          <w:tcPr>
            <w:tcW w:w="132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828282"/>
            </w:tcBorders>
            <w:gridSpan w:val="2"/>
            <w:shd w:val="clear" w:color="auto" w:fill="E5E5E5"/>
          </w:tcPr>
          <w:p>
            <w:pPr>
              <w:jc w:val="right"/>
              <w:ind w:right="108"/>
              <w:spacing w:after="0"/>
              <w:rPr>
                <w:sz w:val="20"/>
                <w:szCs w:val="20"/>
                <w:color w:val="auto"/>
              </w:rPr>
            </w:pPr>
            <w:r>
              <w:rPr>
                <w:rFonts w:ascii="Arial" w:cs="Arial" w:eastAsia="Arial" w:hAnsi="Arial"/>
                <w:sz w:val="14"/>
                <w:szCs w:val="14"/>
                <w:color w:val="auto"/>
              </w:rPr>
              <w:t>30</w:t>
            </w:r>
          </w:p>
        </w:tc>
        <w:tc>
          <w:tcPr>
            <w:tcW w:w="112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3"/>
        </w:trPr>
        <w:tc>
          <w:tcPr>
            <w:tcW w:w="2240" w:type="dxa"/>
            <w:vAlign w:val="bottom"/>
            <w:gridSpan w:val="2"/>
          </w:tcPr>
          <w:p>
            <w:pPr>
              <w:spacing w:after="0"/>
              <w:rPr>
                <w:sz w:val="20"/>
                <w:szCs w:val="20"/>
                <w:color w:val="auto"/>
              </w:rPr>
            </w:pPr>
            <w:r>
              <w:rPr>
                <w:rFonts w:ascii="Arial" w:cs="Arial" w:eastAsia="Arial" w:hAnsi="Arial"/>
                <w:sz w:val="14"/>
                <w:szCs w:val="14"/>
                <w:color w:val="auto"/>
              </w:rPr>
              <w:t>al Clean Energy Businesses</w:t>
            </w: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$449</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$66</w:t>
            </w:r>
          </w:p>
        </w:tc>
        <w:tc>
          <w:tcPr>
            <w:tcW w:w="1260" w:type="dxa"/>
            <w:vAlign w:val="bottom"/>
          </w:tcPr>
          <w:p>
            <w:pPr>
              <w:jc w:val="right"/>
              <w:spacing w:after="0"/>
              <w:rPr>
                <w:sz w:val="20"/>
                <w:szCs w:val="20"/>
                <w:color w:val="auto"/>
              </w:rPr>
            </w:pPr>
            <w:r>
              <w:rPr>
                <w:rFonts w:ascii="Arial" w:cs="Arial" w:eastAsia="Arial" w:hAnsi="Arial"/>
                <w:sz w:val="14"/>
                <w:szCs w:val="14"/>
                <w:color w:val="auto"/>
              </w:rPr>
              <w:t>$515</w:t>
            </w:r>
          </w:p>
        </w:tc>
        <w:tc>
          <w:tcPr>
            <w:tcW w:w="1320" w:type="dxa"/>
            <w:vAlign w:val="bottom"/>
          </w:tcPr>
          <w:p>
            <w:pPr>
              <w:jc w:val="right"/>
              <w:spacing w:after="0"/>
              <w:rPr>
                <w:sz w:val="20"/>
                <w:szCs w:val="20"/>
                <w:color w:val="auto"/>
              </w:rPr>
            </w:pPr>
            <w:r>
              <w:rPr>
                <w:rFonts w:ascii="Arial" w:cs="Arial" w:eastAsia="Arial" w:hAnsi="Arial"/>
                <w:sz w:val="14"/>
                <w:szCs w:val="14"/>
                <w:color w:val="auto"/>
              </w:rPr>
              <w:t>$314</w:t>
            </w:r>
          </w:p>
        </w:tc>
        <w:tc>
          <w:tcPr>
            <w:tcW w:w="1700" w:type="dxa"/>
            <w:vAlign w:val="bottom"/>
            <w:gridSpan w:val="2"/>
          </w:tcPr>
          <w:p>
            <w:pPr>
              <w:jc w:val="right"/>
              <w:ind w:right="108"/>
              <w:spacing w:after="0"/>
              <w:rPr>
                <w:sz w:val="20"/>
                <w:szCs w:val="20"/>
                <w:color w:val="auto"/>
              </w:rPr>
            </w:pPr>
            <w:r>
              <w:rPr>
                <w:rFonts w:ascii="Arial" w:cs="Arial" w:eastAsia="Arial" w:hAnsi="Arial"/>
                <w:sz w:val="14"/>
                <w:szCs w:val="14"/>
                <w:color w:val="auto"/>
              </w:rPr>
              <w:t>$30</w:t>
            </w:r>
          </w:p>
        </w:tc>
        <w:tc>
          <w:tcPr>
            <w:tcW w:w="1120" w:type="dxa"/>
            <w:vAlign w:val="bottom"/>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20"/>
                <w:szCs w:val="20"/>
                <w:color w:val="auto"/>
              </w:rPr>
            </w:pPr>
            <w:r>
              <w:rPr>
                <w:rFonts w:ascii="Arial" w:cs="Arial" w:eastAsia="Arial" w:hAnsi="Arial"/>
                <w:sz w:val="14"/>
                <w:szCs w:val="14"/>
                <w:color w:val="auto"/>
              </w:rPr>
              <w:t>n</w:t>
            </w:r>
          </w:p>
        </w:tc>
        <w:tc>
          <w:tcPr>
            <w:tcW w:w="2140" w:type="dxa"/>
            <w:vAlign w:val="bottom"/>
            <w:tcBorders>
              <w:top w:val="single" w:sz="8" w:color="828282"/>
            </w:tcBorders>
            <w:shd w:val="clear" w:color="auto" w:fill="E5E5E5"/>
          </w:tcPr>
          <w:p>
            <w:pPr>
              <w:spacing w:after="0"/>
              <w:rPr>
                <w:sz w:val="20"/>
                <w:szCs w:val="20"/>
                <w:color w:val="auto"/>
              </w:rPr>
            </w:pPr>
            <w:r>
              <w:rPr>
                <w:rFonts w:ascii="Arial" w:cs="Arial" w:eastAsia="Arial" w:hAnsi="Arial"/>
                <w:sz w:val="14"/>
                <w:szCs w:val="14"/>
                <w:color w:val="auto"/>
              </w:rPr>
              <w:t>Edison Transmission</w:t>
            </w:r>
          </w:p>
        </w:tc>
        <w:tc>
          <w:tcPr>
            <w:tcW w:w="1800" w:type="dxa"/>
            <w:vAlign w:val="bottom"/>
            <w:tcBorders>
              <w:top w:val="single" w:sz="8" w:color="828282"/>
            </w:tcBorders>
            <w:gridSpan w:val="2"/>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340" w:type="dxa"/>
            <w:vAlign w:val="bottom"/>
            <w:tcBorders>
              <w:top w:val="single" w:sz="8" w:color="828282"/>
            </w:tcBorders>
            <w:shd w:val="clear" w:color="auto" w:fill="E5E5E5"/>
          </w:tcPr>
          <w:p>
            <w:pPr>
              <w:spacing w:after="0"/>
              <w:rPr>
                <w:sz w:val="17"/>
                <w:szCs w:val="17"/>
                <w:color w:val="auto"/>
              </w:rPr>
            </w:pPr>
          </w:p>
        </w:tc>
        <w:tc>
          <w:tcPr>
            <w:tcW w:w="1160" w:type="dxa"/>
            <w:vAlign w:val="bottom"/>
            <w:tcBorders>
              <w:top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828282"/>
              <w:right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320" w:type="dxa"/>
            <w:vAlign w:val="bottom"/>
            <w:tcBorders>
              <w:top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340" w:type="dxa"/>
            <w:vAlign w:val="bottom"/>
            <w:tcBorders>
              <w:top w:val="single" w:sz="8" w:color="828282"/>
            </w:tcBorders>
            <w:shd w:val="clear" w:color="auto" w:fill="E5E5E5"/>
          </w:tcPr>
          <w:p>
            <w:pPr>
              <w:spacing w:after="0"/>
              <w:rPr>
                <w:sz w:val="17"/>
                <w:szCs w:val="17"/>
                <w:color w:val="auto"/>
              </w:rPr>
            </w:pPr>
          </w:p>
        </w:tc>
        <w:tc>
          <w:tcPr>
            <w:tcW w:w="1360" w:type="dxa"/>
            <w:vAlign w:val="bottom"/>
            <w:tcBorders>
              <w:top w:val="single" w:sz="8" w:color="828282"/>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240" w:type="dxa"/>
            <w:vAlign w:val="bottom"/>
            <w:gridSpan w:val="2"/>
          </w:tcPr>
          <w:p>
            <w:pPr>
              <w:ind w:left="40"/>
              <w:spacing w:after="0"/>
              <w:rPr>
                <w:sz w:val="20"/>
                <w:szCs w:val="20"/>
                <w:color w:val="auto"/>
              </w:rPr>
            </w:pPr>
            <w:r>
              <w:rPr>
                <w:rFonts w:ascii="Arial" w:cs="Arial" w:eastAsia="Arial" w:hAnsi="Arial"/>
                <w:sz w:val="14"/>
                <w:szCs w:val="14"/>
                <w:color w:val="auto"/>
              </w:rPr>
              <w:t>er (b)</w:t>
            </w:r>
          </w:p>
        </w:tc>
        <w:tc>
          <w:tcPr>
            <w:tcW w:w="4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08"/>
              <w:spacing w:after="0"/>
              <w:rPr>
                <w:sz w:val="20"/>
                <w:szCs w:val="20"/>
                <w:color w:val="auto"/>
              </w:rPr>
            </w:pPr>
            <w:r>
              <w:rPr>
                <w:rFonts w:ascii="Arial" w:cs="Arial" w:eastAsia="Arial" w:hAnsi="Arial"/>
                <w:sz w:val="14"/>
                <w:szCs w:val="14"/>
                <w:color w:val="auto"/>
              </w:rPr>
              <w:t>(1)</w:t>
            </w: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100" w:type="dxa"/>
            <w:vAlign w:val="bottom"/>
          </w:tcPr>
          <w:p>
            <w:pPr>
              <w:spacing w:after="0"/>
              <w:rPr>
                <w:sz w:val="20"/>
                <w:szCs w:val="20"/>
                <w:color w:val="auto"/>
              </w:rPr>
            </w:pPr>
            <w:r>
              <w:rPr>
                <w:rFonts w:ascii="Arial" w:cs="Arial" w:eastAsia="Arial" w:hAnsi="Arial"/>
                <w:sz w:val="14"/>
                <w:szCs w:val="14"/>
                <w:color w:val="auto"/>
                <w:w w:val="72"/>
              </w:rPr>
              <w:t>al</w:t>
            </w:r>
          </w:p>
        </w:tc>
        <w:tc>
          <w:tcPr>
            <w:tcW w:w="2140" w:type="dxa"/>
            <w:vAlign w:val="bottom"/>
            <w:tcBorders>
              <w:top w:val="single" w:sz="8" w:color="828282"/>
              <w:bottom w:val="single" w:sz="8" w:color="828282"/>
            </w:tcBorders>
            <w:shd w:val="clear" w:color="auto" w:fill="E5E5E5"/>
          </w:tcPr>
          <w:p>
            <w:pPr>
              <w:ind w:left="40"/>
              <w:spacing w:after="0"/>
              <w:rPr>
                <w:sz w:val="20"/>
                <w:szCs w:val="20"/>
                <w:color w:val="auto"/>
              </w:rPr>
            </w:pPr>
            <w:r>
              <w:rPr>
                <w:rFonts w:ascii="Arial" w:cs="Arial" w:eastAsia="Arial" w:hAnsi="Arial"/>
                <w:sz w:val="14"/>
                <w:szCs w:val="14"/>
                <w:color w:val="auto"/>
              </w:rPr>
              <w:t>Con Edison</w:t>
            </w:r>
          </w:p>
        </w:tc>
        <w:tc>
          <w:tcPr>
            <w:tcW w:w="1800" w:type="dxa"/>
            <w:vAlign w:val="bottom"/>
            <w:tcBorders>
              <w:top w:val="single" w:sz="8" w:color="828282"/>
              <w:bottom w:val="single" w:sz="8" w:color="828282"/>
            </w:tcBorders>
            <w:gridSpan w:val="2"/>
            <w:shd w:val="clear" w:color="auto" w:fill="E5E5E5"/>
          </w:tcPr>
          <w:p>
            <w:pPr>
              <w:jc w:val="right"/>
              <w:spacing w:after="0"/>
              <w:rPr>
                <w:sz w:val="20"/>
                <w:szCs w:val="20"/>
                <w:color w:val="auto"/>
              </w:rPr>
            </w:pPr>
            <w:r>
              <w:rPr>
                <w:rFonts w:ascii="Arial" w:cs="Arial" w:eastAsia="Arial" w:hAnsi="Arial"/>
                <w:sz w:val="14"/>
                <w:szCs w:val="14"/>
                <w:color w:val="auto"/>
              </w:rPr>
              <w:t>$6,552</w:t>
            </w:r>
          </w:p>
        </w:tc>
        <w:tc>
          <w:tcPr>
            <w:tcW w:w="1500" w:type="dxa"/>
            <w:vAlign w:val="bottom"/>
            <w:tcBorders>
              <w:top w:val="single" w:sz="8" w:color="828282"/>
              <w:bottom w:val="single" w:sz="8" w:color="828282"/>
            </w:tcBorders>
            <w:gridSpan w:val="2"/>
            <w:shd w:val="clear" w:color="auto" w:fill="E5E5E5"/>
          </w:tcPr>
          <w:p>
            <w:pPr>
              <w:jc w:val="right"/>
              <w:spacing w:after="0"/>
              <w:rPr>
                <w:sz w:val="20"/>
                <w:szCs w:val="20"/>
                <w:color w:val="auto"/>
              </w:rPr>
            </w:pPr>
            <w:r>
              <w:rPr>
                <w:rFonts w:ascii="Arial" w:cs="Arial" w:eastAsia="Arial" w:hAnsi="Arial"/>
                <w:sz w:val="14"/>
                <w:szCs w:val="14"/>
                <w:color w:val="auto"/>
              </w:rPr>
              <w:t>$96</w:t>
            </w:r>
          </w:p>
        </w:tc>
        <w:tc>
          <w:tcPr>
            <w:tcW w:w="1260" w:type="dxa"/>
            <w:vAlign w:val="bottom"/>
            <w:tcBorders>
              <w:top w:val="single" w:sz="8" w:color="828282"/>
              <w:bottom w:val="single" w:sz="8" w:color="828282"/>
              <w:right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$6,648</w:t>
            </w:r>
          </w:p>
        </w:tc>
        <w:tc>
          <w:tcPr>
            <w:tcW w:w="1320" w:type="dxa"/>
            <w:vAlign w:val="bottom"/>
            <w:tcBorders>
              <w:top w:val="single" w:sz="8" w:color="828282"/>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$5,784</w:t>
            </w:r>
          </w:p>
        </w:tc>
        <w:tc>
          <w:tcPr>
            <w:tcW w:w="1700" w:type="dxa"/>
            <w:vAlign w:val="bottom"/>
            <w:tcBorders>
              <w:top w:val="single" w:sz="8" w:color="828282"/>
              <w:bottom w:val="single" w:sz="8" w:color="828282"/>
            </w:tcBorders>
            <w:gridSpan w:val="2"/>
            <w:shd w:val="clear" w:color="auto" w:fill="E5E5E5"/>
          </w:tcPr>
          <w:p>
            <w:pPr>
              <w:jc w:val="right"/>
              <w:ind w:right="108"/>
              <w:spacing w:after="0"/>
              <w:rPr>
                <w:sz w:val="20"/>
                <w:szCs w:val="20"/>
                <w:color w:val="auto"/>
              </w:rPr>
            </w:pPr>
            <w:r>
              <w:rPr>
                <w:rFonts w:ascii="Arial" w:cs="Arial" w:eastAsia="Arial" w:hAnsi="Arial"/>
                <w:sz w:val="14"/>
                <w:szCs w:val="14"/>
                <w:color w:val="auto"/>
              </w:rPr>
              <w:t>$169</w:t>
            </w:r>
          </w:p>
        </w:tc>
        <w:tc>
          <w:tcPr>
            <w:tcW w:w="1120" w:type="dxa"/>
            <w:vAlign w:val="bottom"/>
            <w:tcBorders>
              <w:top w:val="single" w:sz="8" w:color="828282"/>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$5,953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-128270</wp:posOffset>
            </wp:positionV>
            <wp:extent cx="8255" cy="171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-102235</wp:posOffset>
            </wp:positionV>
            <wp:extent cx="8255"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-85090</wp:posOffset>
            </wp:positionV>
            <wp:extent cx="825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-67945</wp:posOffset>
            </wp:positionV>
            <wp:extent cx="8255"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-50800</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-33655</wp:posOffset>
            </wp:positionV>
            <wp:extent cx="8255"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-16510</wp:posOffset>
            </wp:positionV>
            <wp:extent cx="8255"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-256540</wp:posOffset>
            </wp:positionV>
            <wp:extent cx="8255" cy="171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-231140</wp:posOffset>
            </wp:positionV>
            <wp:extent cx="8255"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-213995</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-196215</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-179070</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-162560</wp:posOffset>
            </wp:positionV>
            <wp:extent cx="8255"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-145415</wp:posOffset>
            </wp:positionV>
            <wp:extent cx="8255"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-385445</wp:posOffset>
            </wp:positionV>
            <wp:extent cx="8255" cy="171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-359410</wp:posOffset>
            </wp:positionV>
            <wp:extent cx="8255"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-342265</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-325120</wp:posOffset>
            </wp:positionV>
            <wp:extent cx="825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-307975</wp:posOffset>
            </wp:positionV>
            <wp:extent cx="82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-290830</wp:posOffset>
            </wp:positionV>
            <wp:extent cx="8255"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-273685</wp:posOffset>
            </wp:positionV>
            <wp:extent cx="8255"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-513715</wp:posOffset>
            </wp:positionV>
            <wp:extent cx="8255" cy="171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-488315</wp:posOffset>
            </wp:positionV>
            <wp:extent cx="8255"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-471170</wp:posOffset>
            </wp:positionV>
            <wp:extent cx="825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-453390</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-436245</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-419735</wp:posOffset>
            </wp:positionV>
            <wp:extent cx="8255"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-402590</wp:posOffset>
            </wp:positionV>
            <wp:extent cx="8255"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-616585</wp:posOffset>
            </wp:positionV>
            <wp:extent cx="8255"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-599440</wp:posOffset>
            </wp:positionV>
            <wp:extent cx="8255"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-582295</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-565150</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-548005</wp:posOffset>
            </wp:positionV>
            <wp:extent cx="825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-530860</wp:posOffset>
            </wp:positionV>
            <wp:extent cx="8255"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-762000</wp:posOffset>
            </wp:positionV>
            <wp:extent cx="8255" cy="171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-736600</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-719455</wp:posOffset>
            </wp:positionV>
            <wp:extent cx="825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-702310</wp:posOffset>
            </wp:positionV>
            <wp:extent cx="8255"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-685165</wp:posOffset>
            </wp:positionV>
            <wp:extent cx="8255"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-668020</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-650875</wp:posOffset>
            </wp:positionV>
            <wp:extent cx="8255" cy="2540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-890905</wp:posOffset>
            </wp:positionV>
            <wp:extent cx="8255" cy="171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-864870</wp:posOffset>
            </wp:positionV>
            <wp:extent cx="825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-847725</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-831215</wp:posOffset>
            </wp:positionV>
            <wp:extent cx="8255"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-814070</wp:posOffset>
            </wp:positionV>
            <wp:extent cx="8255"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-796290</wp:posOffset>
            </wp:positionV>
            <wp:extent cx="82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-779145</wp:posOffset>
            </wp:positionV>
            <wp:extent cx="825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-1019175</wp:posOffset>
            </wp:positionV>
            <wp:extent cx="8255" cy="171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-993775</wp:posOffset>
            </wp:positionV>
            <wp:extent cx="82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-976630</wp:posOffset>
            </wp:positionV>
            <wp:extent cx="825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-959485</wp:posOffset>
            </wp:positionV>
            <wp:extent cx="8255"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-942340</wp:posOffset>
            </wp:positionV>
            <wp:extent cx="8255"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-925195</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-908050</wp:posOffset>
            </wp:positionV>
            <wp:extent cx="825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-1148080</wp:posOffset>
            </wp:positionV>
            <wp:extent cx="8255" cy="171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-1122045</wp:posOffset>
            </wp:positionV>
            <wp:extent cx="82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-1104900</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-1088390</wp:posOffset>
            </wp:positionV>
            <wp:extent cx="8255"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-1071245</wp:posOffset>
            </wp:positionV>
            <wp:extent cx="8255"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-1053465</wp:posOffset>
            </wp:positionV>
            <wp:extent cx="825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-1036320</wp:posOffset>
            </wp:positionV>
            <wp:extent cx="825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-1276350</wp:posOffset>
            </wp:positionV>
            <wp:extent cx="8255" cy="1714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-1250950</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-1233805</wp:posOffset>
            </wp:positionV>
            <wp:extent cx="82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-1216660</wp:posOffset>
            </wp:positionV>
            <wp:extent cx="8255"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-1199515</wp:posOffset>
            </wp:positionV>
            <wp:extent cx="8255"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-1182370</wp:posOffset>
            </wp:positionV>
            <wp:extent cx="82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-1165225</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-1405255</wp:posOffset>
            </wp:positionV>
            <wp:extent cx="8255" cy="1714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-1379220</wp:posOffset>
            </wp:positionV>
            <wp:extent cx="825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-1362075</wp:posOffset>
            </wp:positionV>
            <wp:extent cx="825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-1344930</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-1328420</wp:posOffset>
            </wp:positionV>
            <wp:extent cx="8255"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-1310640</wp:posOffset>
            </wp:positionV>
            <wp:extent cx="8255"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-1293495</wp:posOffset>
            </wp:positionV>
            <wp:extent cx="825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-1533525</wp:posOffset>
            </wp:positionV>
            <wp:extent cx="8255" cy="1714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-1508125</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-1490980</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-1473835</wp:posOffset>
            </wp:positionV>
            <wp:extent cx="825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-1456690</wp:posOffset>
            </wp:positionV>
            <wp:extent cx="8255"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-1439545</wp:posOffset>
            </wp:positionV>
            <wp:extent cx="8255"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-1422400</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-1662430</wp:posOffset>
            </wp:positionV>
            <wp:extent cx="8255" cy="1714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-1636395</wp:posOffset>
            </wp:positionV>
            <wp:extent cx="825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-1619250</wp:posOffset>
            </wp:positionV>
            <wp:extent cx="825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-1602105</wp:posOffset>
            </wp:positionV>
            <wp:extent cx="8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-1585595</wp:posOffset>
            </wp:positionV>
            <wp:extent cx="8255"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-1567815</wp:posOffset>
            </wp:positionV>
            <wp:extent cx="8255"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-1550670</wp:posOffset>
            </wp:positionV>
            <wp:extent cx="825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-2476500</wp:posOffset>
            </wp:positionV>
            <wp:extent cx="6883400" cy="80581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6883400" cy="805815"/>
                    </a:xfrm>
                    <a:prstGeom prst="rect">
                      <a:avLst/>
                    </a:prstGeom>
                    <a:noFill/>
                  </pic:spPr>
                </pic:pic>
              </a:graphicData>
            </a:graphic>
          </wp:anchor>
        </w:drawing>
      </w:r>
    </w:p>
    <w:p>
      <w:pPr>
        <w:spacing w:after="0" w:line="79" w:lineRule="exact"/>
        <w:rPr>
          <w:sz w:val="20"/>
          <w:szCs w:val="20"/>
          <w:color w:val="auto"/>
        </w:rPr>
      </w:pPr>
    </w:p>
    <w:p>
      <w:pPr>
        <w:ind w:left="440" w:right="40" w:hanging="332"/>
        <w:spacing w:after="0" w:line="241" w:lineRule="auto"/>
        <w:tabs>
          <w:tab w:leader="none" w:pos="332"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the Utilities, this includes revenue from alternative revenue programs, such as the revenue decoupling mechanisms under their New York electric and gas rate plans. For the Clean Energy Businesses, this includes revenue from wholesale services.</w:t>
      </w:r>
    </w:p>
    <w:p>
      <w:pPr>
        <w:ind w:left="440" w:hanging="332"/>
        <w:spacing w:after="0"/>
        <w:tabs>
          <w:tab w:leader="none" w:pos="440" w:val="left"/>
        </w:tabs>
        <w:numPr>
          <w:ilvl w:val="0"/>
          <w:numId w:val="8"/>
        </w:numPr>
        <w:rPr>
          <w:rFonts w:ascii="Arial" w:cs="Arial" w:eastAsia="Arial" w:hAnsi="Arial"/>
          <w:sz w:val="14"/>
          <w:szCs w:val="14"/>
          <w:color w:val="auto"/>
        </w:rPr>
      </w:pPr>
      <w:r>
        <w:rPr>
          <w:rFonts w:ascii="Arial" w:cs="Arial" w:eastAsia="Arial" w:hAnsi="Arial"/>
          <w:sz w:val="14"/>
          <w:szCs w:val="14"/>
          <w:color w:val="auto"/>
        </w:rPr>
        <w:t>Parent company and consolidation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62230</wp:posOffset>
            </wp:positionV>
            <wp:extent cx="7157720" cy="4254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125" w:right="339" w:bottom="1440" w:gutter="0" w:footer="0" w:header="0"/>
        </w:sectPr>
      </w:pPr>
    </w:p>
    <w:bookmarkStart w:id="39" w:name="page40"/>
    <w:bookmarkEnd w:id="39"/>
    <w:tbl>
      <w:tblPr>
        <w:tblLayout w:type="fixed"/>
        <w:tblInd w:w="40" w:type="dxa"/>
        <w:tblCellMar>
          <w:top w:w="0" w:type="dxa"/>
          <w:left w:w="0" w:type="dxa"/>
          <w:bottom w:w="0" w:type="dxa"/>
          <w:right w:w="0" w:type="dxa"/>
        </w:tblCellMar>
      </w:tblPr>
      <w:tr>
        <w:trPr>
          <w:trHeight w:val="189"/>
        </w:trPr>
        <w:tc>
          <w:tcPr>
            <w:tcW w:w="3460" w:type="dxa"/>
            <w:vAlign w:val="bottom"/>
            <w:tcBorders>
              <w:bottom w:val="single" w:sz="8" w:color="8C8272"/>
            </w:tcBorders>
          </w:tcPr>
          <w:p>
            <w:pPr>
              <w:spacing w:after="0"/>
              <w:rPr>
                <w:sz w:val="16"/>
                <w:szCs w:val="16"/>
                <w:color w:val="auto"/>
              </w:rPr>
            </w:pPr>
          </w:p>
        </w:tc>
        <w:tc>
          <w:tcPr>
            <w:tcW w:w="1740" w:type="dxa"/>
            <w:vAlign w:val="bottom"/>
            <w:tcBorders>
              <w:bottom w:val="single" w:sz="8" w:color="8C8272"/>
            </w:tcBorders>
          </w:tcPr>
          <w:p>
            <w:pPr>
              <w:spacing w:after="0"/>
              <w:rPr>
                <w:sz w:val="16"/>
                <w:szCs w:val="16"/>
                <w:color w:val="auto"/>
              </w:rPr>
            </w:pPr>
          </w:p>
        </w:tc>
        <w:tc>
          <w:tcPr>
            <w:tcW w:w="1800" w:type="dxa"/>
            <w:vAlign w:val="bottom"/>
            <w:tcBorders>
              <w:bottom w:val="single" w:sz="8" w:color="8C8272"/>
            </w:tcBorders>
          </w:tcPr>
          <w:p>
            <w:pPr>
              <w:jc w:val="right"/>
              <w:ind w:right="1408"/>
              <w:spacing w:after="0"/>
              <w:rPr>
                <w:sz w:val="20"/>
                <w:szCs w:val="20"/>
                <w:color w:val="auto"/>
              </w:rPr>
            </w:pPr>
            <w:r>
              <w:rPr>
                <w:rFonts w:ascii="Arial" w:cs="Arial" w:eastAsia="Arial" w:hAnsi="Arial"/>
                <w:sz w:val="14"/>
                <w:szCs w:val="14"/>
                <w:b w:val="1"/>
                <w:bCs w:val="1"/>
                <w:color w:val="auto"/>
                <w:w w:val="96"/>
              </w:rPr>
              <w:t>2021</w:t>
            </w:r>
          </w:p>
        </w:tc>
        <w:tc>
          <w:tcPr>
            <w:tcW w:w="560" w:type="dxa"/>
            <w:vAlign w:val="bottom"/>
            <w:tcBorders>
              <w:bottom w:val="single" w:sz="8" w:color="8C8272"/>
            </w:tcBorders>
          </w:tcPr>
          <w:p>
            <w:pPr>
              <w:spacing w:after="0"/>
              <w:rPr>
                <w:sz w:val="16"/>
                <w:szCs w:val="16"/>
                <w:color w:val="auto"/>
              </w:rPr>
            </w:pPr>
          </w:p>
        </w:tc>
        <w:tc>
          <w:tcPr>
            <w:tcW w:w="1480" w:type="dxa"/>
            <w:vAlign w:val="bottom"/>
            <w:tcBorders>
              <w:bottom w:val="single" w:sz="8" w:color="8C8272"/>
            </w:tcBorders>
          </w:tcPr>
          <w:p>
            <w:pPr>
              <w:spacing w:after="0"/>
              <w:rPr>
                <w:sz w:val="16"/>
                <w:szCs w:val="16"/>
                <w:color w:val="auto"/>
              </w:rPr>
            </w:pPr>
          </w:p>
        </w:tc>
        <w:tc>
          <w:tcPr>
            <w:tcW w:w="1840" w:type="dxa"/>
            <w:vAlign w:val="bottom"/>
            <w:tcBorders>
              <w:bottom w:val="single" w:sz="8" w:color="8C8272"/>
            </w:tcBorders>
          </w:tcPr>
          <w:p>
            <w:pPr>
              <w:jc w:val="right"/>
              <w:ind w:right="142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8C8272"/>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Unbilled contract</w:t>
            </w:r>
          </w:p>
        </w:tc>
        <w:tc>
          <w:tcPr>
            <w:tcW w:w="1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Unearned revenue (b)</w:t>
            </w:r>
          </w:p>
        </w:tc>
        <w:tc>
          <w:tcPr>
            <w:tcW w:w="56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Unbilled contract</w:t>
            </w:r>
          </w:p>
        </w:tc>
        <w:tc>
          <w:tcPr>
            <w:tcW w:w="18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Unearned revenue (b)</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460" w:type="dxa"/>
            <w:vAlign w:val="bottom"/>
            <w:tcBorders>
              <w:bottom w:val="single" w:sz="8" w:color="8C8272"/>
            </w:tcBorders>
            <w:vMerge w:val="continue"/>
          </w:tcPr>
          <w:p>
            <w:pPr>
              <w:spacing w:after="0"/>
              <w:rPr>
                <w:sz w:val="15"/>
                <w:szCs w:val="15"/>
                <w:color w:val="auto"/>
              </w:rPr>
            </w:pPr>
          </w:p>
        </w:tc>
        <w:tc>
          <w:tcPr>
            <w:tcW w:w="17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revenue (a)</w:t>
            </w:r>
          </w:p>
        </w:tc>
        <w:tc>
          <w:tcPr>
            <w:tcW w:w="1800" w:type="dxa"/>
            <w:vAlign w:val="bottom"/>
            <w:tcBorders>
              <w:bottom w:val="single" w:sz="8" w:color="8C8272"/>
            </w:tcBorders>
            <w:vMerge w:val="continue"/>
          </w:tcPr>
          <w:p>
            <w:pPr>
              <w:spacing w:after="0"/>
              <w:rPr>
                <w:sz w:val="15"/>
                <w:szCs w:val="15"/>
                <w:color w:val="auto"/>
              </w:rPr>
            </w:pPr>
          </w:p>
        </w:tc>
        <w:tc>
          <w:tcPr>
            <w:tcW w:w="560" w:type="dxa"/>
            <w:vAlign w:val="bottom"/>
            <w:tcBorders>
              <w:bottom w:val="single" w:sz="8" w:color="8C8272"/>
            </w:tcBorders>
          </w:tcPr>
          <w:p>
            <w:pPr>
              <w:spacing w:after="0"/>
              <w:rPr>
                <w:sz w:val="15"/>
                <w:szCs w:val="15"/>
                <w:color w:val="auto"/>
              </w:rPr>
            </w:pPr>
          </w:p>
        </w:tc>
        <w:tc>
          <w:tcPr>
            <w:tcW w:w="14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revenue (a)</w:t>
            </w:r>
          </w:p>
        </w:tc>
        <w:tc>
          <w:tcPr>
            <w:tcW w:w="1840" w:type="dxa"/>
            <w:vAlign w:val="bottom"/>
            <w:tcBorders>
              <w:bottom w:val="single" w:sz="8" w:color="8C8272"/>
            </w:tcBorders>
            <w:vMerge w:val="continue"/>
          </w:tcPr>
          <w:p>
            <w:pPr>
              <w:spacing w:after="0"/>
              <w:rPr>
                <w:sz w:val="15"/>
                <w:szCs w:val="15"/>
                <w:color w:val="auto"/>
              </w:rPr>
            </w:pPr>
          </w:p>
        </w:tc>
        <w:tc>
          <w:tcPr>
            <w:tcW w:w="300" w:type="dxa"/>
            <w:vAlign w:val="bottom"/>
            <w:tcBorders>
              <w:bottom w:val="single" w:sz="8" w:color="8C8272"/>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60" w:type="dxa"/>
            <w:vAlign w:val="bottom"/>
            <w:shd w:val="clear" w:color="auto" w:fill="E5E5E5"/>
          </w:tcPr>
          <w:p>
            <w:pPr>
              <w:ind w:left="20"/>
              <w:spacing w:after="0"/>
              <w:rPr>
                <w:sz w:val="20"/>
                <w:szCs w:val="20"/>
                <w:color w:val="auto"/>
              </w:rPr>
            </w:pPr>
            <w:r>
              <w:rPr>
                <w:rFonts w:ascii="Arial" w:cs="Arial" w:eastAsia="Arial" w:hAnsi="Arial"/>
                <w:sz w:val="14"/>
                <w:szCs w:val="14"/>
                <w:color w:val="auto"/>
              </w:rPr>
              <w:t>Beginning balance as of January 1,</w:t>
            </w:r>
          </w:p>
        </w:tc>
        <w:tc>
          <w:tcPr>
            <w:tcW w:w="1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8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$41</w:t>
            </w:r>
          </w:p>
        </w:tc>
        <w:tc>
          <w:tcPr>
            <w:tcW w:w="560" w:type="dxa"/>
            <w:vAlign w:val="bottom"/>
            <w:shd w:val="clear" w:color="auto" w:fill="E5E5E5"/>
          </w:tcPr>
          <w:p>
            <w:pPr>
              <w:spacing w:after="0"/>
              <w:rPr>
                <w:sz w:val="15"/>
                <w:szCs w:val="15"/>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w:t>
            </w:r>
          </w:p>
        </w:tc>
        <w:tc>
          <w:tcPr>
            <w:tcW w:w="1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$17</w:t>
            </w:r>
          </w:p>
        </w:tc>
        <w:tc>
          <w:tcPr>
            <w:tcW w:w="3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140"/>
              <w:spacing w:after="0"/>
              <w:rPr>
                <w:sz w:val="20"/>
                <w:szCs w:val="20"/>
                <w:color w:val="auto"/>
              </w:rPr>
            </w:pPr>
            <w:r>
              <w:rPr>
                <w:rFonts w:ascii="Arial" w:cs="Arial" w:eastAsia="Arial" w:hAnsi="Arial"/>
                <w:sz w:val="14"/>
                <w:szCs w:val="14"/>
                <w:color w:val="auto"/>
              </w:rPr>
              <w:t>Additions (c)</w:t>
            </w:r>
          </w:p>
        </w:tc>
        <w:tc>
          <w:tcPr>
            <w:tcW w:w="1740" w:type="dxa"/>
            <w:vAlign w:val="bottom"/>
          </w:tcPr>
          <w:p>
            <w:pPr>
              <w:jc w:val="right"/>
              <w:spacing w:after="0"/>
              <w:rPr>
                <w:sz w:val="20"/>
                <w:szCs w:val="20"/>
                <w:color w:val="auto"/>
              </w:rPr>
            </w:pPr>
            <w:r>
              <w:rPr>
                <w:rFonts w:ascii="Arial" w:cs="Arial" w:eastAsia="Arial" w:hAnsi="Arial"/>
                <w:sz w:val="14"/>
                <w:szCs w:val="14"/>
                <w:color w:val="auto"/>
              </w:rPr>
              <w:t>107</w:t>
            </w: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58</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Subtractions (c)</w:t>
            </w:r>
          </w:p>
        </w:tc>
        <w:tc>
          <w:tcPr>
            <w:tcW w:w="17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78</w:t>
            </w:r>
          </w:p>
        </w:tc>
        <w:tc>
          <w:tcPr>
            <w:tcW w:w="1800" w:type="dxa"/>
            <w:vAlign w:val="bottom"/>
            <w:tcBorders>
              <w:bottom w:val="single" w:sz="8" w:color="8C8272"/>
            </w:tcBorders>
            <w:shd w:val="clear" w:color="auto" w:fill="E5E5E5"/>
          </w:tcPr>
          <w:p>
            <w:pPr>
              <w:jc w:val="right"/>
              <w:ind w:right="28"/>
              <w:spacing w:after="0"/>
              <w:rPr>
                <w:sz w:val="20"/>
                <w:szCs w:val="20"/>
                <w:color w:val="auto"/>
              </w:rPr>
            </w:pPr>
            <w:r>
              <w:rPr>
                <w:rFonts w:ascii="Arial" w:cs="Arial" w:eastAsia="Arial" w:hAnsi="Arial"/>
                <w:sz w:val="14"/>
                <w:szCs w:val="14"/>
                <w:color w:val="auto"/>
              </w:rPr>
              <w:t>29</w:t>
            </w:r>
          </w:p>
        </w:tc>
        <w:tc>
          <w:tcPr>
            <w:tcW w:w="560" w:type="dxa"/>
            <w:vAlign w:val="bottom"/>
            <w:tcBorders>
              <w:bottom w:val="single" w:sz="8" w:color="8C8272"/>
            </w:tcBorders>
            <w:shd w:val="clear" w:color="auto" w:fill="E5E5E5"/>
          </w:tcPr>
          <w:p>
            <w:pPr>
              <w:ind w:left="80"/>
              <w:spacing w:after="0"/>
              <w:rPr>
                <w:sz w:val="20"/>
                <w:szCs w:val="20"/>
                <w:color w:val="auto"/>
              </w:rPr>
            </w:pPr>
            <w:r>
              <w:rPr>
                <w:rFonts w:ascii="Arial" w:cs="Arial" w:eastAsia="Arial" w:hAnsi="Arial"/>
                <w:sz w:val="14"/>
                <w:szCs w:val="14"/>
                <w:color w:val="auto"/>
              </w:rPr>
              <w:t>(d)</w:t>
            </w:r>
          </w:p>
        </w:tc>
        <w:tc>
          <w:tcPr>
            <w:tcW w:w="14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65</w:t>
            </w:r>
          </w:p>
        </w:tc>
        <w:tc>
          <w:tcPr>
            <w:tcW w:w="184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8C8272"/>
            </w:tcBorders>
            <w:shd w:val="clear" w:color="auto" w:fill="E5E5E5"/>
          </w:tcPr>
          <w:p>
            <w:pPr>
              <w:ind w:left="100"/>
              <w:spacing w:after="0"/>
              <w:rPr>
                <w:sz w:val="20"/>
                <w:szCs w:val="20"/>
                <w:color w:val="auto"/>
              </w:rPr>
            </w:pPr>
            <w:r>
              <w:rPr>
                <w:rFonts w:ascii="Arial" w:cs="Arial" w:eastAsia="Arial" w:hAnsi="Arial"/>
                <w:sz w:val="14"/>
                <w:szCs w:val="14"/>
                <w:color w:val="auto"/>
              </w:rPr>
              <w:t>(d)</w:t>
            </w:r>
          </w:p>
        </w:tc>
        <w:tc>
          <w:tcPr>
            <w:tcW w:w="0" w:type="dxa"/>
            <w:vAlign w:val="bottom"/>
          </w:tcPr>
          <w:p>
            <w:pPr>
              <w:spacing w:after="0"/>
              <w:rPr>
                <w:sz w:val="1"/>
                <w:szCs w:val="1"/>
                <w:color w:val="auto"/>
              </w:rPr>
            </w:pPr>
          </w:p>
        </w:tc>
      </w:tr>
      <w:tr>
        <w:trPr>
          <w:trHeight w:val="183"/>
        </w:trPr>
        <w:tc>
          <w:tcPr>
            <w:tcW w:w="34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Ending balance as of June 30,</w:t>
            </w:r>
          </w:p>
        </w:tc>
        <w:tc>
          <w:tcPr>
            <w:tcW w:w="174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$40</w:t>
            </w:r>
          </w:p>
        </w:tc>
        <w:tc>
          <w:tcPr>
            <w:tcW w:w="1800" w:type="dxa"/>
            <w:vAlign w:val="bottom"/>
            <w:tcBorders>
              <w:bottom w:val="single" w:sz="8" w:color="828282"/>
            </w:tcBorders>
          </w:tcPr>
          <w:p>
            <w:pPr>
              <w:jc w:val="right"/>
              <w:ind w:right="28"/>
              <w:spacing w:after="0"/>
              <w:rPr>
                <w:sz w:val="20"/>
                <w:szCs w:val="20"/>
                <w:color w:val="auto"/>
              </w:rPr>
            </w:pPr>
            <w:r>
              <w:rPr>
                <w:rFonts w:ascii="Arial" w:cs="Arial" w:eastAsia="Arial" w:hAnsi="Arial"/>
                <w:sz w:val="14"/>
                <w:szCs w:val="14"/>
                <w:color w:val="auto"/>
              </w:rPr>
              <w:t>$12</w:t>
            </w:r>
          </w:p>
        </w:tc>
        <w:tc>
          <w:tcPr>
            <w:tcW w:w="560" w:type="dxa"/>
            <w:vAlign w:val="bottom"/>
            <w:tcBorders>
              <w:bottom w:val="single" w:sz="8" w:color="828282"/>
            </w:tcBorders>
          </w:tcPr>
          <w:p>
            <w:pPr>
              <w:spacing w:after="0"/>
              <w:rPr>
                <w:sz w:val="15"/>
                <w:szCs w:val="15"/>
                <w:color w:val="auto"/>
              </w:rPr>
            </w:pPr>
          </w:p>
        </w:tc>
        <w:tc>
          <w:tcPr>
            <w:tcW w:w="148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$22</w:t>
            </w:r>
          </w:p>
        </w:tc>
        <w:tc>
          <w:tcPr>
            <w:tcW w:w="1840" w:type="dxa"/>
            <w:vAlign w:val="bottom"/>
            <w:tcBorders>
              <w:bottom w:val="single" w:sz="8" w:color="828282"/>
            </w:tcBorders>
          </w:tcPr>
          <w:p>
            <w:pPr>
              <w:jc w:val="right"/>
              <w:ind w:right="8"/>
              <w:spacing w:after="0"/>
              <w:rPr>
                <w:sz w:val="20"/>
                <w:szCs w:val="20"/>
                <w:color w:val="auto"/>
              </w:rPr>
            </w:pPr>
            <w:r>
              <w:rPr>
                <w:rFonts w:ascii="Arial" w:cs="Arial" w:eastAsia="Arial" w:hAnsi="Arial"/>
                <w:sz w:val="14"/>
                <w:szCs w:val="14"/>
                <w:color w:val="auto"/>
              </w:rPr>
              <w:t>$47</w:t>
            </w:r>
          </w:p>
        </w:tc>
        <w:tc>
          <w:tcPr>
            <w:tcW w:w="300" w:type="dxa"/>
            <w:vAlign w:val="bottom"/>
            <w:tcBorders>
              <w:bottom w:val="single" w:sz="8" w:color="828282"/>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20" w:hanging="332"/>
        <w:spacing w:after="0" w:line="241"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Unbilled contract revenue represents accumulated incurred costs and earned profits on contracts (revenue arrangements), which have been recorded as revenue, but have not yet been billed to customers, and which represent contract assets as defined in Topic 606. Substantially all accrued unbilled contract revenue is expected to be collected within one year. Unbilled contract revenue arises from the cost-to-cost method of revenue recognition. Unbilled contract revenue from fixed-price type contracts is converted to billed receivables when amounts are invoiced to customers according to contractual billing terms, which generally occur when deliveries or other performance milestones are completed.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Unearned revenue represents a liability for billings to customers in excess of earned revenue, which are contract liabilities as defined in Topic 606.</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32" w:val="left"/>
        </w:tabs>
        <w:numPr>
          <w:ilvl w:val="0"/>
          <w:numId w:val="9"/>
        </w:numPr>
        <w:rPr>
          <w:rFonts w:ascii="Arial" w:cs="Arial" w:eastAsia="Arial" w:hAnsi="Arial"/>
          <w:sz w:val="14"/>
          <w:szCs w:val="14"/>
          <w:color w:val="auto"/>
        </w:rPr>
      </w:pPr>
      <w:r>
        <w:rPr>
          <w:rFonts w:ascii="Arial" w:cs="Arial" w:eastAsia="Arial" w:hAnsi="Arial"/>
          <w:sz w:val="14"/>
          <w:szCs w:val="14"/>
          <w:color w:val="auto"/>
        </w:rPr>
        <w:t>Additions for unbilled contract revenue and subtractions for unearned revenue represent additional revenue earned. Additions for unearned revenue and subtractions for unbilled contract revenue represent billings. Activity also includes appropriate balance sheet classification for the period.</w:t>
      </w: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Of the subtractions from unearned revenue, $29 million and $1 million were included in the balances as of January 1, 2021 and 2020, respectively.</w:t>
      </w:r>
    </w:p>
    <w:p>
      <w:pPr>
        <w:spacing w:after="0" w:line="23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As of June 30, 2021, the aggregate amount of the remaining fixed performance obligations of the Clean Energy Businesses under contracts with customers for energy services is $238 million, of which $199 million will be recognized within the next two years, and the remaining $39 million will be recognized pursuant to long-term service and maintenance agreements.</w:t>
      </w:r>
    </w:p>
    <w:p>
      <w:pPr>
        <w:spacing w:after="0" w:line="215"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In March 2020, the Utilities began suspending new late payment charges and certain other fees for all customers. For the three months ended June 30, 2021, the estimated late payment charges and fees that were not billed by Con Edison and CECONY were approximately $19 million and $18 million lower than the amounts that were approved to be collected pursuant to the Utilities’ rate plans, respectively. For the six months ended June 30, 2021, the estimated late payment charges and fees that were not billed by Con Edison and CECONY were approximately $37 million and $35 million lower than the amounts that were approved to be collected pursuant to the Utilities’ rate plans, respectively. For the three months ended June 30, 2020, late payment charges and fees that were not billed by Con Edison and CECONY were approximately $18 million and $17 million lower than the amounts that were approved to be collected pursuant to the Utilities’ rate plans, respectively. For the six months ended June 30, 2020, late payment charges and fees that were not billed by Con Edison and CECONY were approximately $19 million and $18 million lower than the amounts that were approved to be collected pursuant to the Utilities’ rate plans, respectively. The Utilities also began providing payment extensions for all customers that were scheduled to be disconnected prior to the start of the COVID-19 pandemic. In April 2021, CECONY filed a petition with the NYSPSC to timely establish a surcharge recovery mechanism for $52 million of late payment charges and fees, offset for related savings, for the year ended December 31, 2020 to begin in September 2021 and end in December 2022. The petition also requests a surcharge recovery or surcredit mechanism for any fee deferrals for 2021 and 2022 starting in January of the subsequent year over a twelve-month period, respectively. See "COVID-19 Regulatory Matters" in Note B.</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Note L – Current Expected Credit Losses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 January 2020, the Companies adopted Accounting Standards Update (ASU) 2016-13, “Financial Instruments-Credit Losses (Topic 326):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Measurement of Credit Losses on Financial Instruments”.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Uncollectible Accounts</w:t>
      </w:r>
    </w:p>
    <w:p>
      <w:pPr>
        <w:spacing w:after="0" w:line="31"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The Utilities’ “Account receivable – customers” balance consists of utility bills due (bills are generally due the month following billing) from customers who have energy delivered, generated, or services provided by the Utilities. The balance also reflects the Utilities’ purchase of receivables from energy service companies to support the retail choice programs.</w:t>
      </w:r>
    </w:p>
    <w:p>
      <w:pPr>
        <w:spacing w:after="0" w:line="121" w:lineRule="exact"/>
        <w:rPr>
          <w:sz w:val="20"/>
          <w:szCs w:val="20"/>
          <w:color w:val="auto"/>
        </w:rPr>
      </w:pPr>
    </w:p>
    <w:p>
      <w:pPr>
        <w:jc w:val="both"/>
        <w:ind w:right="640"/>
        <w:spacing w:after="0" w:line="256" w:lineRule="auto"/>
        <w:rPr>
          <w:sz w:val="20"/>
          <w:szCs w:val="20"/>
          <w:color w:val="auto"/>
        </w:rPr>
      </w:pPr>
      <w:r>
        <w:rPr>
          <w:rFonts w:ascii="Arial" w:cs="Arial" w:eastAsia="Arial" w:hAnsi="Arial"/>
          <w:sz w:val="18"/>
          <w:szCs w:val="18"/>
          <w:color w:val="auto"/>
        </w:rPr>
        <w:t>“Other receivables” balance generally reflects costs billed by the Utilities for goods and services provided to external parties, such as accommodation work for private parties and certain governmental entities, real estate rental and pole attachments. The Clean Energy Businesses’ other receivables balance includes bills related to the sale of energy from renewable electric production projects.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40" w:name="page41"/>
    <w:bookmarkEnd w:id="40"/>
    <w:p>
      <w:pPr>
        <w:ind w:right="160"/>
        <w:spacing w:after="0" w:line="254" w:lineRule="auto"/>
        <w:rPr>
          <w:sz w:val="20"/>
          <w:szCs w:val="20"/>
          <w:color w:val="auto"/>
        </w:rPr>
      </w:pPr>
      <w:r>
        <w:rPr>
          <w:rFonts w:ascii="Arial" w:cs="Arial" w:eastAsia="Arial" w:hAnsi="Arial"/>
          <w:sz w:val="18"/>
          <w:szCs w:val="18"/>
          <w:color w:val="auto"/>
        </w:rPr>
        <w:t>The Clean Energy Businesses’ customer accounts receivable balance generally reflects the management of energy supply assets, energy-efficiency services to government and commercial customers, and the engineering, procurement, and construction services of renewable energy projects. The Clean Energy Businesses calculate an allowance for uncollectible accounts related to their energy services customers based on an aging and customer-specific analysis. The amount of such reserves was not material at June 30, 2021 or December 31, 2020.</w:t>
      </w:r>
    </w:p>
    <w:p>
      <w:pPr>
        <w:spacing w:after="0" w:line="136"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Companies develop expected loss estimates using past events data and consider current conditions and future reasonable and supportable forecasts. Changes to the Utilities’ reserve balances that result in write-offs of customer accounts receivable balances above existing rate allowances are not reflected in rates during the term of the current rate plans. For the Utilities’ customer accounts receivable allowance for uncollectible accounts, past events considered include write-offs relative to customer accounts receivable; current conditions include macro-and micro-economic conditions related to trends in the local economy and bankruptcy rates and aged customer accounts receivable balances, among other factors; and forecasts about the future include assumptions related to the level of write-offs and recoveries. Generally, the Utilities write off customer accounts receivable as uncollectible 90 days after the account is turned off for non-payment, or the account is closed during the collection process. See "COVID-19 Regulatory Matters" in Note B.</w:t>
      </w:r>
    </w:p>
    <w:p>
      <w:pPr>
        <w:spacing w:after="0" w:line="12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Other receivables allowance for uncollectible accounts is calculated based on a historical average of collections relative to total other receivables, including current receivables. Current macro- and micro-economic conditions are also considered when calculating the current reserve. Probable outcomes of pending litigation, whether favorable or unfavorable to the Companies, are also included in the consideration.</w:t>
      </w:r>
    </w:p>
    <w:p>
      <w:pPr>
        <w:spacing w:after="0" w:line="121"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Starting in 2020, the potential economic impact of the COVID-19 pandemic was also considered in forward-looking projections related to write-off and recovery rates and resulted in increases to the allowance for uncollectible accounts. The increases to the allowance for uncollectible customer accounts for Con Edison and CECONY were $ 94 million and $91 million, respectively, for the three months ended June 30, 2021 and $127 million and $124 million, respectively, for the six months ended June 30, 2021. The increases to the allowance for uncollectible customer accounts for Con Edison and CECONY were $12 million and $ 11 million, respectively, for the three months ended June 30, 2020 and $18 million and $16 million, respectively, for the six months ended June 30, 2020.</w:t>
      </w:r>
    </w:p>
    <w:p>
      <w:pPr>
        <w:spacing w:after="0" w:line="2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Customer accounts receivable and the associated allowance for uncollectible accounts are included in the line “Accounts receivable – customers” on the Companies’ consolidated balance sheets. Other receivables and the associated allowance for uncollectible accounts are included in “Other receivables” on the consolidated balance sheets.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rollforward by major portfolio segment type for the three and six months ended June 30, 2021 and 2020: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Borders>
              <w:bottom w:val="single" w:sz="8" w:color="929292"/>
            </w:tcBorders>
          </w:tcPr>
          <w:p>
            <w:pPr>
              <w:spacing w:after="0"/>
              <w:rPr>
                <w:sz w:val="16"/>
                <w:szCs w:val="16"/>
                <w:color w:val="auto"/>
              </w:rPr>
            </w:pPr>
          </w:p>
        </w:tc>
        <w:tc>
          <w:tcPr>
            <w:tcW w:w="1360" w:type="dxa"/>
            <w:vAlign w:val="bottom"/>
            <w:tcBorders>
              <w:bottom w:val="single" w:sz="8" w:color="8C8272"/>
            </w:tcBorders>
          </w:tcPr>
          <w:p>
            <w:pPr>
              <w:spacing w:after="0"/>
              <w:rPr>
                <w:sz w:val="16"/>
                <w:szCs w:val="16"/>
                <w:color w:val="auto"/>
              </w:rPr>
            </w:pPr>
          </w:p>
        </w:tc>
        <w:tc>
          <w:tcPr>
            <w:tcW w:w="640" w:type="dxa"/>
            <w:vAlign w:val="bottom"/>
            <w:tcBorders>
              <w:bottom w:val="single" w:sz="8" w:color="8C8272"/>
            </w:tcBorders>
          </w:tcPr>
          <w:p>
            <w:pPr>
              <w:spacing w:after="0"/>
              <w:rPr>
                <w:sz w:val="16"/>
                <w:szCs w:val="16"/>
                <w:color w:val="auto"/>
              </w:rPr>
            </w:pPr>
          </w:p>
        </w:tc>
        <w:tc>
          <w:tcPr>
            <w:tcW w:w="3080" w:type="dxa"/>
            <w:vAlign w:val="bottom"/>
            <w:tcBorders>
              <w:bottom w:val="single" w:sz="8" w:color="8C8272"/>
            </w:tcBorders>
            <w:gridSpan w:val="3"/>
          </w:tcPr>
          <w:p>
            <w:pPr>
              <w:jc w:val="right"/>
              <w:ind w:right="48"/>
              <w:spacing w:after="0"/>
              <w:rPr>
                <w:sz w:val="20"/>
                <w:szCs w:val="20"/>
                <w:color w:val="auto"/>
              </w:rPr>
            </w:pPr>
            <w:r>
              <w:rPr>
                <w:rFonts w:ascii="Arial" w:cs="Arial" w:eastAsia="Arial" w:hAnsi="Arial"/>
                <w:sz w:val="14"/>
                <w:szCs w:val="14"/>
                <w:b w:val="1"/>
                <w:bCs w:val="1"/>
                <w:color w:val="auto"/>
              </w:rPr>
              <w:t>For the Three Months Ended June 30,</w:t>
            </w:r>
          </w:p>
        </w:tc>
        <w:tc>
          <w:tcPr>
            <w:tcW w:w="760" w:type="dxa"/>
            <w:vAlign w:val="bottom"/>
            <w:tcBorders>
              <w:bottom w:val="single" w:sz="8" w:color="8C8272"/>
            </w:tcBorders>
          </w:tcPr>
          <w:p>
            <w:pPr>
              <w:spacing w:after="0"/>
              <w:rPr>
                <w:sz w:val="16"/>
                <w:szCs w:val="16"/>
                <w:color w:val="auto"/>
              </w:rPr>
            </w:pPr>
          </w:p>
        </w:tc>
        <w:tc>
          <w:tcPr>
            <w:tcW w:w="880" w:type="dxa"/>
            <w:vAlign w:val="bottom"/>
            <w:tcBorders>
              <w:bottom w:val="single" w:sz="8" w:color="8C8272"/>
            </w:tcBorders>
          </w:tcPr>
          <w:p>
            <w:pPr>
              <w:spacing w:after="0"/>
              <w:rPr>
                <w:sz w:val="16"/>
                <w:szCs w:val="16"/>
                <w:color w:val="auto"/>
              </w:rPr>
            </w:pPr>
          </w:p>
        </w:tc>
        <w:tc>
          <w:tcPr>
            <w:tcW w:w="640" w:type="dxa"/>
            <w:vAlign w:val="bottom"/>
            <w:tcBorders>
              <w:bottom w:val="single" w:sz="8" w:color="8C8272"/>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929292"/>
            </w:tcBorders>
          </w:tcPr>
          <w:p>
            <w:pPr>
              <w:spacing w:after="0"/>
              <w:rPr>
                <w:sz w:val="15"/>
                <w:szCs w:val="15"/>
                <w:color w:val="auto"/>
              </w:rPr>
            </w:pPr>
          </w:p>
        </w:tc>
        <w:tc>
          <w:tcPr>
            <w:tcW w:w="1360" w:type="dxa"/>
            <w:vAlign w:val="bottom"/>
            <w:tcBorders>
              <w:bottom w:val="single" w:sz="8" w:color="929292"/>
            </w:tcBorders>
          </w:tcPr>
          <w:p>
            <w:pPr>
              <w:spacing w:after="0"/>
              <w:rPr>
                <w:sz w:val="15"/>
                <w:szCs w:val="15"/>
                <w:color w:val="auto"/>
              </w:rPr>
            </w:pPr>
          </w:p>
        </w:tc>
        <w:tc>
          <w:tcPr>
            <w:tcW w:w="1680" w:type="dxa"/>
            <w:vAlign w:val="bottom"/>
            <w:tcBorders>
              <w:bottom w:val="single" w:sz="8" w:color="929292"/>
            </w:tcBorders>
            <w:gridSpan w:val="2"/>
          </w:tcPr>
          <w:p>
            <w:pPr>
              <w:jc w:val="right"/>
              <w:ind w:right="728"/>
              <w:spacing w:after="0"/>
              <w:rPr>
                <w:sz w:val="20"/>
                <w:szCs w:val="20"/>
                <w:color w:val="auto"/>
              </w:rPr>
            </w:pPr>
            <w:r>
              <w:rPr>
                <w:rFonts w:ascii="Arial" w:cs="Arial" w:eastAsia="Arial" w:hAnsi="Arial"/>
                <w:sz w:val="14"/>
                <w:szCs w:val="14"/>
                <w:b w:val="1"/>
                <w:bCs w:val="1"/>
                <w:color w:val="auto"/>
              </w:rPr>
              <w:t>Con Edison</w:t>
            </w:r>
          </w:p>
        </w:tc>
        <w:tc>
          <w:tcPr>
            <w:tcW w:w="720" w:type="dxa"/>
            <w:vAlign w:val="bottom"/>
            <w:tcBorders>
              <w:bottom w:val="single" w:sz="8" w:color="929292"/>
            </w:tcBorders>
          </w:tcPr>
          <w:p>
            <w:pPr>
              <w:spacing w:after="0"/>
              <w:rPr>
                <w:sz w:val="15"/>
                <w:szCs w:val="15"/>
                <w:color w:val="auto"/>
              </w:rPr>
            </w:pPr>
          </w:p>
        </w:tc>
        <w:tc>
          <w:tcPr>
            <w:tcW w:w="1320" w:type="dxa"/>
            <w:vAlign w:val="bottom"/>
            <w:tcBorders>
              <w:bottom w:val="single" w:sz="8" w:color="929292"/>
            </w:tcBorders>
          </w:tcPr>
          <w:p>
            <w:pPr>
              <w:spacing w:after="0"/>
              <w:rPr>
                <w:sz w:val="15"/>
                <w:szCs w:val="15"/>
                <w:color w:val="auto"/>
              </w:rPr>
            </w:pPr>
          </w:p>
        </w:tc>
        <w:tc>
          <w:tcPr>
            <w:tcW w:w="76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CECONY</w:t>
            </w:r>
          </w:p>
        </w:tc>
        <w:tc>
          <w:tcPr>
            <w:tcW w:w="880" w:type="dxa"/>
            <w:vAlign w:val="bottom"/>
            <w:tcBorders>
              <w:bottom w:val="single" w:sz="8" w:color="929292"/>
            </w:tcBorders>
          </w:tcPr>
          <w:p>
            <w:pPr>
              <w:spacing w:after="0"/>
              <w:rPr>
                <w:sz w:val="15"/>
                <w:szCs w:val="15"/>
                <w:color w:val="auto"/>
              </w:rPr>
            </w:pPr>
          </w:p>
        </w:tc>
        <w:tc>
          <w:tcPr>
            <w:tcW w:w="640" w:type="dxa"/>
            <w:vAlign w:val="bottom"/>
            <w:tcBorders>
              <w:bottom w:val="single" w:sz="8" w:color="929292"/>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000" w:type="dxa"/>
            <w:vAlign w:val="bottom"/>
            <w:gridSpan w:val="2"/>
          </w:tcPr>
          <w:p>
            <w:pPr>
              <w:jc w:val="right"/>
              <w:ind w:right="248"/>
              <w:spacing w:after="0" w:line="142" w:lineRule="exact"/>
              <w:rPr>
                <w:sz w:val="20"/>
                <w:szCs w:val="20"/>
                <w:color w:val="auto"/>
              </w:rPr>
            </w:pPr>
            <w:r>
              <w:rPr>
                <w:rFonts w:ascii="Arial" w:cs="Arial" w:eastAsia="Arial" w:hAnsi="Arial"/>
                <w:sz w:val="14"/>
                <w:szCs w:val="14"/>
                <w:b w:val="1"/>
                <w:bCs w:val="1"/>
                <w:color w:val="auto"/>
              </w:rPr>
              <w:t>Accounts receivable -</w:t>
            </w:r>
          </w:p>
        </w:tc>
        <w:tc>
          <w:tcPr>
            <w:tcW w:w="176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rPr>
              <w:t>Other receivables</w:t>
            </w:r>
          </w:p>
        </w:tc>
        <w:tc>
          <w:tcPr>
            <w:tcW w:w="2080" w:type="dxa"/>
            <w:vAlign w:val="bottom"/>
            <w:gridSpan w:val="2"/>
          </w:tcPr>
          <w:p>
            <w:pPr>
              <w:jc w:val="right"/>
              <w:ind w:right="428"/>
              <w:spacing w:after="0" w:line="142" w:lineRule="exact"/>
              <w:rPr>
                <w:sz w:val="20"/>
                <w:szCs w:val="20"/>
                <w:color w:val="auto"/>
              </w:rPr>
            </w:pPr>
            <w:r>
              <w:rPr>
                <w:rFonts w:ascii="Arial" w:cs="Arial" w:eastAsia="Arial" w:hAnsi="Arial"/>
                <w:sz w:val="14"/>
                <w:szCs w:val="14"/>
                <w:b w:val="1"/>
                <w:bCs w:val="1"/>
                <w:color w:val="auto"/>
              </w:rPr>
              <w:t>Accounts receivable -</w:t>
            </w:r>
          </w:p>
        </w:tc>
        <w:tc>
          <w:tcPr>
            <w:tcW w:w="152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Other receivables</w:t>
            </w:r>
          </w:p>
        </w:tc>
        <w:tc>
          <w:tcPr>
            <w:tcW w:w="0" w:type="dxa"/>
            <w:vAlign w:val="bottom"/>
          </w:tcPr>
          <w:p>
            <w:pPr>
              <w:spacing w:after="0"/>
              <w:rPr>
                <w:sz w:val="1"/>
                <w:szCs w:val="1"/>
                <w:color w:val="auto"/>
              </w:rPr>
            </w:pPr>
          </w:p>
        </w:tc>
      </w:tr>
      <w:tr>
        <w:trPr>
          <w:trHeight w:val="175"/>
        </w:trPr>
        <w:tc>
          <w:tcPr>
            <w:tcW w:w="3860" w:type="dxa"/>
            <w:vAlign w:val="bottom"/>
            <w:tcBorders>
              <w:bottom w:val="single" w:sz="8" w:color="8C8272"/>
            </w:tcBorders>
          </w:tcPr>
          <w:p>
            <w:pPr>
              <w:spacing w:after="0"/>
              <w:rPr>
                <w:sz w:val="15"/>
                <w:szCs w:val="15"/>
                <w:color w:val="auto"/>
              </w:rPr>
            </w:pPr>
          </w:p>
        </w:tc>
        <w:tc>
          <w:tcPr>
            <w:tcW w:w="13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customers</w:t>
            </w:r>
          </w:p>
        </w:tc>
        <w:tc>
          <w:tcPr>
            <w:tcW w:w="640" w:type="dxa"/>
            <w:vAlign w:val="bottom"/>
            <w:tcBorders>
              <w:bottom w:val="single" w:sz="8" w:color="8C8272"/>
            </w:tcBorders>
          </w:tcPr>
          <w:p>
            <w:pPr>
              <w:spacing w:after="0"/>
              <w:rPr>
                <w:sz w:val="15"/>
                <w:szCs w:val="15"/>
                <w:color w:val="auto"/>
              </w:rPr>
            </w:pPr>
          </w:p>
        </w:tc>
        <w:tc>
          <w:tcPr>
            <w:tcW w:w="1760" w:type="dxa"/>
            <w:vAlign w:val="bottom"/>
            <w:tcBorders>
              <w:bottom w:val="single" w:sz="8" w:color="8C8272"/>
            </w:tcBorders>
            <w:gridSpan w:val="2"/>
            <w:vMerge w:val="continue"/>
          </w:tcPr>
          <w:p>
            <w:pPr>
              <w:spacing w:after="0"/>
              <w:rPr>
                <w:sz w:val="15"/>
                <w:szCs w:val="15"/>
                <w:color w:val="auto"/>
              </w:rPr>
            </w:pPr>
          </w:p>
        </w:tc>
        <w:tc>
          <w:tcPr>
            <w:tcW w:w="132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b w:val="1"/>
                <w:bCs w:val="1"/>
                <w:color w:val="auto"/>
              </w:rPr>
              <w:t>customers</w:t>
            </w:r>
          </w:p>
        </w:tc>
        <w:tc>
          <w:tcPr>
            <w:tcW w:w="760" w:type="dxa"/>
            <w:vAlign w:val="bottom"/>
            <w:tcBorders>
              <w:bottom w:val="single" w:sz="8" w:color="8C8272"/>
            </w:tcBorders>
          </w:tcPr>
          <w:p>
            <w:pPr>
              <w:spacing w:after="0"/>
              <w:rPr>
                <w:sz w:val="15"/>
                <w:szCs w:val="15"/>
                <w:color w:val="auto"/>
              </w:rPr>
            </w:pPr>
          </w:p>
        </w:tc>
        <w:tc>
          <w:tcPr>
            <w:tcW w:w="1520" w:type="dxa"/>
            <w:vAlign w:val="bottom"/>
            <w:tcBorders>
              <w:bottom w:val="single" w:sz="8" w:color="8C8272"/>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92929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360" w:type="dxa"/>
            <w:vAlign w:val="bottom"/>
            <w:tcBorders>
              <w:bottom w:val="single" w:sz="8" w:color="929292"/>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929292"/>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929292"/>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320" w:type="dxa"/>
            <w:vAlign w:val="bottom"/>
            <w:tcBorders>
              <w:bottom w:val="single" w:sz="8" w:color="929292"/>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929292"/>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929292"/>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3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Allowance for credit losses</w:t>
            </w:r>
          </w:p>
        </w:tc>
        <w:tc>
          <w:tcPr>
            <w:tcW w:w="13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3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Beginning Balance at April 1,</w:t>
            </w:r>
          </w:p>
        </w:tc>
        <w:tc>
          <w:tcPr>
            <w:tcW w:w="1360" w:type="dxa"/>
            <w:vAlign w:val="bottom"/>
          </w:tcPr>
          <w:p>
            <w:pPr>
              <w:jc w:val="right"/>
              <w:ind w:right="388"/>
              <w:spacing w:after="0"/>
              <w:rPr>
                <w:sz w:val="20"/>
                <w:szCs w:val="20"/>
                <w:color w:val="auto"/>
              </w:rPr>
            </w:pPr>
            <w:r>
              <w:rPr>
                <w:rFonts w:ascii="Arial" w:cs="Arial" w:eastAsia="Arial" w:hAnsi="Arial"/>
                <w:sz w:val="14"/>
                <w:szCs w:val="14"/>
                <w:color w:val="auto"/>
              </w:rPr>
              <w:t>$181</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$75</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$7</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320" w:type="dxa"/>
            <w:vAlign w:val="bottom"/>
          </w:tcPr>
          <w:p>
            <w:pPr>
              <w:jc w:val="right"/>
              <w:ind w:right="428"/>
              <w:spacing w:after="0"/>
              <w:rPr>
                <w:sz w:val="20"/>
                <w:szCs w:val="20"/>
                <w:color w:val="auto"/>
              </w:rPr>
            </w:pPr>
            <w:r>
              <w:rPr>
                <w:rFonts w:ascii="Arial" w:cs="Arial" w:eastAsia="Arial" w:hAnsi="Arial"/>
                <w:sz w:val="14"/>
                <w:szCs w:val="14"/>
                <w:color w:val="auto"/>
              </w:rPr>
              <w:t>$171</w:t>
            </w: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$70</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$5</w:t>
            </w: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38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Recoveries</w:t>
            </w:r>
          </w:p>
        </w:tc>
        <w:tc>
          <w:tcPr>
            <w:tcW w:w="1360" w:type="dxa"/>
            <w:vAlign w:val="bottom"/>
            <w:shd w:val="clear" w:color="auto" w:fill="E5E5E5"/>
          </w:tcPr>
          <w:p>
            <w:pPr>
              <w:jc w:val="right"/>
              <w:ind w:right="388"/>
              <w:spacing w:after="0"/>
              <w:rPr>
                <w:sz w:val="20"/>
                <w:szCs w:val="20"/>
                <w:color w:val="auto"/>
              </w:rPr>
            </w:pPr>
            <w:r>
              <w:rPr>
                <w:rFonts w:ascii="Arial" w:cs="Arial" w:eastAsia="Arial" w:hAnsi="Arial"/>
                <w:sz w:val="14"/>
                <w:szCs w:val="14"/>
                <w:color w:val="auto"/>
              </w:rPr>
              <w:t>3</w:t>
            </w:r>
          </w:p>
        </w:tc>
        <w:tc>
          <w:tcPr>
            <w:tcW w:w="6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w:t>
            </w:r>
          </w:p>
        </w:tc>
        <w:tc>
          <w:tcPr>
            <w:tcW w:w="10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5E5"/>
          </w:tcPr>
          <w:p>
            <w:pPr>
              <w:jc w:val="right"/>
              <w:ind w:right="428"/>
              <w:spacing w:after="0"/>
              <w:rPr>
                <w:sz w:val="20"/>
                <w:szCs w:val="20"/>
                <w:color w:val="auto"/>
              </w:rPr>
            </w:pPr>
            <w:r>
              <w:rPr>
                <w:rFonts w:ascii="Arial" w:cs="Arial" w:eastAsia="Arial" w:hAnsi="Arial"/>
                <w:sz w:val="14"/>
                <w:szCs w:val="14"/>
                <w:color w:val="auto"/>
              </w:rPr>
              <w:t>2</w:t>
            </w:r>
          </w:p>
        </w:tc>
        <w:tc>
          <w:tcPr>
            <w:tcW w:w="76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2</w:t>
            </w:r>
          </w:p>
        </w:tc>
        <w:tc>
          <w:tcPr>
            <w:tcW w:w="88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860" w:type="dxa"/>
            <w:vAlign w:val="bottom"/>
          </w:tcPr>
          <w:p>
            <w:pPr>
              <w:ind w:left="140"/>
              <w:spacing w:after="0"/>
              <w:rPr>
                <w:sz w:val="20"/>
                <w:szCs w:val="20"/>
                <w:color w:val="auto"/>
              </w:rPr>
            </w:pPr>
            <w:r>
              <w:rPr>
                <w:rFonts w:ascii="Arial" w:cs="Arial" w:eastAsia="Arial" w:hAnsi="Arial"/>
                <w:sz w:val="14"/>
                <w:szCs w:val="14"/>
                <w:color w:val="auto"/>
              </w:rPr>
              <w:t>Write-offs</w:t>
            </w:r>
          </w:p>
        </w:tc>
        <w:tc>
          <w:tcPr>
            <w:tcW w:w="1360" w:type="dxa"/>
            <w:vAlign w:val="bottom"/>
          </w:tcPr>
          <w:p>
            <w:pPr>
              <w:jc w:val="right"/>
              <w:ind w:right="388"/>
              <w:spacing w:after="0"/>
              <w:rPr>
                <w:sz w:val="20"/>
                <w:szCs w:val="20"/>
                <w:color w:val="auto"/>
              </w:rPr>
            </w:pPr>
            <w:r>
              <w:rPr>
                <w:rFonts w:ascii="Arial" w:cs="Arial" w:eastAsia="Arial" w:hAnsi="Arial"/>
                <w:sz w:val="14"/>
                <w:szCs w:val="14"/>
                <w:color w:val="auto"/>
              </w:rPr>
              <w:t>(21)</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(15)</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320" w:type="dxa"/>
            <w:vAlign w:val="bottom"/>
          </w:tcPr>
          <w:p>
            <w:pPr>
              <w:jc w:val="right"/>
              <w:ind w:right="428"/>
              <w:spacing w:after="0"/>
              <w:rPr>
                <w:sz w:val="20"/>
                <w:szCs w:val="20"/>
                <w:color w:val="auto"/>
              </w:rPr>
            </w:pPr>
            <w:r>
              <w:rPr>
                <w:rFonts w:ascii="Arial" w:cs="Arial" w:eastAsia="Arial" w:hAnsi="Arial"/>
                <w:sz w:val="14"/>
                <w:szCs w:val="14"/>
                <w:color w:val="auto"/>
              </w:rPr>
              <w:t>(19)</w:t>
            </w: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(14)</w:t>
            </w:r>
          </w:p>
        </w:tc>
        <w:tc>
          <w:tcPr>
            <w:tcW w:w="8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929292"/>
            </w:tcBorders>
            <w:shd w:val="clear" w:color="auto" w:fill="E5E5E5"/>
          </w:tcPr>
          <w:p>
            <w:pPr>
              <w:ind w:left="140"/>
              <w:spacing w:after="0"/>
              <w:rPr>
                <w:sz w:val="20"/>
                <w:szCs w:val="20"/>
                <w:color w:val="auto"/>
              </w:rPr>
            </w:pPr>
            <w:r>
              <w:rPr>
                <w:rFonts w:ascii="Arial" w:cs="Arial" w:eastAsia="Arial" w:hAnsi="Arial"/>
                <w:sz w:val="14"/>
                <w:szCs w:val="14"/>
                <w:color w:val="auto"/>
              </w:rPr>
              <w:t>Reserve adjustments</w:t>
            </w:r>
          </w:p>
        </w:tc>
        <w:tc>
          <w:tcPr>
            <w:tcW w:w="1360" w:type="dxa"/>
            <w:vAlign w:val="bottom"/>
            <w:tcBorders>
              <w:bottom w:val="single" w:sz="8" w:color="929292"/>
            </w:tcBorders>
            <w:shd w:val="clear" w:color="auto" w:fill="E5E5E5"/>
          </w:tcPr>
          <w:p>
            <w:pPr>
              <w:jc w:val="right"/>
              <w:ind w:right="388"/>
              <w:spacing w:after="0"/>
              <w:rPr>
                <w:sz w:val="20"/>
                <w:szCs w:val="20"/>
                <w:color w:val="auto"/>
              </w:rPr>
            </w:pPr>
            <w:r>
              <w:rPr>
                <w:rFonts w:ascii="Arial" w:cs="Arial" w:eastAsia="Arial" w:hAnsi="Arial"/>
                <w:sz w:val="14"/>
                <w:szCs w:val="14"/>
                <w:color w:val="auto"/>
              </w:rPr>
              <w:t>112</w:t>
            </w:r>
          </w:p>
        </w:tc>
        <w:tc>
          <w:tcPr>
            <w:tcW w:w="640" w:type="dxa"/>
            <w:vAlign w:val="bottom"/>
            <w:tcBorders>
              <w:bottom w:val="single" w:sz="8" w:color="929292"/>
            </w:tcBorders>
            <w:shd w:val="clear" w:color="auto" w:fill="E5E5E5"/>
          </w:tcPr>
          <w:p>
            <w:pPr>
              <w:jc w:val="right"/>
              <w:ind w:right="108"/>
              <w:spacing w:after="0"/>
              <w:rPr>
                <w:sz w:val="20"/>
                <w:szCs w:val="20"/>
                <w:color w:val="auto"/>
              </w:rPr>
            </w:pPr>
            <w:r>
              <w:rPr>
                <w:rFonts w:ascii="Arial" w:cs="Arial" w:eastAsia="Arial" w:hAnsi="Arial"/>
                <w:sz w:val="14"/>
                <w:szCs w:val="14"/>
                <w:color w:val="auto"/>
              </w:rPr>
              <w:t>25</w:t>
            </w:r>
          </w:p>
        </w:tc>
        <w:tc>
          <w:tcPr>
            <w:tcW w:w="1040" w:type="dxa"/>
            <w:vAlign w:val="bottom"/>
            <w:tcBorders>
              <w:bottom w:val="single" w:sz="8" w:color="929292"/>
            </w:tcBorders>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29292"/>
            </w:tcBorders>
            <w:shd w:val="clear" w:color="auto" w:fill="E5E5E5"/>
          </w:tcPr>
          <w:p>
            <w:pPr>
              <w:jc w:val="right"/>
              <w:ind w:right="28"/>
              <w:spacing w:after="0"/>
              <w:rPr>
                <w:sz w:val="20"/>
                <w:szCs w:val="20"/>
                <w:color w:val="auto"/>
              </w:rPr>
            </w:pPr>
            <w:r>
              <w:rPr>
                <w:rFonts w:ascii="Arial" w:cs="Arial" w:eastAsia="Arial" w:hAnsi="Arial"/>
                <w:sz w:val="14"/>
                <w:szCs w:val="14"/>
                <w:color w:val="auto"/>
              </w:rPr>
              <w:t>1</w:t>
            </w:r>
          </w:p>
        </w:tc>
        <w:tc>
          <w:tcPr>
            <w:tcW w:w="1320" w:type="dxa"/>
            <w:vAlign w:val="bottom"/>
            <w:tcBorders>
              <w:bottom w:val="single" w:sz="8" w:color="929292"/>
            </w:tcBorders>
            <w:shd w:val="clear" w:color="auto" w:fill="E5E5E5"/>
          </w:tcPr>
          <w:p>
            <w:pPr>
              <w:jc w:val="right"/>
              <w:ind w:right="428"/>
              <w:spacing w:after="0"/>
              <w:rPr>
                <w:sz w:val="20"/>
                <w:szCs w:val="20"/>
                <w:color w:val="auto"/>
              </w:rPr>
            </w:pPr>
            <w:r>
              <w:rPr>
                <w:rFonts w:ascii="Arial" w:cs="Arial" w:eastAsia="Arial" w:hAnsi="Arial"/>
                <w:sz w:val="14"/>
                <w:szCs w:val="14"/>
                <w:color w:val="auto"/>
              </w:rPr>
              <w:t>108</w:t>
            </w:r>
          </w:p>
        </w:tc>
        <w:tc>
          <w:tcPr>
            <w:tcW w:w="760" w:type="dxa"/>
            <w:vAlign w:val="bottom"/>
            <w:tcBorders>
              <w:bottom w:val="single" w:sz="8" w:color="929292"/>
            </w:tcBorders>
            <w:shd w:val="clear" w:color="auto" w:fill="E5E5E5"/>
          </w:tcPr>
          <w:p>
            <w:pPr>
              <w:jc w:val="right"/>
              <w:ind w:right="268"/>
              <w:spacing w:after="0"/>
              <w:rPr>
                <w:sz w:val="20"/>
                <w:szCs w:val="20"/>
                <w:color w:val="auto"/>
              </w:rPr>
            </w:pPr>
            <w:r>
              <w:rPr>
                <w:rFonts w:ascii="Arial" w:cs="Arial" w:eastAsia="Arial" w:hAnsi="Arial"/>
                <w:sz w:val="14"/>
                <w:szCs w:val="14"/>
                <w:color w:val="auto"/>
              </w:rPr>
              <w:t>23</w:t>
            </w:r>
          </w:p>
        </w:tc>
        <w:tc>
          <w:tcPr>
            <w:tcW w:w="880" w:type="dxa"/>
            <w:vAlign w:val="bottom"/>
            <w:tcBorders>
              <w:bottom w:val="single" w:sz="8" w:color="929292"/>
            </w:tcBorders>
            <w:shd w:val="clear" w:color="auto" w:fill="E5E5E5"/>
          </w:tcPr>
          <w:p>
            <w:pPr>
              <w:jc w:val="right"/>
              <w:ind w:right="228"/>
              <w:spacing w:after="0"/>
              <w:rPr>
                <w:sz w:val="20"/>
                <w:szCs w:val="20"/>
                <w:color w:val="auto"/>
              </w:rPr>
            </w:pPr>
            <w:r>
              <w:rPr>
                <w:rFonts w:ascii="Arial" w:cs="Arial" w:eastAsia="Arial" w:hAnsi="Arial"/>
                <w:sz w:val="14"/>
                <w:szCs w:val="14"/>
                <w:color w:val="auto"/>
              </w:rPr>
              <w:t>(1)</w:t>
            </w:r>
          </w:p>
        </w:tc>
        <w:tc>
          <w:tcPr>
            <w:tcW w:w="640" w:type="dxa"/>
            <w:vAlign w:val="bottom"/>
            <w:tcBorders>
              <w:bottom w:val="single" w:sz="8" w:color="929292"/>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828282"/>
            </w:tcBorders>
          </w:tcPr>
          <w:p>
            <w:pPr>
              <w:ind w:left="20"/>
              <w:spacing w:after="0"/>
              <w:rPr>
                <w:sz w:val="20"/>
                <w:szCs w:val="20"/>
                <w:color w:val="auto"/>
              </w:rPr>
            </w:pPr>
            <w:r>
              <w:rPr>
                <w:rFonts w:ascii="Arial" w:cs="Arial" w:eastAsia="Arial" w:hAnsi="Arial"/>
                <w:sz w:val="14"/>
                <w:szCs w:val="14"/>
                <w:color w:val="auto"/>
              </w:rPr>
              <w:t>Ending Balance June 30,</w:t>
            </w:r>
          </w:p>
        </w:tc>
        <w:tc>
          <w:tcPr>
            <w:tcW w:w="1360" w:type="dxa"/>
            <w:vAlign w:val="bottom"/>
            <w:tcBorders>
              <w:bottom w:val="single" w:sz="8" w:color="828282"/>
            </w:tcBorders>
          </w:tcPr>
          <w:p>
            <w:pPr>
              <w:jc w:val="right"/>
              <w:ind w:right="388"/>
              <w:spacing w:after="0"/>
              <w:rPr>
                <w:sz w:val="20"/>
                <w:szCs w:val="20"/>
                <w:color w:val="auto"/>
              </w:rPr>
            </w:pPr>
            <w:r>
              <w:rPr>
                <w:rFonts w:ascii="Arial" w:cs="Arial" w:eastAsia="Arial" w:hAnsi="Arial"/>
                <w:sz w:val="14"/>
                <w:szCs w:val="14"/>
                <w:color w:val="auto"/>
              </w:rPr>
              <w:t>$275</w:t>
            </w:r>
          </w:p>
        </w:tc>
        <w:tc>
          <w:tcPr>
            <w:tcW w:w="640" w:type="dxa"/>
            <w:vAlign w:val="bottom"/>
            <w:tcBorders>
              <w:bottom w:val="single" w:sz="8" w:color="828282"/>
            </w:tcBorders>
          </w:tcPr>
          <w:p>
            <w:pPr>
              <w:jc w:val="right"/>
              <w:ind w:right="108"/>
              <w:spacing w:after="0"/>
              <w:rPr>
                <w:sz w:val="20"/>
                <w:szCs w:val="20"/>
                <w:color w:val="auto"/>
              </w:rPr>
            </w:pPr>
            <w:r>
              <w:rPr>
                <w:rFonts w:ascii="Arial" w:cs="Arial" w:eastAsia="Arial" w:hAnsi="Arial"/>
                <w:sz w:val="14"/>
                <w:szCs w:val="14"/>
                <w:color w:val="auto"/>
              </w:rPr>
              <w:t>$87</w:t>
            </w:r>
          </w:p>
        </w:tc>
        <w:tc>
          <w:tcPr>
            <w:tcW w:w="1040" w:type="dxa"/>
            <w:vAlign w:val="bottom"/>
            <w:tcBorders>
              <w:bottom w:val="single" w:sz="8" w:color="828282"/>
            </w:tcBorders>
          </w:tcPr>
          <w:p>
            <w:pPr>
              <w:jc w:val="right"/>
              <w:ind w:right="228"/>
              <w:spacing w:after="0"/>
              <w:rPr>
                <w:sz w:val="20"/>
                <w:szCs w:val="20"/>
                <w:color w:val="auto"/>
              </w:rPr>
            </w:pPr>
            <w:r>
              <w:rPr>
                <w:rFonts w:ascii="Arial" w:cs="Arial" w:eastAsia="Arial" w:hAnsi="Arial"/>
                <w:sz w:val="14"/>
                <w:szCs w:val="14"/>
                <w:color w:val="auto"/>
              </w:rPr>
              <w:t>$7</w:t>
            </w:r>
          </w:p>
        </w:tc>
        <w:tc>
          <w:tcPr>
            <w:tcW w:w="720" w:type="dxa"/>
            <w:vAlign w:val="bottom"/>
            <w:tcBorders>
              <w:bottom w:val="single" w:sz="8" w:color="828282"/>
            </w:tcBorders>
          </w:tcPr>
          <w:p>
            <w:pPr>
              <w:jc w:val="right"/>
              <w:ind w:right="28"/>
              <w:spacing w:after="0"/>
              <w:rPr>
                <w:sz w:val="20"/>
                <w:szCs w:val="20"/>
                <w:color w:val="auto"/>
              </w:rPr>
            </w:pPr>
            <w:r>
              <w:rPr>
                <w:rFonts w:ascii="Arial" w:cs="Arial" w:eastAsia="Arial" w:hAnsi="Arial"/>
                <w:sz w:val="14"/>
                <w:szCs w:val="14"/>
                <w:color w:val="auto"/>
              </w:rPr>
              <w:t>$5</w:t>
            </w:r>
          </w:p>
        </w:tc>
        <w:tc>
          <w:tcPr>
            <w:tcW w:w="1320" w:type="dxa"/>
            <w:vAlign w:val="bottom"/>
            <w:tcBorders>
              <w:bottom w:val="single" w:sz="8" w:color="828282"/>
            </w:tcBorders>
          </w:tcPr>
          <w:p>
            <w:pPr>
              <w:jc w:val="right"/>
              <w:ind w:right="428"/>
              <w:spacing w:after="0"/>
              <w:rPr>
                <w:sz w:val="20"/>
                <w:szCs w:val="20"/>
                <w:color w:val="auto"/>
              </w:rPr>
            </w:pPr>
            <w:r>
              <w:rPr>
                <w:rFonts w:ascii="Arial" w:cs="Arial" w:eastAsia="Arial" w:hAnsi="Arial"/>
                <w:sz w:val="14"/>
                <w:szCs w:val="14"/>
                <w:color w:val="auto"/>
              </w:rPr>
              <w:t>$262</w:t>
            </w:r>
          </w:p>
        </w:tc>
        <w:tc>
          <w:tcPr>
            <w:tcW w:w="760" w:type="dxa"/>
            <w:vAlign w:val="bottom"/>
            <w:tcBorders>
              <w:bottom w:val="single" w:sz="8" w:color="828282"/>
            </w:tcBorders>
          </w:tcPr>
          <w:p>
            <w:pPr>
              <w:jc w:val="right"/>
              <w:ind w:right="268"/>
              <w:spacing w:after="0"/>
              <w:rPr>
                <w:sz w:val="20"/>
                <w:szCs w:val="20"/>
                <w:color w:val="auto"/>
              </w:rPr>
            </w:pPr>
            <w:r>
              <w:rPr>
                <w:rFonts w:ascii="Arial" w:cs="Arial" w:eastAsia="Arial" w:hAnsi="Arial"/>
                <w:sz w:val="14"/>
                <w:szCs w:val="14"/>
                <w:color w:val="auto"/>
              </w:rPr>
              <w:t>$81</w:t>
            </w:r>
          </w:p>
        </w:tc>
        <w:tc>
          <w:tcPr>
            <w:tcW w:w="880" w:type="dxa"/>
            <w:vAlign w:val="bottom"/>
            <w:tcBorders>
              <w:bottom w:val="single" w:sz="8" w:color="828282"/>
            </w:tcBorders>
          </w:tcPr>
          <w:p>
            <w:pPr>
              <w:jc w:val="right"/>
              <w:ind w:right="228"/>
              <w:spacing w:after="0"/>
              <w:rPr>
                <w:sz w:val="20"/>
                <w:szCs w:val="20"/>
                <w:color w:val="auto"/>
              </w:rPr>
            </w:pPr>
            <w:r>
              <w:rPr>
                <w:rFonts w:ascii="Arial" w:cs="Arial" w:eastAsia="Arial" w:hAnsi="Arial"/>
                <w:sz w:val="14"/>
                <w:szCs w:val="14"/>
                <w:color w:val="auto"/>
              </w:rPr>
              <w:t>$4</w:t>
            </w:r>
          </w:p>
        </w:tc>
        <w:tc>
          <w:tcPr>
            <w:tcW w:w="64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-128270</wp:posOffset>
            </wp:positionV>
            <wp:extent cx="8255" cy="1714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-102235</wp:posOffset>
            </wp:positionV>
            <wp:extent cx="8255"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-85090</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-67945</wp:posOffset>
            </wp:positionV>
            <wp:extent cx="825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-50800</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-33655</wp:posOffset>
            </wp:positionV>
            <wp:extent cx="8255"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-16510</wp:posOffset>
            </wp:positionV>
            <wp:extent cx="8255"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-256540</wp:posOffset>
            </wp:positionV>
            <wp:extent cx="8255" cy="1714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-231140</wp:posOffset>
            </wp:positionV>
            <wp:extent cx="8255"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-213995</wp:posOffset>
            </wp:positionV>
            <wp:extent cx="8255"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-196215</wp:posOffset>
            </wp:positionV>
            <wp:extent cx="825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-179070</wp:posOffset>
            </wp:positionV>
            <wp:extent cx="825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-162560</wp:posOffset>
            </wp:positionV>
            <wp:extent cx="8255"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-145415</wp:posOffset>
            </wp:positionV>
            <wp:extent cx="8255"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-385445</wp:posOffset>
            </wp:positionV>
            <wp:extent cx="8255" cy="1714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-359410</wp:posOffset>
            </wp:positionV>
            <wp:extent cx="8255"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-342265</wp:posOffset>
            </wp:positionV>
            <wp:extent cx="8255"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-325120</wp:posOffset>
            </wp:positionV>
            <wp:extent cx="825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-307975</wp:posOffset>
            </wp:positionV>
            <wp:extent cx="825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-290830</wp:posOffset>
            </wp:positionV>
            <wp:extent cx="825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-273685</wp:posOffset>
            </wp:positionV>
            <wp:extent cx="8255"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-513715</wp:posOffset>
            </wp:positionV>
            <wp:extent cx="8255" cy="1714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-488315</wp:posOffset>
            </wp:positionV>
            <wp:extent cx="8255"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-471170</wp:posOffset>
            </wp:positionV>
            <wp:extent cx="8255"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-453390</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-436245</wp:posOffset>
            </wp:positionV>
            <wp:extent cx="825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-419100</wp:posOffset>
            </wp:positionV>
            <wp:extent cx="825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-402590</wp:posOffset>
            </wp:positionV>
            <wp:extent cx="8255"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-642620</wp:posOffset>
            </wp:positionV>
            <wp:extent cx="8255" cy="1714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-616585</wp:posOffset>
            </wp:positionV>
            <wp:extent cx="8255"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-599440</wp:posOffset>
            </wp:positionV>
            <wp:extent cx="8255"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-582295</wp:posOffset>
            </wp:positionV>
            <wp:extent cx="825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-565150</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-548005</wp:posOffset>
            </wp:positionV>
            <wp:extent cx="82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-530860</wp:posOffset>
            </wp:positionV>
            <wp:extent cx="8255"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-770890</wp:posOffset>
            </wp:positionV>
            <wp:extent cx="8255" cy="1714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-745490</wp:posOffset>
            </wp:positionV>
            <wp:extent cx="8255"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-728345</wp:posOffset>
            </wp:positionV>
            <wp:extent cx="8255"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-710565</wp:posOffset>
            </wp:positionV>
            <wp:extent cx="825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-693420</wp:posOffset>
            </wp:positionV>
            <wp:extent cx="825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-676275</wp:posOffset>
            </wp:positionV>
            <wp:extent cx="825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-659765</wp:posOffset>
            </wp:positionV>
            <wp:extent cx="8255"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-899795</wp:posOffset>
            </wp:positionV>
            <wp:extent cx="8255" cy="1714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-873760</wp:posOffset>
            </wp:positionV>
            <wp:extent cx="825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-856615</wp:posOffset>
            </wp:positionV>
            <wp:extent cx="8255"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-839470</wp:posOffset>
            </wp:positionV>
            <wp:extent cx="825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-822325</wp:posOffset>
            </wp:positionV>
            <wp:extent cx="825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-805180</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-788035</wp:posOffset>
            </wp:positionV>
            <wp:extent cx="8255"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-1250950</wp:posOffset>
            </wp:positionV>
            <wp:extent cx="8255" cy="34290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25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9"/>
        </w:trPr>
        <w:tc>
          <w:tcPr>
            <w:tcW w:w="3860" w:type="dxa"/>
            <w:vAlign w:val="bottom"/>
            <w:tcBorders>
              <w:bottom w:val="single" w:sz="8" w:color="929292"/>
            </w:tcBorders>
          </w:tcPr>
          <w:p>
            <w:pPr>
              <w:spacing w:after="0"/>
              <w:rPr>
                <w:sz w:val="16"/>
                <w:szCs w:val="16"/>
                <w:color w:val="auto"/>
              </w:rPr>
            </w:pPr>
          </w:p>
        </w:tc>
        <w:tc>
          <w:tcPr>
            <w:tcW w:w="1360" w:type="dxa"/>
            <w:vAlign w:val="bottom"/>
            <w:tcBorders>
              <w:bottom w:val="single" w:sz="8" w:color="8C8272"/>
            </w:tcBorders>
          </w:tcPr>
          <w:p>
            <w:pPr>
              <w:spacing w:after="0"/>
              <w:rPr>
                <w:sz w:val="16"/>
                <w:szCs w:val="16"/>
                <w:color w:val="auto"/>
              </w:rPr>
            </w:pPr>
          </w:p>
        </w:tc>
        <w:tc>
          <w:tcPr>
            <w:tcW w:w="640" w:type="dxa"/>
            <w:vAlign w:val="bottom"/>
            <w:tcBorders>
              <w:bottom w:val="single" w:sz="8" w:color="8C8272"/>
            </w:tcBorders>
          </w:tcPr>
          <w:p>
            <w:pPr>
              <w:spacing w:after="0"/>
              <w:rPr>
                <w:sz w:val="16"/>
                <w:szCs w:val="16"/>
                <w:color w:val="auto"/>
              </w:rPr>
            </w:pPr>
          </w:p>
        </w:tc>
        <w:tc>
          <w:tcPr>
            <w:tcW w:w="3080" w:type="dxa"/>
            <w:vAlign w:val="bottom"/>
            <w:tcBorders>
              <w:bottom w:val="single" w:sz="8" w:color="8C8272"/>
            </w:tcBorders>
            <w:gridSpan w:val="3"/>
          </w:tcPr>
          <w:p>
            <w:pPr>
              <w:jc w:val="right"/>
              <w:ind w:right="128"/>
              <w:spacing w:after="0"/>
              <w:rPr>
                <w:sz w:val="20"/>
                <w:szCs w:val="20"/>
                <w:color w:val="auto"/>
              </w:rPr>
            </w:pPr>
            <w:r>
              <w:rPr>
                <w:rFonts w:ascii="Arial" w:cs="Arial" w:eastAsia="Arial" w:hAnsi="Arial"/>
                <w:sz w:val="14"/>
                <w:szCs w:val="14"/>
                <w:b w:val="1"/>
                <w:bCs w:val="1"/>
                <w:color w:val="auto"/>
              </w:rPr>
              <w:t>For the Six Months Ended June 30,</w:t>
            </w:r>
          </w:p>
        </w:tc>
        <w:tc>
          <w:tcPr>
            <w:tcW w:w="760" w:type="dxa"/>
            <w:vAlign w:val="bottom"/>
            <w:tcBorders>
              <w:bottom w:val="single" w:sz="8" w:color="8C8272"/>
            </w:tcBorders>
          </w:tcPr>
          <w:p>
            <w:pPr>
              <w:spacing w:after="0"/>
              <w:rPr>
                <w:sz w:val="16"/>
                <w:szCs w:val="16"/>
                <w:color w:val="auto"/>
              </w:rPr>
            </w:pPr>
          </w:p>
        </w:tc>
        <w:tc>
          <w:tcPr>
            <w:tcW w:w="880" w:type="dxa"/>
            <w:vAlign w:val="bottom"/>
            <w:tcBorders>
              <w:bottom w:val="single" w:sz="8" w:color="8C8272"/>
            </w:tcBorders>
          </w:tcPr>
          <w:p>
            <w:pPr>
              <w:spacing w:after="0"/>
              <w:rPr>
                <w:sz w:val="16"/>
                <w:szCs w:val="16"/>
                <w:color w:val="auto"/>
              </w:rPr>
            </w:pPr>
          </w:p>
        </w:tc>
        <w:tc>
          <w:tcPr>
            <w:tcW w:w="640" w:type="dxa"/>
            <w:vAlign w:val="bottom"/>
            <w:tcBorders>
              <w:bottom w:val="single" w:sz="8" w:color="8C8272"/>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929292"/>
            </w:tcBorders>
          </w:tcPr>
          <w:p>
            <w:pPr>
              <w:spacing w:after="0"/>
              <w:rPr>
                <w:sz w:val="15"/>
                <w:szCs w:val="15"/>
                <w:color w:val="auto"/>
              </w:rPr>
            </w:pPr>
          </w:p>
        </w:tc>
        <w:tc>
          <w:tcPr>
            <w:tcW w:w="1360" w:type="dxa"/>
            <w:vAlign w:val="bottom"/>
            <w:tcBorders>
              <w:bottom w:val="single" w:sz="8" w:color="929292"/>
            </w:tcBorders>
          </w:tcPr>
          <w:p>
            <w:pPr>
              <w:spacing w:after="0"/>
              <w:rPr>
                <w:sz w:val="15"/>
                <w:szCs w:val="15"/>
                <w:color w:val="auto"/>
              </w:rPr>
            </w:pPr>
          </w:p>
        </w:tc>
        <w:tc>
          <w:tcPr>
            <w:tcW w:w="1680" w:type="dxa"/>
            <w:vAlign w:val="bottom"/>
            <w:tcBorders>
              <w:bottom w:val="single" w:sz="8" w:color="929292"/>
            </w:tcBorders>
            <w:gridSpan w:val="2"/>
          </w:tcPr>
          <w:p>
            <w:pPr>
              <w:jc w:val="right"/>
              <w:ind w:right="728"/>
              <w:spacing w:after="0"/>
              <w:rPr>
                <w:sz w:val="20"/>
                <w:szCs w:val="20"/>
                <w:color w:val="auto"/>
              </w:rPr>
            </w:pPr>
            <w:r>
              <w:rPr>
                <w:rFonts w:ascii="Arial" w:cs="Arial" w:eastAsia="Arial" w:hAnsi="Arial"/>
                <w:sz w:val="14"/>
                <w:szCs w:val="14"/>
                <w:b w:val="1"/>
                <w:bCs w:val="1"/>
                <w:color w:val="auto"/>
              </w:rPr>
              <w:t>Con Edison</w:t>
            </w:r>
          </w:p>
        </w:tc>
        <w:tc>
          <w:tcPr>
            <w:tcW w:w="720" w:type="dxa"/>
            <w:vAlign w:val="bottom"/>
            <w:tcBorders>
              <w:bottom w:val="single" w:sz="8" w:color="929292"/>
            </w:tcBorders>
          </w:tcPr>
          <w:p>
            <w:pPr>
              <w:spacing w:after="0"/>
              <w:rPr>
                <w:sz w:val="15"/>
                <w:szCs w:val="15"/>
                <w:color w:val="auto"/>
              </w:rPr>
            </w:pPr>
          </w:p>
        </w:tc>
        <w:tc>
          <w:tcPr>
            <w:tcW w:w="1320" w:type="dxa"/>
            <w:vAlign w:val="bottom"/>
            <w:tcBorders>
              <w:bottom w:val="single" w:sz="8" w:color="929292"/>
            </w:tcBorders>
          </w:tcPr>
          <w:p>
            <w:pPr>
              <w:spacing w:after="0"/>
              <w:rPr>
                <w:sz w:val="15"/>
                <w:szCs w:val="15"/>
                <w:color w:val="auto"/>
              </w:rPr>
            </w:pPr>
          </w:p>
        </w:tc>
        <w:tc>
          <w:tcPr>
            <w:tcW w:w="76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CECONY</w:t>
            </w:r>
          </w:p>
        </w:tc>
        <w:tc>
          <w:tcPr>
            <w:tcW w:w="880" w:type="dxa"/>
            <w:vAlign w:val="bottom"/>
            <w:tcBorders>
              <w:bottom w:val="single" w:sz="8" w:color="929292"/>
            </w:tcBorders>
          </w:tcPr>
          <w:p>
            <w:pPr>
              <w:spacing w:after="0"/>
              <w:rPr>
                <w:sz w:val="15"/>
                <w:szCs w:val="15"/>
                <w:color w:val="auto"/>
              </w:rPr>
            </w:pPr>
          </w:p>
        </w:tc>
        <w:tc>
          <w:tcPr>
            <w:tcW w:w="640" w:type="dxa"/>
            <w:vAlign w:val="bottom"/>
            <w:tcBorders>
              <w:bottom w:val="single" w:sz="8" w:color="929292"/>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000" w:type="dxa"/>
            <w:vAlign w:val="bottom"/>
            <w:gridSpan w:val="2"/>
          </w:tcPr>
          <w:p>
            <w:pPr>
              <w:jc w:val="right"/>
              <w:ind w:right="248"/>
              <w:spacing w:after="0" w:line="142" w:lineRule="exact"/>
              <w:rPr>
                <w:sz w:val="20"/>
                <w:szCs w:val="20"/>
                <w:color w:val="auto"/>
              </w:rPr>
            </w:pPr>
            <w:r>
              <w:rPr>
                <w:rFonts w:ascii="Arial" w:cs="Arial" w:eastAsia="Arial" w:hAnsi="Arial"/>
                <w:sz w:val="14"/>
                <w:szCs w:val="14"/>
                <w:b w:val="1"/>
                <w:bCs w:val="1"/>
                <w:color w:val="auto"/>
              </w:rPr>
              <w:t>Accounts receivable -</w:t>
            </w:r>
          </w:p>
        </w:tc>
        <w:tc>
          <w:tcPr>
            <w:tcW w:w="176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rPr>
              <w:t>Other receivables</w:t>
            </w:r>
          </w:p>
        </w:tc>
        <w:tc>
          <w:tcPr>
            <w:tcW w:w="2080" w:type="dxa"/>
            <w:vAlign w:val="bottom"/>
            <w:gridSpan w:val="2"/>
          </w:tcPr>
          <w:p>
            <w:pPr>
              <w:jc w:val="right"/>
              <w:ind w:right="428"/>
              <w:spacing w:after="0" w:line="142" w:lineRule="exact"/>
              <w:rPr>
                <w:sz w:val="20"/>
                <w:szCs w:val="20"/>
                <w:color w:val="auto"/>
              </w:rPr>
            </w:pPr>
            <w:r>
              <w:rPr>
                <w:rFonts w:ascii="Arial" w:cs="Arial" w:eastAsia="Arial" w:hAnsi="Arial"/>
                <w:sz w:val="14"/>
                <w:szCs w:val="14"/>
                <w:b w:val="1"/>
                <w:bCs w:val="1"/>
                <w:color w:val="auto"/>
              </w:rPr>
              <w:t>Accounts receivable -</w:t>
            </w:r>
          </w:p>
        </w:tc>
        <w:tc>
          <w:tcPr>
            <w:tcW w:w="152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Other receivables</w:t>
            </w:r>
          </w:p>
        </w:tc>
        <w:tc>
          <w:tcPr>
            <w:tcW w:w="0" w:type="dxa"/>
            <w:vAlign w:val="bottom"/>
          </w:tcPr>
          <w:p>
            <w:pPr>
              <w:spacing w:after="0"/>
              <w:rPr>
                <w:sz w:val="1"/>
                <w:szCs w:val="1"/>
                <w:color w:val="auto"/>
              </w:rPr>
            </w:pPr>
          </w:p>
        </w:tc>
      </w:tr>
      <w:tr>
        <w:trPr>
          <w:trHeight w:val="175"/>
        </w:trPr>
        <w:tc>
          <w:tcPr>
            <w:tcW w:w="3860" w:type="dxa"/>
            <w:vAlign w:val="bottom"/>
            <w:tcBorders>
              <w:bottom w:val="single" w:sz="8" w:color="8C8272"/>
            </w:tcBorders>
          </w:tcPr>
          <w:p>
            <w:pPr>
              <w:spacing w:after="0"/>
              <w:rPr>
                <w:sz w:val="15"/>
                <w:szCs w:val="15"/>
                <w:color w:val="auto"/>
              </w:rPr>
            </w:pPr>
          </w:p>
        </w:tc>
        <w:tc>
          <w:tcPr>
            <w:tcW w:w="13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customers</w:t>
            </w:r>
          </w:p>
        </w:tc>
        <w:tc>
          <w:tcPr>
            <w:tcW w:w="640" w:type="dxa"/>
            <w:vAlign w:val="bottom"/>
            <w:tcBorders>
              <w:bottom w:val="single" w:sz="8" w:color="8C8272"/>
            </w:tcBorders>
          </w:tcPr>
          <w:p>
            <w:pPr>
              <w:spacing w:after="0"/>
              <w:rPr>
                <w:sz w:val="15"/>
                <w:szCs w:val="15"/>
                <w:color w:val="auto"/>
              </w:rPr>
            </w:pPr>
          </w:p>
        </w:tc>
        <w:tc>
          <w:tcPr>
            <w:tcW w:w="1760" w:type="dxa"/>
            <w:vAlign w:val="bottom"/>
            <w:tcBorders>
              <w:bottom w:val="single" w:sz="8" w:color="8C8272"/>
            </w:tcBorders>
            <w:gridSpan w:val="2"/>
            <w:vMerge w:val="continue"/>
          </w:tcPr>
          <w:p>
            <w:pPr>
              <w:spacing w:after="0"/>
              <w:rPr>
                <w:sz w:val="15"/>
                <w:szCs w:val="15"/>
                <w:color w:val="auto"/>
              </w:rPr>
            </w:pPr>
          </w:p>
        </w:tc>
        <w:tc>
          <w:tcPr>
            <w:tcW w:w="132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b w:val="1"/>
                <w:bCs w:val="1"/>
                <w:color w:val="auto"/>
              </w:rPr>
              <w:t>customers</w:t>
            </w:r>
          </w:p>
        </w:tc>
        <w:tc>
          <w:tcPr>
            <w:tcW w:w="760" w:type="dxa"/>
            <w:vAlign w:val="bottom"/>
            <w:tcBorders>
              <w:bottom w:val="single" w:sz="8" w:color="8C8272"/>
            </w:tcBorders>
          </w:tcPr>
          <w:p>
            <w:pPr>
              <w:spacing w:after="0"/>
              <w:rPr>
                <w:sz w:val="15"/>
                <w:szCs w:val="15"/>
                <w:color w:val="auto"/>
              </w:rPr>
            </w:pPr>
          </w:p>
        </w:tc>
        <w:tc>
          <w:tcPr>
            <w:tcW w:w="1520" w:type="dxa"/>
            <w:vAlign w:val="bottom"/>
            <w:tcBorders>
              <w:bottom w:val="single" w:sz="8" w:color="8C8272"/>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92929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360" w:type="dxa"/>
            <w:vAlign w:val="bottom"/>
            <w:tcBorders>
              <w:bottom w:val="single" w:sz="8" w:color="929292"/>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929292"/>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929292"/>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320" w:type="dxa"/>
            <w:vAlign w:val="bottom"/>
            <w:tcBorders>
              <w:bottom w:val="single" w:sz="8" w:color="929292"/>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929292"/>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929292"/>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3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Allowance for credit losses</w:t>
            </w:r>
          </w:p>
        </w:tc>
        <w:tc>
          <w:tcPr>
            <w:tcW w:w="13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3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Beginning Balance at January 1,</w:t>
            </w:r>
          </w:p>
        </w:tc>
        <w:tc>
          <w:tcPr>
            <w:tcW w:w="1360" w:type="dxa"/>
            <w:vAlign w:val="bottom"/>
          </w:tcPr>
          <w:p>
            <w:pPr>
              <w:jc w:val="right"/>
              <w:ind w:right="388"/>
              <w:spacing w:after="0"/>
              <w:rPr>
                <w:sz w:val="20"/>
                <w:szCs w:val="20"/>
                <w:color w:val="auto"/>
              </w:rPr>
            </w:pPr>
            <w:r>
              <w:rPr>
                <w:rFonts w:ascii="Arial" w:cs="Arial" w:eastAsia="Arial" w:hAnsi="Arial"/>
                <w:sz w:val="14"/>
                <w:szCs w:val="14"/>
                <w:color w:val="auto"/>
              </w:rPr>
              <w:t>$148</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$70</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$7</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320" w:type="dxa"/>
            <w:vAlign w:val="bottom"/>
          </w:tcPr>
          <w:p>
            <w:pPr>
              <w:jc w:val="right"/>
              <w:ind w:right="428"/>
              <w:spacing w:after="0"/>
              <w:rPr>
                <w:sz w:val="20"/>
                <w:szCs w:val="20"/>
                <w:color w:val="auto"/>
              </w:rPr>
            </w:pPr>
            <w:r>
              <w:rPr>
                <w:rFonts w:ascii="Arial" w:cs="Arial" w:eastAsia="Arial" w:hAnsi="Arial"/>
                <w:sz w:val="14"/>
                <w:szCs w:val="14"/>
                <w:color w:val="auto"/>
              </w:rPr>
              <w:t>$138</w:t>
            </w: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$65</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$4</w:t>
            </w: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38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Recoveries</w:t>
            </w:r>
          </w:p>
        </w:tc>
        <w:tc>
          <w:tcPr>
            <w:tcW w:w="1360" w:type="dxa"/>
            <w:vAlign w:val="bottom"/>
            <w:shd w:val="clear" w:color="auto" w:fill="E5E5E5"/>
          </w:tcPr>
          <w:p>
            <w:pPr>
              <w:jc w:val="right"/>
              <w:ind w:right="388"/>
              <w:spacing w:after="0"/>
              <w:rPr>
                <w:sz w:val="20"/>
                <w:szCs w:val="20"/>
                <w:color w:val="auto"/>
              </w:rPr>
            </w:pPr>
            <w:r>
              <w:rPr>
                <w:rFonts w:ascii="Arial" w:cs="Arial" w:eastAsia="Arial" w:hAnsi="Arial"/>
                <w:sz w:val="14"/>
                <w:szCs w:val="14"/>
                <w:color w:val="auto"/>
              </w:rPr>
              <w:t>6</w:t>
            </w:r>
          </w:p>
        </w:tc>
        <w:tc>
          <w:tcPr>
            <w:tcW w:w="6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4</w:t>
            </w:r>
          </w:p>
        </w:tc>
        <w:tc>
          <w:tcPr>
            <w:tcW w:w="10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5E5"/>
          </w:tcPr>
          <w:p>
            <w:pPr>
              <w:jc w:val="right"/>
              <w:ind w:right="428"/>
              <w:spacing w:after="0"/>
              <w:rPr>
                <w:sz w:val="20"/>
                <w:szCs w:val="20"/>
                <w:color w:val="auto"/>
              </w:rPr>
            </w:pPr>
            <w:r>
              <w:rPr>
                <w:rFonts w:ascii="Arial" w:cs="Arial" w:eastAsia="Arial" w:hAnsi="Arial"/>
                <w:sz w:val="14"/>
                <w:szCs w:val="14"/>
                <w:color w:val="auto"/>
              </w:rPr>
              <w:t>5</w:t>
            </w:r>
          </w:p>
        </w:tc>
        <w:tc>
          <w:tcPr>
            <w:tcW w:w="76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4</w:t>
            </w:r>
          </w:p>
        </w:tc>
        <w:tc>
          <w:tcPr>
            <w:tcW w:w="88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860" w:type="dxa"/>
            <w:vAlign w:val="bottom"/>
          </w:tcPr>
          <w:p>
            <w:pPr>
              <w:ind w:left="140"/>
              <w:spacing w:after="0"/>
              <w:rPr>
                <w:sz w:val="20"/>
                <w:szCs w:val="20"/>
                <w:color w:val="auto"/>
              </w:rPr>
            </w:pPr>
            <w:r>
              <w:rPr>
                <w:rFonts w:ascii="Arial" w:cs="Arial" w:eastAsia="Arial" w:hAnsi="Arial"/>
                <w:sz w:val="14"/>
                <w:szCs w:val="14"/>
                <w:color w:val="auto"/>
              </w:rPr>
              <w:t>Write-offs</w:t>
            </w:r>
          </w:p>
        </w:tc>
        <w:tc>
          <w:tcPr>
            <w:tcW w:w="1360" w:type="dxa"/>
            <w:vAlign w:val="bottom"/>
          </w:tcPr>
          <w:p>
            <w:pPr>
              <w:jc w:val="right"/>
              <w:ind w:right="388"/>
              <w:spacing w:after="0"/>
              <w:rPr>
                <w:sz w:val="20"/>
                <w:szCs w:val="20"/>
                <w:color w:val="auto"/>
              </w:rPr>
            </w:pPr>
            <w:r>
              <w:rPr>
                <w:rFonts w:ascii="Arial" w:cs="Arial" w:eastAsia="Arial" w:hAnsi="Arial"/>
                <w:sz w:val="14"/>
                <w:szCs w:val="14"/>
                <w:color w:val="auto"/>
              </w:rPr>
              <w:t>(41)</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(34)</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(1)</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320" w:type="dxa"/>
            <w:vAlign w:val="bottom"/>
          </w:tcPr>
          <w:p>
            <w:pPr>
              <w:jc w:val="right"/>
              <w:ind w:right="428"/>
              <w:spacing w:after="0"/>
              <w:rPr>
                <w:sz w:val="20"/>
                <w:szCs w:val="20"/>
                <w:color w:val="auto"/>
              </w:rPr>
            </w:pPr>
            <w:r>
              <w:rPr>
                <w:rFonts w:ascii="Arial" w:cs="Arial" w:eastAsia="Arial" w:hAnsi="Arial"/>
                <w:sz w:val="14"/>
                <w:szCs w:val="14"/>
                <w:color w:val="auto"/>
              </w:rPr>
              <w:t>(39)</w:t>
            </w: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(32)</w:t>
            </w:r>
          </w:p>
        </w:tc>
        <w:tc>
          <w:tcPr>
            <w:tcW w:w="8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929292"/>
            </w:tcBorders>
            <w:shd w:val="clear" w:color="auto" w:fill="E5E5E5"/>
          </w:tcPr>
          <w:p>
            <w:pPr>
              <w:ind w:left="140"/>
              <w:spacing w:after="0"/>
              <w:rPr>
                <w:sz w:val="20"/>
                <w:szCs w:val="20"/>
                <w:color w:val="auto"/>
              </w:rPr>
            </w:pPr>
            <w:r>
              <w:rPr>
                <w:rFonts w:ascii="Arial" w:cs="Arial" w:eastAsia="Arial" w:hAnsi="Arial"/>
                <w:sz w:val="14"/>
                <w:szCs w:val="14"/>
                <w:color w:val="auto"/>
              </w:rPr>
              <w:t>Reserve adjustments</w:t>
            </w:r>
          </w:p>
        </w:tc>
        <w:tc>
          <w:tcPr>
            <w:tcW w:w="1360" w:type="dxa"/>
            <w:vAlign w:val="bottom"/>
            <w:tcBorders>
              <w:bottom w:val="single" w:sz="8" w:color="929292"/>
            </w:tcBorders>
            <w:shd w:val="clear" w:color="auto" w:fill="E5E5E5"/>
          </w:tcPr>
          <w:p>
            <w:pPr>
              <w:jc w:val="right"/>
              <w:ind w:right="388"/>
              <w:spacing w:after="0"/>
              <w:rPr>
                <w:sz w:val="20"/>
                <w:szCs w:val="20"/>
                <w:color w:val="auto"/>
              </w:rPr>
            </w:pPr>
            <w:r>
              <w:rPr>
                <w:rFonts w:ascii="Arial" w:cs="Arial" w:eastAsia="Arial" w:hAnsi="Arial"/>
                <w:sz w:val="14"/>
                <w:szCs w:val="14"/>
                <w:color w:val="auto"/>
              </w:rPr>
              <w:t>162</w:t>
            </w:r>
          </w:p>
        </w:tc>
        <w:tc>
          <w:tcPr>
            <w:tcW w:w="640" w:type="dxa"/>
            <w:vAlign w:val="bottom"/>
            <w:tcBorders>
              <w:bottom w:val="single" w:sz="8" w:color="929292"/>
            </w:tcBorders>
            <w:shd w:val="clear" w:color="auto" w:fill="E5E5E5"/>
          </w:tcPr>
          <w:p>
            <w:pPr>
              <w:jc w:val="right"/>
              <w:ind w:right="108"/>
              <w:spacing w:after="0"/>
              <w:rPr>
                <w:sz w:val="20"/>
                <w:szCs w:val="20"/>
                <w:color w:val="auto"/>
              </w:rPr>
            </w:pPr>
            <w:r>
              <w:rPr>
                <w:rFonts w:ascii="Arial" w:cs="Arial" w:eastAsia="Arial" w:hAnsi="Arial"/>
                <w:sz w:val="14"/>
                <w:szCs w:val="14"/>
                <w:color w:val="auto"/>
              </w:rPr>
              <w:t>47</w:t>
            </w:r>
          </w:p>
        </w:tc>
        <w:tc>
          <w:tcPr>
            <w:tcW w:w="1040" w:type="dxa"/>
            <w:vAlign w:val="bottom"/>
            <w:tcBorders>
              <w:bottom w:val="single" w:sz="8" w:color="929292"/>
            </w:tcBorders>
            <w:shd w:val="clear" w:color="auto" w:fill="E5E5E5"/>
          </w:tcPr>
          <w:p>
            <w:pPr>
              <w:jc w:val="right"/>
              <w:ind w:right="228"/>
              <w:spacing w:after="0"/>
              <w:rPr>
                <w:sz w:val="20"/>
                <w:szCs w:val="20"/>
                <w:color w:val="auto"/>
              </w:rPr>
            </w:pPr>
            <w:r>
              <w:rPr>
                <w:rFonts w:ascii="Arial" w:cs="Arial" w:eastAsia="Arial" w:hAnsi="Arial"/>
                <w:sz w:val="14"/>
                <w:szCs w:val="14"/>
                <w:color w:val="auto"/>
              </w:rPr>
              <w:t>1</w:t>
            </w:r>
          </w:p>
        </w:tc>
        <w:tc>
          <w:tcPr>
            <w:tcW w:w="720" w:type="dxa"/>
            <w:vAlign w:val="bottom"/>
            <w:tcBorders>
              <w:bottom w:val="single" w:sz="8" w:color="929292"/>
            </w:tcBorders>
            <w:shd w:val="clear" w:color="auto" w:fill="E5E5E5"/>
          </w:tcPr>
          <w:p>
            <w:pPr>
              <w:jc w:val="right"/>
              <w:ind w:right="28"/>
              <w:spacing w:after="0"/>
              <w:rPr>
                <w:sz w:val="20"/>
                <w:szCs w:val="20"/>
                <w:color w:val="auto"/>
              </w:rPr>
            </w:pPr>
            <w:r>
              <w:rPr>
                <w:rFonts w:ascii="Arial" w:cs="Arial" w:eastAsia="Arial" w:hAnsi="Arial"/>
                <w:sz w:val="14"/>
                <w:szCs w:val="14"/>
                <w:color w:val="auto"/>
              </w:rPr>
              <w:t>2</w:t>
            </w:r>
          </w:p>
        </w:tc>
        <w:tc>
          <w:tcPr>
            <w:tcW w:w="1320" w:type="dxa"/>
            <w:vAlign w:val="bottom"/>
            <w:tcBorders>
              <w:bottom w:val="single" w:sz="8" w:color="929292"/>
            </w:tcBorders>
            <w:shd w:val="clear" w:color="auto" w:fill="E5E5E5"/>
          </w:tcPr>
          <w:p>
            <w:pPr>
              <w:jc w:val="right"/>
              <w:ind w:right="428"/>
              <w:spacing w:after="0"/>
              <w:rPr>
                <w:sz w:val="20"/>
                <w:szCs w:val="20"/>
                <w:color w:val="auto"/>
              </w:rPr>
            </w:pPr>
            <w:r>
              <w:rPr>
                <w:rFonts w:ascii="Arial" w:cs="Arial" w:eastAsia="Arial" w:hAnsi="Arial"/>
                <w:sz w:val="14"/>
                <w:szCs w:val="14"/>
                <w:color w:val="auto"/>
              </w:rPr>
              <w:t>158</w:t>
            </w:r>
          </w:p>
        </w:tc>
        <w:tc>
          <w:tcPr>
            <w:tcW w:w="760" w:type="dxa"/>
            <w:vAlign w:val="bottom"/>
            <w:tcBorders>
              <w:bottom w:val="single" w:sz="8" w:color="929292"/>
            </w:tcBorders>
            <w:shd w:val="clear" w:color="auto" w:fill="E5E5E5"/>
          </w:tcPr>
          <w:p>
            <w:pPr>
              <w:jc w:val="right"/>
              <w:ind w:right="268"/>
              <w:spacing w:after="0"/>
              <w:rPr>
                <w:sz w:val="20"/>
                <w:szCs w:val="20"/>
                <w:color w:val="auto"/>
              </w:rPr>
            </w:pPr>
            <w:r>
              <w:rPr>
                <w:rFonts w:ascii="Arial" w:cs="Arial" w:eastAsia="Arial" w:hAnsi="Arial"/>
                <w:sz w:val="14"/>
                <w:szCs w:val="14"/>
                <w:color w:val="auto"/>
              </w:rPr>
              <w:t>44</w:t>
            </w:r>
          </w:p>
        </w:tc>
        <w:tc>
          <w:tcPr>
            <w:tcW w:w="880" w:type="dxa"/>
            <w:vAlign w:val="bottom"/>
            <w:tcBorders>
              <w:bottom w:val="single" w:sz="8" w:color="929292"/>
            </w:tcBorders>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929292"/>
            </w:tcBorders>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828282"/>
            </w:tcBorders>
          </w:tcPr>
          <w:p>
            <w:pPr>
              <w:ind w:left="20"/>
              <w:spacing w:after="0"/>
              <w:rPr>
                <w:sz w:val="20"/>
                <w:szCs w:val="20"/>
                <w:color w:val="auto"/>
              </w:rPr>
            </w:pPr>
            <w:r>
              <w:rPr>
                <w:rFonts w:ascii="Arial" w:cs="Arial" w:eastAsia="Arial" w:hAnsi="Arial"/>
                <w:sz w:val="14"/>
                <w:szCs w:val="14"/>
                <w:color w:val="auto"/>
              </w:rPr>
              <w:t>Ending Balance June 30,</w:t>
            </w:r>
          </w:p>
        </w:tc>
        <w:tc>
          <w:tcPr>
            <w:tcW w:w="1360" w:type="dxa"/>
            <w:vAlign w:val="bottom"/>
            <w:tcBorders>
              <w:bottom w:val="single" w:sz="8" w:color="828282"/>
            </w:tcBorders>
          </w:tcPr>
          <w:p>
            <w:pPr>
              <w:jc w:val="right"/>
              <w:ind w:right="388"/>
              <w:spacing w:after="0"/>
              <w:rPr>
                <w:sz w:val="20"/>
                <w:szCs w:val="20"/>
                <w:color w:val="auto"/>
              </w:rPr>
            </w:pPr>
            <w:r>
              <w:rPr>
                <w:rFonts w:ascii="Arial" w:cs="Arial" w:eastAsia="Arial" w:hAnsi="Arial"/>
                <w:sz w:val="14"/>
                <w:szCs w:val="14"/>
                <w:color w:val="auto"/>
              </w:rPr>
              <w:t>$275</w:t>
            </w:r>
          </w:p>
        </w:tc>
        <w:tc>
          <w:tcPr>
            <w:tcW w:w="640" w:type="dxa"/>
            <w:vAlign w:val="bottom"/>
            <w:tcBorders>
              <w:bottom w:val="single" w:sz="8" w:color="828282"/>
            </w:tcBorders>
          </w:tcPr>
          <w:p>
            <w:pPr>
              <w:jc w:val="right"/>
              <w:ind w:right="108"/>
              <w:spacing w:after="0"/>
              <w:rPr>
                <w:sz w:val="20"/>
                <w:szCs w:val="20"/>
                <w:color w:val="auto"/>
              </w:rPr>
            </w:pPr>
            <w:r>
              <w:rPr>
                <w:rFonts w:ascii="Arial" w:cs="Arial" w:eastAsia="Arial" w:hAnsi="Arial"/>
                <w:sz w:val="14"/>
                <w:szCs w:val="14"/>
                <w:color w:val="auto"/>
              </w:rPr>
              <w:t>$87</w:t>
            </w:r>
          </w:p>
        </w:tc>
        <w:tc>
          <w:tcPr>
            <w:tcW w:w="1040" w:type="dxa"/>
            <w:vAlign w:val="bottom"/>
            <w:tcBorders>
              <w:bottom w:val="single" w:sz="8" w:color="828282"/>
            </w:tcBorders>
          </w:tcPr>
          <w:p>
            <w:pPr>
              <w:jc w:val="right"/>
              <w:ind w:right="228"/>
              <w:spacing w:after="0"/>
              <w:rPr>
                <w:sz w:val="20"/>
                <w:szCs w:val="20"/>
                <w:color w:val="auto"/>
              </w:rPr>
            </w:pPr>
            <w:r>
              <w:rPr>
                <w:rFonts w:ascii="Arial" w:cs="Arial" w:eastAsia="Arial" w:hAnsi="Arial"/>
                <w:sz w:val="14"/>
                <w:szCs w:val="14"/>
                <w:color w:val="auto"/>
              </w:rPr>
              <w:t>$7</w:t>
            </w:r>
          </w:p>
        </w:tc>
        <w:tc>
          <w:tcPr>
            <w:tcW w:w="720" w:type="dxa"/>
            <w:vAlign w:val="bottom"/>
            <w:tcBorders>
              <w:bottom w:val="single" w:sz="8" w:color="828282"/>
            </w:tcBorders>
          </w:tcPr>
          <w:p>
            <w:pPr>
              <w:jc w:val="right"/>
              <w:ind w:right="28"/>
              <w:spacing w:after="0"/>
              <w:rPr>
                <w:sz w:val="20"/>
                <w:szCs w:val="20"/>
                <w:color w:val="auto"/>
              </w:rPr>
            </w:pPr>
            <w:r>
              <w:rPr>
                <w:rFonts w:ascii="Arial" w:cs="Arial" w:eastAsia="Arial" w:hAnsi="Arial"/>
                <w:sz w:val="14"/>
                <w:szCs w:val="14"/>
                <w:color w:val="auto"/>
              </w:rPr>
              <w:t>$5</w:t>
            </w:r>
          </w:p>
        </w:tc>
        <w:tc>
          <w:tcPr>
            <w:tcW w:w="1320" w:type="dxa"/>
            <w:vAlign w:val="bottom"/>
            <w:tcBorders>
              <w:bottom w:val="single" w:sz="8" w:color="828282"/>
            </w:tcBorders>
          </w:tcPr>
          <w:p>
            <w:pPr>
              <w:jc w:val="right"/>
              <w:ind w:right="428"/>
              <w:spacing w:after="0"/>
              <w:rPr>
                <w:sz w:val="20"/>
                <w:szCs w:val="20"/>
                <w:color w:val="auto"/>
              </w:rPr>
            </w:pPr>
            <w:r>
              <w:rPr>
                <w:rFonts w:ascii="Arial" w:cs="Arial" w:eastAsia="Arial" w:hAnsi="Arial"/>
                <w:sz w:val="14"/>
                <w:szCs w:val="14"/>
                <w:color w:val="auto"/>
              </w:rPr>
              <w:t>$262</w:t>
            </w:r>
          </w:p>
        </w:tc>
        <w:tc>
          <w:tcPr>
            <w:tcW w:w="760" w:type="dxa"/>
            <w:vAlign w:val="bottom"/>
            <w:tcBorders>
              <w:bottom w:val="single" w:sz="8" w:color="828282"/>
            </w:tcBorders>
          </w:tcPr>
          <w:p>
            <w:pPr>
              <w:jc w:val="right"/>
              <w:ind w:right="268"/>
              <w:spacing w:after="0"/>
              <w:rPr>
                <w:sz w:val="20"/>
                <w:szCs w:val="20"/>
                <w:color w:val="auto"/>
              </w:rPr>
            </w:pPr>
            <w:r>
              <w:rPr>
                <w:rFonts w:ascii="Arial" w:cs="Arial" w:eastAsia="Arial" w:hAnsi="Arial"/>
                <w:sz w:val="14"/>
                <w:szCs w:val="14"/>
                <w:color w:val="auto"/>
              </w:rPr>
              <w:t>$81</w:t>
            </w:r>
          </w:p>
        </w:tc>
        <w:tc>
          <w:tcPr>
            <w:tcW w:w="880" w:type="dxa"/>
            <w:vAlign w:val="bottom"/>
            <w:tcBorders>
              <w:bottom w:val="single" w:sz="8" w:color="828282"/>
            </w:tcBorders>
          </w:tcPr>
          <w:p>
            <w:pPr>
              <w:jc w:val="right"/>
              <w:ind w:right="228"/>
              <w:spacing w:after="0"/>
              <w:rPr>
                <w:sz w:val="20"/>
                <w:szCs w:val="20"/>
                <w:color w:val="auto"/>
              </w:rPr>
            </w:pPr>
            <w:r>
              <w:rPr>
                <w:rFonts w:ascii="Arial" w:cs="Arial" w:eastAsia="Arial" w:hAnsi="Arial"/>
                <w:sz w:val="14"/>
                <w:szCs w:val="14"/>
                <w:color w:val="auto"/>
              </w:rPr>
              <w:t>$4</w:t>
            </w:r>
          </w:p>
        </w:tc>
        <w:tc>
          <w:tcPr>
            <w:tcW w:w="64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-128270</wp:posOffset>
            </wp:positionV>
            <wp:extent cx="8255" cy="1714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-102235</wp:posOffset>
            </wp:positionV>
            <wp:extent cx="8255"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-85090</wp:posOffset>
            </wp:positionV>
            <wp:extent cx="8255"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-67945</wp:posOffset>
            </wp:positionV>
            <wp:extent cx="825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-50800</wp:posOffset>
            </wp:positionV>
            <wp:extent cx="825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-33655</wp:posOffset>
            </wp:positionV>
            <wp:extent cx="825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-16510</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-256540</wp:posOffset>
            </wp:positionV>
            <wp:extent cx="8255" cy="1714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-230505</wp:posOffset>
            </wp:positionV>
            <wp:extent cx="825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-213995</wp:posOffset>
            </wp:positionV>
            <wp:extent cx="8255"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-196215</wp:posOffset>
            </wp:positionV>
            <wp:extent cx="825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-179070</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-161925</wp:posOffset>
            </wp:positionV>
            <wp:extent cx="825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-144780</wp:posOffset>
            </wp:positionV>
            <wp:extent cx="825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-385445</wp:posOffset>
            </wp:positionV>
            <wp:extent cx="8255" cy="1714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-359410</wp:posOffset>
            </wp:positionV>
            <wp:extent cx="825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-342265</wp:posOffset>
            </wp:positionV>
            <wp:extent cx="8255"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-325120</wp:posOffset>
            </wp:positionV>
            <wp:extent cx="825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-307975</wp:posOffset>
            </wp:positionV>
            <wp:extent cx="825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-290830</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-273685</wp:posOffset>
            </wp:positionV>
            <wp:extent cx="825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-513715</wp:posOffset>
            </wp:positionV>
            <wp:extent cx="8255" cy="1714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-487680</wp:posOffset>
            </wp:positionV>
            <wp:extent cx="8255"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-471170</wp:posOffset>
            </wp:positionV>
            <wp:extent cx="8255"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-453390</wp:posOffset>
            </wp:positionV>
            <wp:extent cx="825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-436245</wp:posOffset>
            </wp:positionV>
            <wp:extent cx="825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-419100</wp:posOffset>
            </wp:positionV>
            <wp:extent cx="825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-401955</wp:posOffset>
            </wp:positionV>
            <wp:extent cx="8255"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-642620</wp:posOffset>
            </wp:positionV>
            <wp:extent cx="8255" cy="1714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-616585</wp:posOffset>
            </wp:positionV>
            <wp:extent cx="825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-599440</wp:posOffset>
            </wp:positionV>
            <wp:extent cx="8255"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-582295</wp:posOffset>
            </wp:positionV>
            <wp:extent cx="825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-565150</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-548005</wp:posOffset>
            </wp:positionV>
            <wp:extent cx="8255"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-530860</wp:posOffset>
            </wp:positionV>
            <wp:extent cx="8255"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-770890</wp:posOffset>
            </wp:positionV>
            <wp:extent cx="8255" cy="1714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-744855</wp:posOffset>
            </wp:positionV>
            <wp:extent cx="825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-728345</wp:posOffset>
            </wp:positionV>
            <wp:extent cx="8255"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-710565</wp:posOffset>
            </wp:positionV>
            <wp:extent cx="825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-693420</wp:posOffset>
            </wp:positionV>
            <wp:extent cx="8255"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-676275</wp:posOffset>
            </wp:positionV>
            <wp:extent cx="825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-659130</wp:posOffset>
            </wp:positionV>
            <wp:extent cx="825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-899795</wp:posOffset>
            </wp:positionV>
            <wp:extent cx="8255" cy="1714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-873760</wp:posOffset>
            </wp:positionV>
            <wp:extent cx="8255"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-856615</wp:posOffset>
            </wp:positionV>
            <wp:extent cx="8255"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-839470</wp:posOffset>
            </wp:positionV>
            <wp:extent cx="825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-822325</wp:posOffset>
            </wp:positionV>
            <wp:extent cx="825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-805180</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-788035</wp:posOffset>
            </wp:positionV>
            <wp:extent cx="825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-1250950</wp:posOffset>
            </wp:positionV>
            <wp:extent cx="8255" cy="34290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255" cy="34290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Note M – Financial Information by Business Segment</w:t>
      </w:r>
    </w:p>
    <w:p>
      <w:pPr>
        <w:spacing w:after="0" w:line="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Con Edison’s principal business segments are CECONY’s regulated utility activities, O&amp;R’s regulated utility activities, the Clean Energy Businesses and Con Edison Transmission. CECONY’s principal business segments are its regulated electric, gas and steam utility activities. The financial data for the business segments for the three and six months ended June 30, 2021 and 2020 were as follows:</w:t>
      </w:r>
    </w:p>
    <w:p>
      <w:pPr>
        <w:spacing w:after="0" w:line="257"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For the Three Months Ended June 30,</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2460" w:type="dxa"/>
            <w:vAlign w:val="bottom"/>
            <w:tcBorders>
              <w:top w:val="single" w:sz="8" w:color="8C8272"/>
            </w:tcBorders>
          </w:tcPr>
          <w:p>
            <w:pPr>
              <w:spacing w:after="0"/>
              <w:rPr>
                <w:sz w:val="12"/>
                <w:szCs w:val="12"/>
                <w:color w:val="auto"/>
              </w:rPr>
            </w:pPr>
          </w:p>
        </w:tc>
        <w:tc>
          <w:tcPr>
            <w:tcW w:w="1600" w:type="dxa"/>
            <w:vAlign w:val="bottom"/>
            <w:tcBorders>
              <w:top w:val="single" w:sz="8" w:color="8C8272"/>
            </w:tcBorders>
          </w:tcPr>
          <w:p>
            <w:pPr>
              <w:ind w:left="760"/>
              <w:spacing w:after="0" w:line="142" w:lineRule="exact"/>
              <w:rPr>
                <w:sz w:val="20"/>
                <w:szCs w:val="20"/>
                <w:color w:val="auto"/>
              </w:rPr>
            </w:pPr>
            <w:r>
              <w:rPr>
                <w:rFonts w:ascii="Arial" w:cs="Arial" w:eastAsia="Arial" w:hAnsi="Arial"/>
                <w:sz w:val="14"/>
                <w:szCs w:val="14"/>
                <w:b w:val="1"/>
                <w:bCs w:val="1"/>
                <w:color w:val="auto"/>
              </w:rPr>
              <w:t>Operating</w:t>
            </w:r>
          </w:p>
        </w:tc>
        <w:tc>
          <w:tcPr>
            <w:tcW w:w="880" w:type="dxa"/>
            <w:vAlign w:val="bottom"/>
            <w:tcBorders>
              <w:top w:val="single" w:sz="8" w:color="8C8272"/>
            </w:tcBorders>
          </w:tcPr>
          <w:p>
            <w:pPr>
              <w:spacing w:after="0"/>
              <w:rPr>
                <w:sz w:val="12"/>
                <w:szCs w:val="12"/>
                <w:color w:val="auto"/>
              </w:rPr>
            </w:pPr>
          </w:p>
        </w:tc>
        <w:tc>
          <w:tcPr>
            <w:tcW w:w="1360" w:type="dxa"/>
            <w:vAlign w:val="bottom"/>
            <w:tcBorders>
              <w:top w:val="single" w:sz="8" w:color="8C8272"/>
            </w:tcBorders>
          </w:tcPr>
          <w:p>
            <w:pPr>
              <w:ind w:left="280"/>
              <w:spacing w:after="0" w:line="142" w:lineRule="exact"/>
              <w:rPr>
                <w:sz w:val="20"/>
                <w:szCs w:val="20"/>
                <w:color w:val="auto"/>
              </w:rPr>
            </w:pPr>
            <w:r>
              <w:rPr>
                <w:rFonts w:ascii="Arial" w:cs="Arial" w:eastAsia="Arial" w:hAnsi="Arial"/>
                <w:sz w:val="14"/>
                <w:szCs w:val="14"/>
                <w:b w:val="1"/>
                <w:bCs w:val="1"/>
                <w:color w:val="auto"/>
              </w:rPr>
              <w:t>Inter-segment</w:t>
            </w:r>
          </w:p>
        </w:tc>
        <w:tc>
          <w:tcPr>
            <w:tcW w:w="720" w:type="dxa"/>
            <w:vAlign w:val="bottom"/>
            <w:tcBorders>
              <w:top w:val="single" w:sz="8" w:color="8C8272"/>
            </w:tcBorders>
          </w:tcPr>
          <w:p>
            <w:pPr>
              <w:spacing w:after="0"/>
              <w:rPr>
                <w:sz w:val="12"/>
                <w:szCs w:val="12"/>
                <w:color w:val="auto"/>
              </w:rPr>
            </w:pPr>
          </w:p>
        </w:tc>
        <w:tc>
          <w:tcPr>
            <w:tcW w:w="1520" w:type="dxa"/>
            <w:vAlign w:val="bottom"/>
            <w:tcBorders>
              <w:top w:val="single" w:sz="8" w:color="8C8272"/>
            </w:tcBorders>
          </w:tcPr>
          <w:p>
            <w:pPr>
              <w:ind w:left="280"/>
              <w:spacing w:after="0" w:line="142" w:lineRule="exact"/>
              <w:rPr>
                <w:sz w:val="20"/>
                <w:szCs w:val="20"/>
                <w:color w:val="auto"/>
              </w:rPr>
            </w:pPr>
            <w:r>
              <w:rPr>
                <w:rFonts w:ascii="Arial" w:cs="Arial" w:eastAsia="Arial" w:hAnsi="Arial"/>
                <w:sz w:val="14"/>
                <w:szCs w:val="14"/>
                <w:b w:val="1"/>
                <w:bCs w:val="1"/>
                <w:color w:val="auto"/>
              </w:rPr>
              <w:t>Depreciation and</w:t>
            </w:r>
          </w:p>
        </w:tc>
        <w:tc>
          <w:tcPr>
            <w:tcW w:w="740" w:type="dxa"/>
            <w:vAlign w:val="bottom"/>
            <w:tcBorders>
              <w:top w:val="single" w:sz="8" w:color="8C8272"/>
            </w:tcBorders>
          </w:tcPr>
          <w:p>
            <w:pPr>
              <w:spacing w:after="0"/>
              <w:rPr>
                <w:sz w:val="12"/>
                <w:szCs w:val="12"/>
                <w:color w:val="auto"/>
              </w:rPr>
            </w:pPr>
          </w:p>
        </w:tc>
        <w:tc>
          <w:tcPr>
            <w:tcW w:w="1420" w:type="dxa"/>
            <w:vAlign w:val="bottom"/>
            <w:tcBorders>
              <w:top w:val="single" w:sz="8" w:color="8C8272"/>
            </w:tcBorders>
          </w:tcPr>
          <w:p>
            <w:pPr>
              <w:ind w:left="340"/>
              <w:spacing w:after="0" w:line="142" w:lineRule="exact"/>
              <w:rPr>
                <w:sz w:val="20"/>
                <w:szCs w:val="20"/>
                <w:color w:val="auto"/>
              </w:rPr>
            </w:pPr>
            <w:r>
              <w:rPr>
                <w:rFonts w:ascii="Arial" w:cs="Arial" w:eastAsia="Arial" w:hAnsi="Arial"/>
                <w:sz w:val="14"/>
                <w:szCs w:val="14"/>
                <w:b w:val="1"/>
                <w:bCs w:val="1"/>
                <w:color w:val="auto"/>
              </w:rPr>
              <w:t>Operating</w:t>
            </w:r>
          </w:p>
        </w:tc>
        <w:tc>
          <w:tcPr>
            <w:tcW w:w="480" w:type="dxa"/>
            <w:vAlign w:val="bottom"/>
            <w:tcBorders>
              <w:top w:val="single" w:sz="8" w:color="8C8272"/>
            </w:tcBorders>
          </w:tcPr>
          <w:p>
            <w:pPr>
              <w:spacing w:after="0"/>
              <w:rPr>
                <w:sz w:val="12"/>
                <w:szCs w:val="12"/>
                <w:color w:val="auto"/>
              </w:rPr>
            </w:pPr>
          </w:p>
        </w:tc>
      </w:tr>
      <w:tr>
        <w:trPr>
          <w:trHeight w:val="175"/>
        </w:trPr>
        <w:tc>
          <w:tcPr>
            <w:tcW w:w="2460" w:type="dxa"/>
            <w:vAlign w:val="bottom"/>
            <w:tcBorders>
              <w:bottom w:val="single" w:sz="8" w:color="8C8272"/>
            </w:tcBorders>
          </w:tcPr>
          <w:p>
            <w:pPr>
              <w:spacing w:after="0"/>
              <w:rPr>
                <w:sz w:val="15"/>
                <w:szCs w:val="15"/>
                <w:color w:val="auto"/>
              </w:rPr>
            </w:pPr>
          </w:p>
        </w:tc>
        <w:tc>
          <w:tcPr>
            <w:tcW w:w="1600" w:type="dxa"/>
            <w:vAlign w:val="bottom"/>
            <w:tcBorders>
              <w:bottom w:val="single" w:sz="8" w:color="8C8272"/>
            </w:tcBorders>
          </w:tcPr>
          <w:p>
            <w:pPr>
              <w:ind w:left="760"/>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bottom w:val="single" w:sz="8" w:color="8C8272"/>
            </w:tcBorders>
          </w:tcPr>
          <w:p>
            <w:pPr>
              <w:spacing w:after="0"/>
              <w:rPr>
                <w:sz w:val="15"/>
                <w:szCs w:val="15"/>
                <w:color w:val="auto"/>
              </w:rPr>
            </w:pPr>
          </w:p>
        </w:tc>
        <w:tc>
          <w:tcPr>
            <w:tcW w:w="1360" w:type="dxa"/>
            <w:vAlign w:val="bottom"/>
            <w:tcBorders>
              <w:bottom w:val="single" w:sz="8" w:color="8C8272"/>
            </w:tcBorders>
          </w:tcPr>
          <w:p>
            <w:pPr>
              <w:ind w:left="280"/>
              <w:spacing w:after="0"/>
              <w:rPr>
                <w:sz w:val="20"/>
                <w:szCs w:val="20"/>
                <w:color w:val="auto"/>
              </w:rPr>
            </w:pPr>
            <w:r>
              <w:rPr>
                <w:rFonts w:ascii="Arial" w:cs="Arial" w:eastAsia="Arial" w:hAnsi="Arial"/>
                <w:sz w:val="14"/>
                <w:szCs w:val="14"/>
                <w:b w:val="1"/>
                <w:bCs w:val="1"/>
                <w:color w:val="auto"/>
              </w:rPr>
              <w:t>revenues</w:t>
            </w:r>
          </w:p>
        </w:tc>
        <w:tc>
          <w:tcPr>
            <w:tcW w:w="720" w:type="dxa"/>
            <w:vAlign w:val="bottom"/>
            <w:tcBorders>
              <w:bottom w:val="single" w:sz="8" w:color="8C8272"/>
            </w:tcBorders>
          </w:tcPr>
          <w:p>
            <w:pPr>
              <w:spacing w:after="0"/>
              <w:rPr>
                <w:sz w:val="15"/>
                <w:szCs w:val="15"/>
                <w:color w:val="auto"/>
              </w:rPr>
            </w:pPr>
          </w:p>
        </w:tc>
        <w:tc>
          <w:tcPr>
            <w:tcW w:w="1520" w:type="dxa"/>
            <w:vAlign w:val="bottom"/>
            <w:tcBorders>
              <w:bottom w:val="single" w:sz="8" w:color="8C8272"/>
            </w:tcBorders>
          </w:tcPr>
          <w:p>
            <w:pPr>
              <w:ind w:left="280"/>
              <w:spacing w:after="0"/>
              <w:rPr>
                <w:sz w:val="20"/>
                <w:szCs w:val="20"/>
                <w:color w:val="auto"/>
              </w:rPr>
            </w:pPr>
            <w:r>
              <w:rPr>
                <w:rFonts w:ascii="Arial" w:cs="Arial" w:eastAsia="Arial" w:hAnsi="Arial"/>
                <w:sz w:val="14"/>
                <w:szCs w:val="14"/>
                <w:b w:val="1"/>
                <w:bCs w:val="1"/>
                <w:color w:val="auto"/>
              </w:rPr>
              <w:t>amortization</w:t>
            </w:r>
          </w:p>
        </w:tc>
        <w:tc>
          <w:tcPr>
            <w:tcW w:w="740" w:type="dxa"/>
            <w:vAlign w:val="bottom"/>
            <w:tcBorders>
              <w:bottom w:val="single" w:sz="8" w:color="8C8272"/>
            </w:tcBorders>
          </w:tcPr>
          <w:p>
            <w:pPr>
              <w:spacing w:after="0"/>
              <w:rPr>
                <w:sz w:val="15"/>
                <w:szCs w:val="15"/>
                <w:color w:val="auto"/>
              </w:rPr>
            </w:pPr>
          </w:p>
        </w:tc>
        <w:tc>
          <w:tcPr>
            <w:tcW w:w="1420" w:type="dxa"/>
            <w:vAlign w:val="bottom"/>
            <w:tcBorders>
              <w:bottom w:val="single" w:sz="8" w:color="8C8272"/>
            </w:tcBorders>
          </w:tcPr>
          <w:p>
            <w:pPr>
              <w:ind w:left="340"/>
              <w:spacing w:after="0"/>
              <w:rPr>
                <w:sz w:val="20"/>
                <w:szCs w:val="20"/>
                <w:color w:val="auto"/>
              </w:rPr>
            </w:pPr>
            <w:r>
              <w:rPr>
                <w:rFonts w:ascii="Arial" w:cs="Arial" w:eastAsia="Arial" w:hAnsi="Arial"/>
                <w:sz w:val="14"/>
                <w:szCs w:val="14"/>
                <w:b w:val="1"/>
                <w:bCs w:val="1"/>
                <w:color w:val="auto"/>
              </w:rPr>
              <w:t>income/(loss)</w:t>
            </w:r>
          </w:p>
        </w:tc>
        <w:tc>
          <w:tcPr>
            <w:tcW w:w="480" w:type="dxa"/>
            <w:vAlign w:val="bottom"/>
            <w:tcBorders>
              <w:bottom w:val="single" w:sz="8" w:color="8C8272"/>
            </w:tcBorders>
          </w:tcPr>
          <w:p>
            <w:pPr>
              <w:spacing w:after="0"/>
              <w:rPr>
                <w:sz w:val="15"/>
                <w:szCs w:val="15"/>
                <w:color w:val="auto"/>
              </w:rPr>
            </w:pPr>
          </w:p>
        </w:tc>
      </w:tr>
      <w:tr>
        <w:trPr>
          <w:trHeight w:val="183"/>
        </w:trPr>
        <w:tc>
          <w:tcPr>
            <w:tcW w:w="246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600" w:type="dxa"/>
            <w:vAlign w:val="bottom"/>
            <w:tcBorders>
              <w:bottom w:val="single" w:sz="8" w:color="8C8272"/>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8C8272"/>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360" w:type="dxa"/>
            <w:vAlign w:val="bottom"/>
            <w:tcBorders>
              <w:bottom w:val="single" w:sz="8" w:color="8C8272"/>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8C8272"/>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520" w:type="dxa"/>
            <w:vAlign w:val="bottom"/>
            <w:tcBorders>
              <w:bottom w:val="single" w:sz="8" w:color="8C8272"/>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8C8272"/>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420" w:type="dxa"/>
            <w:vAlign w:val="bottom"/>
            <w:tcBorders>
              <w:bottom w:val="single" w:sz="8" w:color="8C8272"/>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2460" w:type="dxa"/>
            <w:vAlign w:val="bottom"/>
            <w:shd w:val="clear" w:color="auto" w:fill="E5E5E5"/>
          </w:tcPr>
          <w:p>
            <w:pPr>
              <w:ind w:left="20"/>
              <w:spacing w:after="0"/>
              <w:rPr>
                <w:sz w:val="20"/>
                <w:szCs w:val="20"/>
                <w:color w:val="auto"/>
              </w:rPr>
            </w:pPr>
            <w:r>
              <w:rPr>
                <w:rFonts w:ascii="Arial" w:cs="Arial" w:eastAsia="Arial" w:hAnsi="Arial"/>
                <w:sz w:val="14"/>
                <w:szCs w:val="14"/>
                <w:color w:val="auto"/>
              </w:rPr>
              <w:t>CECONY</w:t>
            </w:r>
          </w:p>
        </w:tc>
        <w:tc>
          <w:tcPr>
            <w:tcW w:w="160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36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152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142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r>
      <w:tr>
        <w:trPr>
          <w:trHeight w:val="189"/>
        </w:trPr>
        <w:tc>
          <w:tcPr>
            <w:tcW w:w="2460" w:type="dxa"/>
            <w:vAlign w:val="bottom"/>
          </w:tcPr>
          <w:p>
            <w:pPr>
              <w:ind w:left="140"/>
              <w:spacing w:after="0"/>
              <w:rPr>
                <w:sz w:val="20"/>
                <w:szCs w:val="20"/>
                <w:color w:val="auto"/>
              </w:rPr>
            </w:pPr>
            <w:r>
              <w:rPr>
                <w:rFonts w:ascii="Arial" w:cs="Arial" w:eastAsia="Arial" w:hAnsi="Arial"/>
                <w:sz w:val="14"/>
                <w:szCs w:val="14"/>
                <w:color w:val="auto"/>
              </w:rPr>
              <w:t>Electric</w:t>
            </w:r>
          </w:p>
        </w:tc>
        <w:tc>
          <w:tcPr>
            <w:tcW w:w="1600" w:type="dxa"/>
            <w:vAlign w:val="bottom"/>
          </w:tcPr>
          <w:p>
            <w:pPr>
              <w:jc w:val="right"/>
              <w:ind w:right="448"/>
              <w:spacing w:after="0"/>
              <w:rPr>
                <w:sz w:val="20"/>
                <w:szCs w:val="20"/>
                <w:color w:val="auto"/>
              </w:rPr>
            </w:pPr>
            <w:r>
              <w:rPr>
                <w:rFonts w:ascii="Arial" w:cs="Arial" w:eastAsia="Arial" w:hAnsi="Arial"/>
                <w:sz w:val="14"/>
                <w:szCs w:val="14"/>
                <w:color w:val="auto"/>
              </w:rPr>
              <w:t>$1,963</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$1,845</w:t>
            </w:r>
          </w:p>
        </w:tc>
        <w:tc>
          <w:tcPr>
            <w:tcW w:w="1360" w:type="dxa"/>
            <w:vAlign w:val="bottom"/>
          </w:tcPr>
          <w:p>
            <w:pPr>
              <w:jc w:val="right"/>
              <w:ind w:right="548"/>
              <w:spacing w:after="0"/>
              <w:rPr>
                <w:sz w:val="20"/>
                <w:szCs w:val="20"/>
                <w:color w:val="auto"/>
              </w:rPr>
            </w:pPr>
            <w:r>
              <w:rPr>
                <w:rFonts w:ascii="Arial" w:cs="Arial" w:eastAsia="Arial" w:hAnsi="Arial"/>
                <w:sz w:val="14"/>
                <w:szCs w:val="14"/>
                <w:color w:val="auto"/>
              </w:rPr>
              <w:t>$5</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$4</w:t>
            </w:r>
          </w:p>
        </w:tc>
        <w:tc>
          <w:tcPr>
            <w:tcW w:w="1520" w:type="dxa"/>
            <w:vAlign w:val="bottom"/>
          </w:tcPr>
          <w:p>
            <w:pPr>
              <w:jc w:val="right"/>
              <w:ind w:right="628"/>
              <w:spacing w:after="0"/>
              <w:rPr>
                <w:sz w:val="20"/>
                <w:szCs w:val="20"/>
                <w:color w:val="auto"/>
              </w:rPr>
            </w:pPr>
            <w:r>
              <w:rPr>
                <w:rFonts w:ascii="Arial" w:cs="Arial" w:eastAsia="Arial" w:hAnsi="Arial"/>
                <w:sz w:val="14"/>
                <w:szCs w:val="14"/>
                <w:color w:val="auto"/>
              </w:rPr>
              <w:t>$320</w:t>
            </w: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$301</w:t>
            </w:r>
          </w:p>
        </w:tc>
        <w:tc>
          <w:tcPr>
            <w:tcW w:w="1420" w:type="dxa"/>
            <w:vAlign w:val="bottom"/>
          </w:tcPr>
          <w:p>
            <w:pPr>
              <w:jc w:val="right"/>
              <w:ind w:right="588"/>
              <w:spacing w:after="0"/>
              <w:rPr>
                <w:sz w:val="20"/>
                <w:szCs w:val="20"/>
                <w:color w:val="auto"/>
              </w:rPr>
            </w:pPr>
            <w:r>
              <w:rPr>
                <w:rFonts w:ascii="Arial" w:cs="Arial" w:eastAsia="Arial" w:hAnsi="Arial"/>
                <w:sz w:val="14"/>
                <w:szCs w:val="14"/>
                <w:color w:val="auto"/>
              </w:rPr>
              <w:t>$255</w:t>
            </w:r>
          </w:p>
        </w:tc>
        <w:tc>
          <w:tcPr>
            <w:tcW w:w="480" w:type="dxa"/>
            <w:vAlign w:val="bottom"/>
          </w:tcPr>
          <w:p>
            <w:pPr>
              <w:jc w:val="right"/>
              <w:spacing w:after="0"/>
              <w:rPr>
                <w:sz w:val="20"/>
                <w:szCs w:val="20"/>
                <w:color w:val="auto"/>
              </w:rPr>
            </w:pPr>
            <w:r>
              <w:rPr>
                <w:rFonts w:ascii="Arial" w:cs="Arial" w:eastAsia="Arial" w:hAnsi="Arial"/>
                <w:sz w:val="14"/>
                <w:szCs w:val="14"/>
                <w:color w:val="auto"/>
              </w:rPr>
              <w:t>$318</w:t>
            </w:r>
          </w:p>
        </w:tc>
      </w:tr>
      <w:tr>
        <w:trPr>
          <w:trHeight w:val="189"/>
        </w:trPr>
        <w:tc>
          <w:tcPr>
            <w:tcW w:w="24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Gas</w:t>
            </w:r>
          </w:p>
        </w:tc>
        <w:tc>
          <w:tcPr>
            <w:tcW w:w="1600" w:type="dxa"/>
            <w:vAlign w:val="bottom"/>
            <w:shd w:val="clear" w:color="auto" w:fill="E5E5E5"/>
          </w:tcPr>
          <w:p>
            <w:pPr>
              <w:jc w:val="right"/>
              <w:ind w:right="448"/>
              <w:spacing w:after="0"/>
              <w:rPr>
                <w:sz w:val="20"/>
                <w:szCs w:val="20"/>
                <w:color w:val="auto"/>
              </w:rPr>
            </w:pPr>
            <w:r>
              <w:rPr>
                <w:rFonts w:ascii="Arial" w:cs="Arial" w:eastAsia="Arial" w:hAnsi="Arial"/>
                <w:sz w:val="14"/>
                <w:szCs w:val="14"/>
                <w:color w:val="auto"/>
              </w:rPr>
              <w:t>449</w:t>
            </w:r>
          </w:p>
        </w:tc>
        <w:tc>
          <w:tcPr>
            <w:tcW w:w="88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416</w:t>
            </w:r>
          </w:p>
        </w:tc>
        <w:tc>
          <w:tcPr>
            <w:tcW w:w="136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2</w:t>
            </w:r>
          </w:p>
        </w:tc>
        <w:tc>
          <w:tcPr>
            <w:tcW w:w="72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2</w:t>
            </w:r>
          </w:p>
        </w:tc>
        <w:tc>
          <w:tcPr>
            <w:tcW w:w="1520" w:type="dxa"/>
            <w:vAlign w:val="bottom"/>
            <w:shd w:val="clear" w:color="auto" w:fill="E5E5E5"/>
          </w:tcPr>
          <w:p>
            <w:pPr>
              <w:jc w:val="right"/>
              <w:ind w:right="628"/>
              <w:spacing w:after="0"/>
              <w:rPr>
                <w:sz w:val="20"/>
                <w:szCs w:val="20"/>
                <w:color w:val="auto"/>
              </w:rPr>
            </w:pPr>
            <w:r>
              <w:rPr>
                <w:rFonts w:ascii="Arial" w:cs="Arial" w:eastAsia="Arial" w:hAnsi="Arial"/>
                <w:sz w:val="14"/>
                <w:szCs w:val="14"/>
                <w:color w:val="auto"/>
              </w:rPr>
              <w:t>80</w:t>
            </w:r>
          </w:p>
        </w:tc>
        <w:tc>
          <w:tcPr>
            <w:tcW w:w="7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72</w:t>
            </w:r>
          </w:p>
        </w:tc>
        <w:tc>
          <w:tcPr>
            <w:tcW w:w="1420" w:type="dxa"/>
            <w:vAlign w:val="bottom"/>
            <w:shd w:val="clear" w:color="auto" w:fill="E5E5E5"/>
          </w:tcPr>
          <w:p>
            <w:pPr>
              <w:jc w:val="right"/>
              <w:ind w:right="588"/>
              <w:spacing w:after="0"/>
              <w:rPr>
                <w:sz w:val="20"/>
                <w:szCs w:val="20"/>
                <w:color w:val="auto"/>
              </w:rPr>
            </w:pPr>
            <w:r>
              <w:rPr>
                <w:rFonts w:ascii="Arial" w:cs="Arial" w:eastAsia="Arial" w:hAnsi="Arial"/>
                <w:sz w:val="14"/>
                <w:szCs w:val="14"/>
                <w:color w:val="auto"/>
              </w:rPr>
              <w:t>99</w:t>
            </w: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105</w:t>
            </w:r>
          </w:p>
        </w:tc>
      </w:tr>
      <w:tr>
        <w:trPr>
          <w:trHeight w:val="189"/>
        </w:trPr>
        <w:tc>
          <w:tcPr>
            <w:tcW w:w="2460" w:type="dxa"/>
            <w:vAlign w:val="bottom"/>
          </w:tcPr>
          <w:p>
            <w:pPr>
              <w:ind w:left="140"/>
              <w:spacing w:after="0"/>
              <w:rPr>
                <w:sz w:val="20"/>
                <w:szCs w:val="20"/>
                <w:color w:val="auto"/>
              </w:rPr>
            </w:pPr>
            <w:r>
              <w:rPr>
                <w:rFonts w:ascii="Arial" w:cs="Arial" w:eastAsia="Arial" w:hAnsi="Arial"/>
                <w:sz w:val="14"/>
                <w:szCs w:val="14"/>
                <w:color w:val="auto"/>
              </w:rPr>
              <w:t>Steam</w:t>
            </w:r>
          </w:p>
        </w:tc>
        <w:tc>
          <w:tcPr>
            <w:tcW w:w="1600" w:type="dxa"/>
            <w:vAlign w:val="bottom"/>
          </w:tcPr>
          <w:p>
            <w:pPr>
              <w:jc w:val="right"/>
              <w:ind w:right="448"/>
              <w:spacing w:after="0"/>
              <w:rPr>
                <w:sz w:val="20"/>
                <w:szCs w:val="20"/>
                <w:color w:val="auto"/>
              </w:rPr>
            </w:pPr>
            <w:r>
              <w:rPr>
                <w:rFonts w:ascii="Arial" w:cs="Arial" w:eastAsia="Arial" w:hAnsi="Arial"/>
                <w:sz w:val="14"/>
                <w:szCs w:val="14"/>
                <w:color w:val="auto"/>
              </w:rPr>
              <w:t>74</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84</w:t>
            </w:r>
          </w:p>
        </w:tc>
        <w:tc>
          <w:tcPr>
            <w:tcW w:w="1360" w:type="dxa"/>
            <w:vAlign w:val="bottom"/>
          </w:tcPr>
          <w:p>
            <w:pPr>
              <w:jc w:val="right"/>
              <w:ind w:right="548"/>
              <w:spacing w:after="0"/>
              <w:rPr>
                <w:sz w:val="20"/>
                <w:szCs w:val="20"/>
                <w:color w:val="auto"/>
              </w:rPr>
            </w:pPr>
            <w:r>
              <w:rPr>
                <w:rFonts w:ascii="Arial" w:cs="Arial" w:eastAsia="Arial" w:hAnsi="Arial"/>
                <w:sz w:val="14"/>
                <w:szCs w:val="14"/>
                <w:color w:val="auto"/>
              </w:rPr>
              <w:t>18</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19</w:t>
            </w:r>
          </w:p>
        </w:tc>
        <w:tc>
          <w:tcPr>
            <w:tcW w:w="1520" w:type="dxa"/>
            <w:vAlign w:val="bottom"/>
          </w:tcPr>
          <w:p>
            <w:pPr>
              <w:jc w:val="right"/>
              <w:ind w:right="628"/>
              <w:spacing w:after="0"/>
              <w:rPr>
                <w:sz w:val="20"/>
                <w:szCs w:val="20"/>
                <w:color w:val="auto"/>
              </w:rPr>
            </w:pPr>
            <w:r>
              <w:rPr>
                <w:rFonts w:ascii="Arial" w:cs="Arial" w:eastAsia="Arial" w:hAnsi="Arial"/>
                <w:sz w:val="14"/>
                <w:szCs w:val="14"/>
                <w:color w:val="auto"/>
              </w:rPr>
              <w:t>23</w:t>
            </w: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23</w:t>
            </w:r>
          </w:p>
        </w:tc>
        <w:tc>
          <w:tcPr>
            <w:tcW w:w="1420" w:type="dxa"/>
            <w:vAlign w:val="bottom"/>
          </w:tcPr>
          <w:p>
            <w:pPr>
              <w:jc w:val="right"/>
              <w:ind w:right="588"/>
              <w:spacing w:after="0"/>
              <w:rPr>
                <w:sz w:val="20"/>
                <w:szCs w:val="20"/>
                <w:color w:val="auto"/>
              </w:rPr>
            </w:pPr>
            <w:r>
              <w:rPr>
                <w:rFonts w:ascii="Arial" w:cs="Arial" w:eastAsia="Arial" w:hAnsi="Arial"/>
                <w:sz w:val="14"/>
                <w:szCs w:val="14"/>
                <w:color w:val="auto"/>
              </w:rPr>
              <w:t>(33)</w:t>
            </w:r>
          </w:p>
        </w:tc>
        <w:tc>
          <w:tcPr>
            <w:tcW w:w="4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89"/>
        </w:trPr>
        <w:tc>
          <w:tcPr>
            <w:tcW w:w="246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Consolidation adjustments</w:t>
            </w:r>
          </w:p>
        </w:tc>
        <w:tc>
          <w:tcPr>
            <w:tcW w:w="1600" w:type="dxa"/>
            <w:vAlign w:val="bottom"/>
            <w:tcBorders>
              <w:bottom w:val="single" w:sz="8" w:color="8C8272"/>
            </w:tcBorders>
            <w:shd w:val="clear" w:color="auto" w:fill="E5E5E5"/>
          </w:tcPr>
          <w:p>
            <w:pPr>
              <w:jc w:val="right"/>
              <w:ind w:right="4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8C8272"/>
            </w:tcBorders>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8C8272"/>
            </w:tcBorders>
            <w:shd w:val="clear" w:color="auto" w:fill="E5E5E5"/>
          </w:tcPr>
          <w:p>
            <w:pPr>
              <w:jc w:val="right"/>
              <w:ind w:right="548"/>
              <w:spacing w:after="0"/>
              <w:rPr>
                <w:sz w:val="20"/>
                <w:szCs w:val="20"/>
                <w:color w:val="auto"/>
              </w:rPr>
            </w:pPr>
            <w:r>
              <w:rPr>
                <w:rFonts w:ascii="Arial" w:cs="Arial" w:eastAsia="Arial" w:hAnsi="Arial"/>
                <w:sz w:val="14"/>
                <w:szCs w:val="14"/>
                <w:color w:val="auto"/>
              </w:rPr>
              <w:t>(25)</w:t>
            </w:r>
          </w:p>
        </w:tc>
        <w:tc>
          <w:tcPr>
            <w:tcW w:w="720" w:type="dxa"/>
            <w:vAlign w:val="bottom"/>
            <w:tcBorders>
              <w:bottom w:val="single" w:sz="8" w:color="8C8272"/>
            </w:tcBorders>
            <w:shd w:val="clear" w:color="auto" w:fill="E5E5E5"/>
          </w:tcPr>
          <w:p>
            <w:pPr>
              <w:jc w:val="right"/>
              <w:ind w:right="228"/>
              <w:spacing w:after="0"/>
              <w:rPr>
                <w:sz w:val="20"/>
                <w:szCs w:val="20"/>
                <w:color w:val="auto"/>
              </w:rPr>
            </w:pPr>
            <w:r>
              <w:rPr>
                <w:rFonts w:ascii="Arial" w:cs="Arial" w:eastAsia="Arial" w:hAnsi="Arial"/>
                <w:sz w:val="14"/>
                <w:szCs w:val="14"/>
                <w:color w:val="auto"/>
              </w:rPr>
              <w:t>(25)</w:t>
            </w:r>
          </w:p>
        </w:tc>
        <w:tc>
          <w:tcPr>
            <w:tcW w:w="1520" w:type="dxa"/>
            <w:vAlign w:val="bottom"/>
            <w:tcBorders>
              <w:bottom w:val="single" w:sz="8" w:color="8C8272"/>
            </w:tcBorders>
            <w:shd w:val="clear" w:color="auto" w:fill="E5E5E5"/>
          </w:tcPr>
          <w:p>
            <w:pPr>
              <w:jc w:val="right"/>
              <w:ind w:right="6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8C8272"/>
            </w:tcBorders>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8C8272"/>
            </w:tcBorders>
            <w:shd w:val="clear" w:color="auto" w:fill="E5E5E5"/>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183"/>
        </w:trPr>
        <w:tc>
          <w:tcPr>
            <w:tcW w:w="24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Total CECONY</w:t>
            </w:r>
          </w:p>
        </w:tc>
        <w:tc>
          <w:tcPr>
            <w:tcW w:w="1600" w:type="dxa"/>
            <w:vAlign w:val="bottom"/>
            <w:tcBorders>
              <w:bottom w:val="single" w:sz="8" w:color="8C8272"/>
            </w:tcBorders>
          </w:tcPr>
          <w:p>
            <w:pPr>
              <w:jc w:val="right"/>
              <w:ind w:right="448"/>
              <w:spacing w:after="0"/>
              <w:rPr>
                <w:sz w:val="20"/>
                <w:szCs w:val="20"/>
                <w:color w:val="auto"/>
              </w:rPr>
            </w:pPr>
            <w:r>
              <w:rPr>
                <w:rFonts w:ascii="Arial" w:cs="Arial" w:eastAsia="Arial" w:hAnsi="Arial"/>
                <w:sz w:val="14"/>
                <w:szCs w:val="14"/>
                <w:color w:val="auto"/>
              </w:rPr>
              <w:t>$2,486</w:t>
            </w:r>
          </w:p>
        </w:tc>
        <w:tc>
          <w:tcPr>
            <w:tcW w:w="880" w:type="dxa"/>
            <w:vAlign w:val="bottom"/>
            <w:tcBorders>
              <w:bottom w:val="single" w:sz="8" w:color="8C8272"/>
            </w:tcBorders>
          </w:tcPr>
          <w:p>
            <w:pPr>
              <w:jc w:val="right"/>
              <w:ind w:right="228"/>
              <w:spacing w:after="0"/>
              <w:rPr>
                <w:sz w:val="20"/>
                <w:szCs w:val="20"/>
                <w:color w:val="auto"/>
              </w:rPr>
            </w:pPr>
            <w:r>
              <w:rPr>
                <w:rFonts w:ascii="Arial" w:cs="Arial" w:eastAsia="Arial" w:hAnsi="Arial"/>
                <w:sz w:val="14"/>
                <w:szCs w:val="14"/>
                <w:color w:val="auto"/>
              </w:rPr>
              <w:t>$2,345</w:t>
            </w:r>
          </w:p>
        </w:tc>
        <w:tc>
          <w:tcPr>
            <w:tcW w:w="1360" w:type="dxa"/>
            <w:vAlign w:val="bottom"/>
            <w:tcBorders>
              <w:bottom w:val="single" w:sz="8" w:color="8C8272"/>
            </w:tcBorders>
          </w:tcPr>
          <w:p>
            <w:pPr>
              <w:jc w:val="right"/>
              <w:ind w:right="5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C8272"/>
            </w:tcBorders>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8C8272"/>
            </w:tcBorders>
          </w:tcPr>
          <w:p>
            <w:pPr>
              <w:jc w:val="right"/>
              <w:ind w:right="628"/>
              <w:spacing w:after="0"/>
              <w:rPr>
                <w:sz w:val="20"/>
                <w:szCs w:val="20"/>
                <w:color w:val="auto"/>
              </w:rPr>
            </w:pPr>
            <w:r>
              <w:rPr>
                <w:rFonts w:ascii="Arial" w:cs="Arial" w:eastAsia="Arial" w:hAnsi="Arial"/>
                <w:sz w:val="14"/>
                <w:szCs w:val="14"/>
                <w:color w:val="auto"/>
              </w:rPr>
              <w:t>$423</w:t>
            </w:r>
          </w:p>
        </w:tc>
        <w:tc>
          <w:tcPr>
            <w:tcW w:w="740" w:type="dxa"/>
            <w:vAlign w:val="bottom"/>
            <w:tcBorders>
              <w:bottom w:val="single" w:sz="8" w:color="8C8272"/>
            </w:tcBorders>
          </w:tcPr>
          <w:p>
            <w:pPr>
              <w:jc w:val="right"/>
              <w:ind w:right="268"/>
              <w:spacing w:after="0"/>
              <w:rPr>
                <w:sz w:val="20"/>
                <w:szCs w:val="20"/>
                <w:color w:val="auto"/>
              </w:rPr>
            </w:pPr>
            <w:r>
              <w:rPr>
                <w:rFonts w:ascii="Arial" w:cs="Arial" w:eastAsia="Arial" w:hAnsi="Arial"/>
                <w:sz w:val="14"/>
                <w:szCs w:val="14"/>
                <w:color w:val="auto"/>
              </w:rPr>
              <w:t>$396</w:t>
            </w:r>
          </w:p>
        </w:tc>
        <w:tc>
          <w:tcPr>
            <w:tcW w:w="1420" w:type="dxa"/>
            <w:vAlign w:val="bottom"/>
            <w:tcBorders>
              <w:bottom w:val="single" w:sz="8" w:color="8C8272"/>
            </w:tcBorders>
          </w:tcPr>
          <w:p>
            <w:pPr>
              <w:jc w:val="right"/>
              <w:ind w:right="588"/>
              <w:spacing w:after="0"/>
              <w:rPr>
                <w:sz w:val="20"/>
                <w:szCs w:val="20"/>
                <w:color w:val="auto"/>
              </w:rPr>
            </w:pPr>
            <w:r>
              <w:rPr>
                <w:rFonts w:ascii="Arial" w:cs="Arial" w:eastAsia="Arial" w:hAnsi="Arial"/>
                <w:sz w:val="14"/>
                <w:szCs w:val="14"/>
                <w:color w:val="auto"/>
              </w:rPr>
              <w:t>$321</w:t>
            </w:r>
          </w:p>
        </w:tc>
        <w:tc>
          <w:tcPr>
            <w:tcW w:w="4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$389</w:t>
            </w:r>
          </w:p>
        </w:tc>
      </w:tr>
      <w:tr>
        <w:trPr>
          <w:trHeight w:val="183"/>
        </w:trPr>
        <w:tc>
          <w:tcPr>
            <w:tcW w:w="2460" w:type="dxa"/>
            <w:vAlign w:val="bottom"/>
            <w:shd w:val="clear" w:color="auto" w:fill="E5E5E5"/>
          </w:tcPr>
          <w:p>
            <w:pPr>
              <w:ind w:left="20"/>
              <w:spacing w:after="0"/>
              <w:rPr>
                <w:sz w:val="20"/>
                <w:szCs w:val="20"/>
                <w:color w:val="auto"/>
              </w:rPr>
            </w:pPr>
            <w:r>
              <w:rPr>
                <w:rFonts w:ascii="Arial" w:cs="Arial" w:eastAsia="Arial" w:hAnsi="Arial"/>
                <w:sz w:val="14"/>
                <w:szCs w:val="14"/>
                <w:color w:val="auto"/>
              </w:rPr>
              <w:t>O&amp;R</w:t>
            </w:r>
          </w:p>
        </w:tc>
        <w:tc>
          <w:tcPr>
            <w:tcW w:w="160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36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152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142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r>
      <w:tr>
        <w:trPr>
          <w:trHeight w:val="189"/>
        </w:trPr>
        <w:tc>
          <w:tcPr>
            <w:tcW w:w="2460" w:type="dxa"/>
            <w:vAlign w:val="bottom"/>
          </w:tcPr>
          <w:p>
            <w:pPr>
              <w:ind w:left="140"/>
              <w:spacing w:after="0"/>
              <w:rPr>
                <w:sz w:val="20"/>
                <w:szCs w:val="20"/>
                <w:color w:val="auto"/>
              </w:rPr>
            </w:pPr>
            <w:r>
              <w:rPr>
                <w:rFonts w:ascii="Arial" w:cs="Arial" w:eastAsia="Arial" w:hAnsi="Arial"/>
                <w:sz w:val="14"/>
                <w:szCs w:val="14"/>
                <w:color w:val="auto"/>
              </w:rPr>
              <w:t>Electric</w:t>
            </w:r>
          </w:p>
        </w:tc>
        <w:tc>
          <w:tcPr>
            <w:tcW w:w="1600" w:type="dxa"/>
            <w:vAlign w:val="bottom"/>
          </w:tcPr>
          <w:p>
            <w:pPr>
              <w:jc w:val="right"/>
              <w:ind w:right="448"/>
              <w:spacing w:after="0"/>
              <w:rPr>
                <w:sz w:val="20"/>
                <w:szCs w:val="20"/>
                <w:color w:val="auto"/>
              </w:rPr>
            </w:pPr>
            <w:r>
              <w:rPr>
                <w:rFonts w:ascii="Arial" w:cs="Arial" w:eastAsia="Arial" w:hAnsi="Arial"/>
                <w:sz w:val="14"/>
                <w:szCs w:val="14"/>
                <w:color w:val="auto"/>
              </w:rPr>
              <w:t>$153</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$138</w:t>
            </w:r>
          </w:p>
        </w:tc>
        <w:tc>
          <w:tcPr>
            <w:tcW w:w="13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28"/>
              <w:spacing w:after="0"/>
              <w:rPr>
                <w:sz w:val="20"/>
                <w:szCs w:val="20"/>
                <w:color w:val="auto"/>
              </w:rPr>
            </w:pPr>
            <w:r>
              <w:rPr>
                <w:rFonts w:ascii="Arial" w:cs="Arial" w:eastAsia="Arial" w:hAnsi="Arial"/>
                <w:sz w:val="14"/>
                <w:szCs w:val="14"/>
                <w:color w:val="auto"/>
              </w:rPr>
              <w:t>$17</w:t>
            </w: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$16</w:t>
            </w:r>
          </w:p>
        </w:tc>
        <w:tc>
          <w:tcPr>
            <w:tcW w:w="1420" w:type="dxa"/>
            <w:vAlign w:val="bottom"/>
          </w:tcPr>
          <w:p>
            <w:pPr>
              <w:jc w:val="right"/>
              <w:ind w:right="588"/>
              <w:spacing w:after="0"/>
              <w:rPr>
                <w:sz w:val="20"/>
                <w:szCs w:val="20"/>
                <w:color w:val="auto"/>
              </w:rPr>
            </w:pPr>
            <w:r>
              <w:rPr>
                <w:rFonts w:ascii="Arial" w:cs="Arial" w:eastAsia="Arial" w:hAnsi="Arial"/>
                <w:sz w:val="14"/>
                <w:szCs w:val="14"/>
                <w:color w:val="auto"/>
              </w:rPr>
              <w:t>$14</w:t>
            </w:r>
          </w:p>
        </w:tc>
        <w:tc>
          <w:tcPr>
            <w:tcW w:w="4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89"/>
        </w:trPr>
        <w:tc>
          <w:tcPr>
            <w:tcW w:w="2460" w:type="dxa"/>
            <w:vAlign w:val="bottom"/>
            <w:tcBorders>
              <w:bottom w:val="single" w:sz="8" w:color="828282"/>
            </w:tcBorders>
            <w:shd w:val="clear" w:color="auto" w:fill="E5E5E5"/>
          </w:tcPr>
          <w:p>
            <w:pPr>
              <w:ind w:left="140"/>
              <w:spacing w:after="0"/>
              <w:rPr>
                <w:sz w:val="20"/>
                <w:szCs w:val="20"/>
                <w:color w:val="auto"/>
              </w:rPr>
            </w:pPr>
            <w:r>
              <w:rPr>
                <w:rFonts w:ascii="Arial" w:cs="Arial" w:eastAsia="Arial" w:hAnsi="Arial"/>
                <w:sz w:val="14"/>
                <w:szCs w:val="14"/>
                <w:color w:val="auto"/>
              </w:rPr>
              <w:t>Gas</w:t>
            </w:r>
          </w:p>
        </w:tc>
        <w:tc>
          <w:tcPr>
            <w:tcW w:w="1600" w:type="dxa"/>
            <w:vAlign w:val="bottom"/>
            <w:tcBorders>
              <w:bottom w:val="single" w:sz="8" w:color="828282"/>
            </w:tcBorders>
            <w:shd w:val="clear" w:color="auto" w:fill="E5E5E5"/>
          </w:tcPr>
          <w:p>
            <w:pPr>
              <w:jc w:val="right"/>
              <w:ind w:right="448"/>
              <w:spacing w:after="0"/>
              <w:rPr>
                <w:sz w:val="20"/>
                <w:szCs w:val="20"/>
                <w:color w:val="auto"/>
              </w:rPr>
            </w:pPr>
            <w:r>
              <w:rPr>
                <w:rFonts w:ascii="Arial" w:cs="Arial" w:eastAsia="Arial" w:hAnsi="Arial"/>
                <w:sz w:val="14"/>
                <w:szCs w:val="14"/>
                <w:color w:val="auto"/>
              </w:rPr>
              <w:t>41</w:t>
            </w:r>
          </w:p>
        </w:tc>
        <w:tc>
          <w:tcPr>
            <w:tcW w:w="880" w:type="dxa"/>
            <w:vAlign w:val="bottom"/>
            <w:tcBorders>
              <w:bottom w:val="single" w:sz="8" w:color="828282"/>
            </w:tcBorders>
            <w:shd w:val="clear" w:color="auto" w:fill="E5E5E5"/>
          </w:tcPr>
          <w:p>
            <w:pPr>
              <w:jc w:val="right"/>
              <w:ind w:right="228"/>
              <w:spacing w:after="0"/>
              <w:rPr>
                <w:sz w:val="20"/>
                <w:szCs w:val="20"/>
                <w:color w:val="auto"/>
              </w:rPr>
            </w:pPr>
            <w:r>
              <w:rPr>
                <w:rFonts w:ascii="Arial" w:cs="Arial" w:eastAsia="Arial" w:hAnsi="Arial"/>
                <w:sz w:val="14"/>
                <w:szCs w:val="14"/>
                <w:color w:val="auto"/>
              </w:rPr>
              <w:t>37</w:t>
            </w:r>
          </w:p>
        </w:tc>
        <w:tc>
          <w:tcPr>
            <w:tcW w:w="1360" w:type="dxa"/>
            <w:vAlign w:val="bottom"/>
            <w:tcBorders>
              <w:bottom w:val="single" w:sz="8" w:color="828282"/>
            </w:tcBorders>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28282"/>
            </w:tcBorders>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828282"/>
            </w:tcBorders>
            <w:shd w:val="clear" w:color="auto" w:fill="E5E5E5"/>
          </w:tcPr>
          <w:p>
            <w:pPr>
              <w:jc w:val="right"/>
              <w:ind w:right="628"/>
              <w:spacing w:after="0"/>
              <w:rPr>
                <w:sz w:val="20"/>
                <w:szCs w:val="20"/>
                <w:color w:val="auto"/>
              </w:rPr>
            </w:pPr>
            <w:r>
              <w:rPr>
                <w:rFonts w:ascii="Arial" w:cs="Arial" w:eastAsia="Arial" w:hAnsi="Arial"/>
                <w:sz w:val="14"/>
                <w:szCs w:val="14"/>
                <w:color w:val="auto"/>
              </w:rPr>
              <w:t>7</w:t>
            </w:r>
          </w:p>
        </w:tc>
        <w:tc>
          <w:tcPr>
            <w:tcW w:w="740" w:type="dxa"/>
            <w:vAlign w:val="bottom"/>
            <w:tcBorders>
              <w:bottom w:val="single" w:sz="8" w:color="828282"/>
            </w:tcBorders>
            <w:shd w:val="clear" w:color="auto" w:fill="E5E5E5"/>
          </w:tcPr>
          <w:p>
            <w:pPr>
              <w:jc w:val="right"/>
              <w:ind w:right="268"/>
              <w:spacing w:after="0"/>
              <w:rPr>
                <w:sz w:val="20"/>
                <w:szCs w:val="20"/>
                <w:color w:val="auto"/>
              </w:rPr>
            </w:pPr>
            <w:r>
              <w:rPr>
                <w:rFonts w:ascii="Arial" w:cs="Arial" w:eastAsia="Arial" w:hAnsi="Arial"/>
                <w:sz w:val="14"/>
                <w:szCs w:val="14"/>
                <w:color w:val="auto"/>
              </w:rPr>
              <w:t>7</w:t>
            </w:r>
          </w:p>
        </w:tc>
        <w:tc>
          <w:tcPr>
            <w:tcW w:w="1420" w:type="dxa"/>
            <w:vAlign w:val="bottom"/>
            <w:tcBorders>
              <w:bottom w:val="single" w:sz="8" w:color="828282"/>
            </w:tcBorders>
            <w:shd w:val="clear" w:color="auto" w:fill="E5E5E5"/>
          </w:tcPr>
          <w:p>
            <w:pPr>
              <w:jc w:val="right"/>
              <w:ind w:right="588"/>
              <w:spacing w:after="0"/>
              <w:rPr>
                <w:sz w:val="20"/>
                <w:szCs w:val="20"/>
                <w:color w:val="auto"/>
              </w:rPr>
            </w:pPr>
            <w:r>
              <w:rPr>
                <w:rFonts w:ascii="Arial" w:cs="Arial" w:eastAsia="Arial" w:hAnsi="Arial"/>
                <w:sz w:val="14"/>
                <w:szCs w:val="14"/>
                <w:color w:val="auto"/>
              </w:rPr>
              <w:t>(3)</w:t>
            </w:r>
          </w:p>
        </w:tc>
        <w:tc>
          <w:tcPr>
            <w:tcW w:w="48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(3)</w:t>
            </w:r>
          </w:p>
        </w:tc>
      </w:tr>
      <w:tr>
        <w:trPr>
          <w:trHeight w:val="182"/>
        </w:trPr>
        <w:tc>
          <w:tcPr>
            <w:tcW w:w="24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Total O&amp;R</w:t>
            </w:r>
          </w:p>
        </w:tc>
        <w:tc>
          <w:tcPr>
            <w:tcW w:w="1600" w:type="dxa"/>
            <w:vAlign w:val="bottom"/>
            <w:tcBorders>
              <w:bottom w:val="single" w:sz="8" w:color="8C8272"/>
            </w:tcBorders>
          </w:tcPr>
          <w:p>
            <w:pPr>
              <w:jc w:val="right"/>
              <w:ind w:right="448"/>
              <w:spacing w:after="0"/>
              <w:rPr>
                <w:sz w:val="20"/>
                <w:szCs w:val="20"/>
                <w:color w:val="auto"/>
              </w:rPr>
            </w:pPr>
            <w:r>
              <w:rPr>
                <w:rFonts w:ascii="Arial" w:cs="Arial" w:eastAsia="Arial" w:hAnsi="Arial"/>
                <w:sz w:val="14"/>
                <w:szCs w:val="14"/>
                <w:color w:val="auto"/>
              </w:rPr>
              <w:t>$194</w:t>
            </w:r>
          </w:p>
        </w:tc>
        <w:tc>
          <w:tcPr>
            <w:tcW w:w="880" w:type="dxa"/>
            <w:vAlign w:val="bottom"/>
            <w:tcBorders>
              <w:bottom w:val="single" w:sz="8" w:color="8C8272"/>
            </w:tcBorders>
          </w:tcPr>
          <w:p>
            <w:pPr>
              <w:jc w:val="right"/>
              <w:ind w:right="228"/>
              <w:spacing w:after="0"/>
              <w:rPr>
                <w:sz w:val="20"/>
                <w:szCs w:val="20"/>
                <w:color w:val="auto"/>
              </w:rPr>
            </w:pPr>
            <w:r>
              <w:rPr>
                <w:rFonts w:ascii="Arial" w:cs="Arial" w:eastAsia="Arial" w:hAnsi="Arial"/>
                <w:sz w:val="14"/>
                <w:szCs w:val="14"/>
                <w:color w:val="auto"/>
              </w:rPr>
              <w:t>$175</w:t>
            </w:r>
          </w:p>
        </w:tc>
        <w:tc>
          <w:tcPr>
            <w:tcW w:w="1360" w:type="dxa"/>
            <w:vAlign w:val="bottom"/>
            <w:tcBorders>
              <w:bottom w:val="single" w:sz="8" w:color="8C8272"/>
            </w:tcBorders>
          </w:tcPr>
          <w:p>
            <w:pPr>
              <w:jc w:val="right"/>
              <w:ind w:right="5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C8272"/>
            </w:tcBorders>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8C8272"/>
            </w:tcBorders>
          </w:tcPr>
          <w:p>
            <w:pPr>
              <w:jc w:val="right"/>
              <w:ind w:right="628"/>
              <w:spacing w:after="0"/>
              <w:rPr>
                <w:sz w:val="20"/>
                <w:szCs w:val="20"/>
                <w:color w:val="auto"/>
              </w:rPr>
            </w:pPr>
            <w:r>
              <w:rPr>
                <w:rFonts w:ascii="Arial" w:cs="Arial" w:eastAsia="Arial" w:hAnsi="Arial"/>
                <w:sz w:val="14"/>
                <w:szCs w:val="14"/>
                <w:color w:val="auto"/>
              </w:rPr>
              <w:t>$24</w:t>
            </w:r>
          </w:p>
        </w:tc>
        <w:tc>
          <w:tcPr>
            <w:tcW w:w="740" w:type="dxa"/>
            <w:vAlign w:val="bottom"/>
            <w:tcBorders>
              <w:bottom w:val="single" w:sz="8" w:color="8C8272"/>
            </w:tcBorders>
          </w:tcPr>
          <w:p>
            <w:pPr>
              <w:jc w:val="right"/>
              <w:ind w:right="268"/>
              <w:spacing w:after="0"/>
              <w:rPr>
                <w:sz w:val="20"/>
                <w:szCs w:val="20"/>
                <w:color w:val="auto"/>
              </w:rPr>
            </w:pPr>
            <w:r>
              <w:rPr>
                <w:rFonts w:ascii="Arial" w:cs="Arial" w:eastAsia="Arial" w:hAnsi="Arial"/>
                <w:sz w:val="14"/>
                <w:szCs w:val="14"/>
                <w:color w:val="auto"/>
              </w:rPr>
              <w:t>$23</w:t>
            </w:r>
          </w:p>
        </w:tc>
        <w:tc>
          <w:tcPr>
            <w:tcW w:w="1420" w:type="dxa"/>
            <w:vAlign w:val="bottom"/>
            <w:tcBorders>
              <w:bottom w:val="single" w:sz="8" w:color="8C8272"/>
            </w:tcBorders>
          </w:tcPr>
          <w:p>
            <w:pPr>
              <w:jc w:val="right"/>
              <w:ind w:right="588"/>
              <w:spacing w:after="0"/>
              <w:rPr>
                <w:sz w:val="20"/>
                <w:szCs w:val="20"/>
                <w:color w:val="auto"/>
              </w:rPr>
            </w:pPr>
            <w:r>
              <w:rPr>
                <w:rFonts w:ascii="Arial" w:cs="Arial" w:eastAsia="Arial" w:hAnsi="Arial"/>
                <w:sz w:val="14"/>
                <w:szCs w:val="14"/>
                <w:color w:val="auto"/>
              </w:rPr>
              <w:t>$11</w:t>
            </w:r>
          </w:p>
        </w:tc>
        <w:tc>
          <w:tcPr>
            <w:tcW w:w="4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$10</w:t>
            </w:r>
          </w:p>
        </w:tc>
      </w:tr>
      <w:tr>
        <w:trPr>
          <w:trHeight w:val="183"/>
        </w:trPr>
        <w:tc>
          <w:tcPr>
            <w:tcW w:w="2460" w:type="dxa"/>
            <w:vAlign w:val="bottom"/>
            <w:shd w:val="clear" w:color="auto" w:fill="E5E5E5"/>
          </w:tcPr>
          <w:p>
            <w:pPr>
              <w:ind w:left="20"/>
              <w:spacing w:after="0"/>
              <w:rPr>
                <w:sz w:val="20"/>
                <w:szCs w:val="20"/>
                <w:color w:val="auto"/>
              </w:rPr>
            </w:pPr>
            <w:r>
              <w:rPr>
                <w:rFonts w:ascii="Arial" w:cs="Arial" w:eastAsia="Arial" w:hAnsi="Arial"/>
                <w:sz w:val="14"/>
                <w:szCs w:val="14"/>
                <w:color w:val="auto"/>
              </w:rPr>
              <w:t>Clean Energy Businesses</w:t>
            </w:r>
          </w:p>
        </w:tc>
        <w:tc>
          <w:tcPr>
            <w:tcW w:w="1600" w:type="dxa"/>
            <w:vAlign w:val="bottom"/>
            <w:shd w:val="clear" w:color="auto" w:fill="E5E5E5"/>
          </w:tcPr>
          <w:p>
            <w:pPr>
              <w:jc w:val="right"/>
              <w:ind w:right="448"/>
              <w:spacing w:after="0"/>
              <w:rPr>
                <w:sz w:val="20"/>
                <w:szCs w:val="20"/>
                <w:color w:val="auto"/>
              </w:rPr>
            </w:pPr>
            <w:r>
              <w:rPr>
                <w:rFonts w:ascii="Arial" w:cs="Arial" w:eastAsia="Arial" w:hAnsi="Arial"/>
                <w:sz w:val="14"/>
                <w:szCs w:val="14"/>
                <w:color w:val="auto"/>
              </w:rPr>
              <w:t>$291</w:t>
            </w:r>
          </w:p>
        </w:tc>
        <w:tc>
          <w:tcPr>
            <w:tcW w:w="88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$198</w:t>
            </w:r>
          </w:p>
        </w:tc>
        <w:tc>
          <w:tcPr>
            <w:tcW w:w="1360" w:type="dxa"/>
            <w:vAlign w:val="bottom"/>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shd w:val="clear" w:color="auto" w:fill="E5E5E5"/>
          </w:tcPr>
          <w:p>
            <w:pPr>
              <w:jc w:val="right"/>
              <w:ind w:right="628"/>
              <w:spacing w:after="0"/>
              <w:rPr>
                <w:sz w:val="20"/>
                <w:szCs w:val="20"/>
                <w:color w:val="auto"/>
              </w:rPr>
            </w:pPr>
            <w:r>
              <w:rPr>
                <w:rFonts w:ascii="Arial" w:cs="Arial" w:eastAsia="Arial" w:hAnsi="Arial"/>
                <w:sz w:val="14"/>
                <w:szCs w:val="14"/>
                <w:color w:val="auto"/>
              </w:rPr>
              <w:t>$55</w:t>
            </w:r>
          </w:p>
        </w:tc>
        <w:tc>
          <w:tcPr>
            <w:tcW w:w="7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$57</w:t>
            </w:r>
          </w:p>
        </w:tc>
        <w:tc>
          <w:tcPr>
            <w:tcW w:w="1420" w:type="dxa"/>
            <w:vAlign w:val="bottom"/>
            <w:shd w:val="clear" w:color="auto" w:fill="E5E5E5"/>
          </w:tcPr>
          <w:p>
            <w:pPr>
              <w:jc w:val="right"/>
              <w:ind w:right="588"/>
              <w:spacing w:after="0"/>
              <w:rPr>
                <w:sz w:val="20"/>
                <w:szCs w:val="20"/>
                <w:color w:val="auto"/>
              </w:rPr>
            </w:pPr>
            <w:r>
              <w:rPr>
                <w:rFonts w:ascii="Arial" w:cs="Arial" w:eastAsia="Arial" w:hAnsi="Arial"/>
                <w:sz w:val="14"/>
                <w:szCs w:val="14"/>
                <w:color w:val="auto"/>
              </w:rPr>
              <w:t>$89</w:t>
            </w: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$82</w:t>
            </w: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Con Edison Transmission</w:t>
            </w:r>
          </w:p>
        </w:tc>
        <w:tc>
          <w:tcPr>
            <w:tcW w:w="1600" w:type="dxa"/>
            <w:vAlign w:val="bottom"/>
          </w:tcPr>
          <w:p>
            <w:pPr>
              <w:jc w:val="right"/>
              <w:ind w:right="448"/>
              <w:spacing w:after="0"/>
              <w:rPr>
                <w:sz w:val="20"/>
                <w:szCs w:val="20"/>
                <w:color w:val="auto"/>
              </w:rPr>
            </w:pPr>
            <w:r>
              <w:rPr>
                <w:rFonts w:ascii="Arial" w:cs="Arial" w:eastAsia="Arial" w:hAnsi="Arial"/>
                <w:sz w:val="14"/>
                <w:szCs w:val="14"/>
                <w:color w:val="auto"/>
              </w:rPr>
              <w:t>1</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w:t>
            </w:r>
          </w:p>
        </w:tc>
        <w:tc>
          <w:tcPr>
            <w:tcW w:w="13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588"/>
              <w:spacing w:after="0"/>
              <w:rPr>
                <w:sz w:val="20"/>
                <w:szCs w:val="20"/>
                <w:color w:val="auto"/>
              </w:rPr>
            </w:pPr>
            <w:r>
              <w:rPr>
                <w:rFonts w:ascii="Arial" w:cs="Arial" w:eastAsia="Arial" w:hAnsi="Arial"/>
                <w:sz w:val="14"/>
                <w:szCs w:val="14"/>
                <w:color w:val="auto"/>
              </w:rPr>
              <w:t>(1)</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246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Other (a)</w:t>
            </w:r>
          </w:p>
        </w:tc>
        <w:tc>
          <w:tcPr>
            <w:tcW w:w="1600" w:type="dxa"/>
            <w:vAlign w:val="bottom"/>
            <w:tcBorders>
              <w:bottom w:val="single" w:sz="8" w:color="8C8272"/>
            </w:tcBorders>
            <w:shd w:val="clear" w:color="auto" w:fill="E5E5E5"/>
          </w:tcPr>
          <w:p>
            <w:pPr>
              <w:jc w:val="right"/>
              <w:ind w:right="448"/>
              <w:spacing w:after="0"/>
              <w:rPr>
                <w:sz w:val="20"/>
                <w:szCs w:val="20"/>
                <w:color w:val="auto"/>
              </w:rPr>
            </w:pPr>
            <w:r>
              <w:rPr>
                <w:rFonts w:ascii="Arial" w:cs="Arial" w:eastAsia="Arial" w:hAnsi="Arial"/>
                <w:sz w:val="14"/>
                <w:szCs w:val="14"/>
                <w:color w:val="auto"/>
              </w:rPr>
              <w:t>(1)</w:t>
            </w:r>
          </w:p>
        </w:tc>
        <w:tc>
          <w:tcPr>
            <w:tcW w:w="880" w:type="dxa"/>
            <w:vAlign w:val="bottom"/>
            <w:tcBorders>
              <w:bottom w:val="single" w:sz="8" w:color="8C8272"/>
            </w:tcBorders>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8C8272"/>
            </w:tcBorders>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C8272"/>
            </w:tcBorders>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8C8272"/>
            </w:tcBorders>
            <w:shd w:val="clear" w:color="auto" w:fill="E5E5E5"/>
          </w:tcPr>
          <w:p>
            <w:pPr>
              <w:jc w:val="right"/>
              <w:ind w:right="6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8C8272"/>
            </w:tcBorders>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8C8272"/>
            </w:tcBorders>
            <w:shd w:val="clear" w:color="auto" w:fill="E5E5E5"/>
          </w:tcPr>
          <w:p>
            <w:pPr>
              <w:jc w:val="right"/>
              <w:ind w:right="588"/>
              <w:spacing w:after="0"/>
              <w:rPr>
                <w:sz w:val="20"/>
                <w:szCs w:val="20"/>
                <w:color w:val="auto"/>
              </w:rPr>
            </w:pPr>
            <w:r>
              <w:rPr>
                <w:rFonts w:ascii="Arial" w:cs="Arial" w:eastAsia="Arial" w:hAnsi="Arial"/>
                <w:sz w:val="14"/>
                <w:szCs w:val="14"/>
                <w:color w:val="auto"/>
              </w:rPr>
              <w:t>(2)</w:t>
            </w:r>
          </w:p>
        </w:tc>
        <w:tc>
          <w:tcPr>
            <w:tcW w:w="4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24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Total Con Edison</w:t>
            </w:r>
          </w:p>
        </w:tc>
        <w:tc>
          <w:tcPr>
            <w:tcW w:w="1600" w:type="dxa"/>
            <w:vAlign w:val="bottom"/>
            <w:tcBorders>
              <w:bottom w:val="single" w:sz="8" w:color="8C8272"/>
            </w:tcBorders>
          </w:tcPr>
          <w:p>
            <w:pPr>
              <w:jc w:val="right"/>
              <w:ind w:right="448"/>
              <w:spacing w:after="0"/>
              <w:rPr>
                <w:sz w:val="20"/>
                <w:szCs w:val="20"/>
                <w:color w:val="auto"/>
              </w:rPr>
            </w:pPr>
            <w:r>
              <w:rPr>
                <w:rFonts w:ascii="Arial" w:cs="Arial" w:eastAsia="Arial" w:hAnsi="Arial"/>
                <w:sz w:val="14"/>
                <w:szCs w:val="14"/>
                <w:color w:val="auto"/>
              </w:rPr>
              <w:t>$2,971</w:t>
            </w:r>
          </w:p>
        </w:tc>
        <w:tc>
          <w:tcPr>
            <w:tcW w:w="880" w:type="dxa"/>
            <w:vAlign w:val="bottom"/>
            <w:tcBorders>
              <w:bottom w:val="single" w:sz="8" w:color="8C8272"/>
            </w:tcBorders>
          </w:tcPr>
          <w:p>
            <w:pPr>
              <w:jc w:val="right"/>
              <w:ind w:right="228"/>
              <w:spacing w:after="0"/>
              <w:rPr>
                <w:sz w:val="20"/>
                <w:szCs w:val="20"/>
                <w:color w:val="auto"/>
              </w:rPr>
            </w:pPr>
            <w:r>
              <w:rPr>
                <w:rFonts w:ascii="Arial" w:cs="Arial" w:eastAsia="Arial" w:hAnsi="Arial"/>
                <w:sz w:val="14"/>
                <w:szCs w:val="14"/>
                <w:color w:val="auto"/>
              </w:rPr>
              <w:t>$2,719</w:t>
            </w:r>
          </w:p>
        </w:tc>
        <w:tc>
          <w:tcPr>
            <w:tcW w:w="1360" w:type="dxa"/>
            <w:vAlign w:val="bottom"/>
            <w:tcBorders>
              <w:bottom w:val="single" w:sz="8" w:color="8C8272"/>
            </w:tcBorders>
          </w:tcPr>
          <w:p>
            <w:pPr>
              <w:jc w:val="right"/>
              <w:ind w:right="5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C8272"/>
            </w:tcBorders>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8C8272"/>
            </w:tcBorders>
          </w:tcPr>
          <w:p>
            <w:pPr>
              <w:jc w:val="right"/>
              <w:ind w:right="628"/>
              <w:spacing w:after="0"/>
              <w:rPr>
                <w:sz w:val="20"/>
                <w:szCs w:val="20"/>
                <w:color w:val="auto"/>
              </w:rPr>
            </w:pPr>
            <w:r>
              <w:rPr>
                <w:rFonts w:ascii="Arial" w:cs="Arial" w:eastAsia="Arial" w:hAnsi="Arial"/>
                <w:sz w:val="14"/>
                <w:szCs w:val="14"/>
                <w:color w:val="auto"/>
              </w:rPr>
              <w:t>$502</w:t>
            </w:r>
          </w:p>
        </w:tc>
        <w:tc>
          <w:tcPr>
            <w:tcW w:w="740" w:type="dxa"/>
            <w:vAlign w:val="bottom"/>
            <w:tcBorders>
              <w:bottom w:val="single" w:sz="8" w:color="8C8272"/>
            </w:tcBorders>
          </w:tcPr>
          <w:p>
            <w:pPr>
              <w:jc w:val="right"/>
              <w:ind w:right="268"/>
              <w:spacing w:after="0"/>
              <w:rPr>
                <w:sz w:val="20"/>
                <w:szCs w:val="20"/>
                <w:color w:val="auto"/>
              </w:rPr>
            </w:pPr>
            <w:r>
              <w:rPr>
                <w:rFonts w:ascii="Arial" w:cs="Arial" w:eastAsia="Arial" w:hAnsi="Arial"/>
                <w:sz w:val="14"/>
                <w:szCs w:val="14"/>
                <w:color w:val="auto"/>
              </w:rPr>
              <w:t>$476</w:t>
            </w:r>
          </w:p>
        </w:tc>
        <w:tc>
          <w:tcPr>
            <w:tcW w:w="1420" w:type="dxa"/>
            <w:vAlign w:val="bottom"/>
            <w:tcBorders>
              <w:bottom w:val="single" w:sz="8" w:color="8C8272"/>
            </w:tcBorders>
          </w:tcPr>
          <w:p>
            <w:pPr>
              <w:jc w:val="right"/>
              <w:ind w:right="588"/>
              <w:spacing w:after="0"/>
              <w:rPr>
                <w:sz w:val="20"/>
                <w:szCs w:val="20"/>
                <w:color w:val="auto"/>
              </w:rPr>
            </w:pPr>
            <w:r>
              <w:rPr>
                <w:rFonts w:ascii="Arial" w:cs="Arial" w:eastAsia="Arial" w:hAnsi="Arial"/>
                <w:sz w:val="14"/>
                <w:szCs w:val="14"/>
                <w:color w:val="auto"/>
              </w:rPr>
              <w:t>$418</w:t>
            </w:r>
          </w:p>
        </w:tc>
        <w:tc>
          <w:tcPr>
            <w:tcW w:w="4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$479</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 Parent company and consolidation adjustments. Other does not represent a business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1"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9"/>
        </w:trPr>
        <w:tc>
          <w:tcPr>
            <w:tcW w:w="2480" w:type="dxa"/>
            <w:vAlign w:val="bottom"/>
            <w:tcBorders>
              <w:bottom w:val="single" w:sz="8" w:color="8C8272"/>
            </w:tcBorders>
          </w:tcPr>
          <w:p>
            <w:pPr>
              <w:spacing w:after="0"/>
              <w:rPr>
                <w:sz w:val="16"/>
                <w:szCs w:val="16"/>
                <w:color w:val="auto"/>
              </w:rPr>
            </w:pPr>
          </w:p>
        </w:tc>
        <w:tc>
          <w:tcPr>
            <w:tcW w:w="1580" w:type="dxa"/>
            <w:vAlign w:val="bottom"/>
            <w:tcBorders>
              <w:bottom w:val="single" w:sz="8" w:color="8C8272"/>
            </w:tcBorders>
          </w:tcPr>
          <w:p>
            <w:pPr>
              <w:spacing w:after="0"/>
              <w:rPr>
                <w:sz w:val="16"/>
                <w:szCs w:val="16"/>
                <w:color w:val="auto"/>
              </w:rPr>
            </w:pPr>
          </w:p>
        </w:tc>
        <w:tc>
          <w:tcPr>
            <w:tcW w:w="880" w:type="dxa"/>
            <w:vAlign w:val="bottom"/>
            <w:tcBorders>
              <w:bottom w:val="single" w:sz="8" w:color="8C8272"/>
            </w:tcBorders>
          </w:tcPr>
          <w:p>
            <w:pPr>
              <w:spacing w:after="0"/>
              <w:rPr>
                <w:sz w:val="16"/>
                <w:szCs w:val="16"/>
                <w:color w:val="auto"/>
              </w:rPr>
            </w:pPr>
          </w:p>
        </w:tc>
        <w:tc>
          <w:tcPr>
            <w:tcW w:w="3620" w:type="dxa"/>
            <w:vAlign w:val="bottom"/>
            <w:tcBorders>
              <w:bottom w:val="single" w:sz="8" w:color="8C8272"/>
            </w:tcBorders>
            <w:gridSpan w:val="3"/>
          </w:tcPr>
          <w:p>
            <w:pPr>
              <w:jc w:val="right"/>
              <w:ind w:right="468"/>
              <w:spacing w:after="0"/>
              <w:rPr>
                <w:sz w:val="20"/>
                <w:szCs w:val="20"/>
                <w:color w:val="auto"/>
              </w:rPr>
            </w:pPr>
            <w:r>
              <w:rPr>
                <w:rFonts w:ascii="Arial" w:cs="Arial" w:eastAsia="Arial" w:hAnsi="Arial"/>
                <w:sz w:val="14"/>
                <w:szCs w:val="14"/>
                <w:b w:val="1"/>
                <w:bCs w:val="1"/>
                <w:color w:val="auto"/>
              </w:rPr>
              <w:t>For the Six Months Ended June 30,</w:t>
            </w:r>
          </w:p>
        </w:tc>
        <w:tc>
          <w:tcPr>
            <w:tcW w:w="720" w:type="dxa"/>
            <w:vAlign w:val="bottom"/>
            <w:tcBorders>
              <w:bottom w:val="single" w:sz="8" w:color="8C8272"/>
            </w:tcBorders>
          </w:tcPr>
          <w:p>
            <w:pPr>
              <w:spacing w:after="0"/>
              <w:rPr>
                <w:sz w:val="16"/>
                <w:szCs w:val="16"/>
                <w:color w:val="auto"/>
              </w:rPr>
            </w:pPr>
          </w:p>
        </w:tc>
        <w:tc>
          <w:tcPr>
            <w:tcW w:w="1360" w:type="dxa"/>
            <w:vAlign w:val="bottom"/>
            <w:tcBorders>
              <w:bottom w:val="single" w:sz="8" w:color="8C8272"/>
            </w:tcBorders>
          </w:tcPr>
          <w:p>
            <w:pPr>
              <w:spacing w:after="0"/>
              <w:rPr>
                <w:sz w:val="16"/>
                <w:szCs w:val="16"/>
                <w:color w:val="auto"/>
              </w:rPr>
            </w:pPr>
          </w:p>
        </w:tc>
        <w:tc>
          <w:tcPr>
            <w:tcW w:w="540" w:type="dxa"/>
            <w:vAlign w:val="bottom"/>
            <w:tcBorders>
              <w:bottom w:val="single" w:sz="8" w:color="8C8272"/>
            </w:tcBorders>
          </w:tcPr>
          <w:p>
            <w:pPr>
              <w:spacing w:after="0"/>
              <w:rPr>
                <w:sz w:val="16"/>
                <w:szCs w:val="16"/>
                <w:color w:val="auto"/>
              </w:rPr>
            </w:pPr>
          </w:p>
        </w:tc>
      </w:tr>
      <w:tr>
        <w:trPr>
          <w:trHeight w:val="142"/>
        </w:trPr>
        <w:tc>
          <w:tcPr>
            <w:tcW w:w="2480" w:type="dxa"/>
            <w:vAlign w:val="bottom"/>
          </w:tcPr>
          <w:p>
            <w:pPr>
              <w:spacing w:after="0"/>
              <w:rPr>
                <w:sz w:val="12"/>
                <w:szCs w:val="12"/>
                <w:color w:val="auto"/>
              </w:rPr>
            </w:pPr>
          </w:p>
        </w:tc>
        <w:tc>
          <w:tcPr>
            <w:tcW w:w="1580" w:type="dxa"/>
            <w:vAlign w:val="bottom"/>
          </w:tcPr>
          <w:p>
            <w:pPr>
              <w:ind w:left="760"/>
              <w:spacing w:after="0" w:line="142" w:lineRule="exact"/>
              <w:rPr>
                <w:sz w:val="20"/>
                <w:szCs w:val="20"/>
                <w:color w:val="auto"/>
              </w:rPr>
            </w:pPr>
            <w:r>
              <w:rPr>
                <w:rFonts w:ascii="Arial" w:cs="Arial" w:eastAsia="Arial" w:hAnsi="Arial"/>
                <w:sz w:val="14"/>
                <w:szCs w:val="14"/>
                <w:b w:val="1"/>
                <w:bCs w:val="1"/>
                <w:color w:val="auto"/>
              </w:rPr>
              <w:t>Operating</w:t>
            </w:r>
          </w:p>
        </w:tc>
        <w:tc>
          <w:tcPr>
            <w:tcW w:w="880" w:type="dxa"/>
            <w:vAlign w:val="bottom"/>
          </w:tcPr>
          <w:p>
            <w:pPr>
              <w:spacing w:after="0"/>
              <w:rPr>
                <w:sz w:val="12"/>
                <w:szCs w:val="12"/>
                <w:color w:val="auto"/>
              </w:rPr>
            </w:pPr>
          </w:p>
        </w:tc>
        <w:tc>
          <w:tcPr>
            <w:tcW w:w="136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Inter-segment</w:t>
            </w:r>
          </w:p>
        </w:tc>
        <w:tc>
          <w:tcPr>
            <w:tcW w:w="720" w:type="dxa"/>
            <w:vAlign w:val="bottom"/>
          </w:tcPr>
          <w:p>
            <w:pPr>
              <w:spacing w:after="0"/>
              <w:rPr>
                <w:sz w:val="12"/>
                <w:szCs w:val="12"/>
                <w:color w:val="auto"/>
              </w:rPr>
            </w:pPr>
          </w:p>
        </w:tc>
        <w:tc>
          <w:tcPr>
            <w:tcW w:w="154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Depreciation and</w:t>
            </w:r>
          </w:p>
        </w:tc>
        <w:tc>
          <w:tcPr>
            <w:tcW w:w="720" w:type="dxa"/>
            <w:vAlign w:val="bottom"/>
          </w:tcPr>
          <w:p>
            <w:pPr>
              <w:spacing w:after="0"/>
              <w:rPr>
                <w:sz w:val="12"/>
                <w:szCs w:val="12"/>
                <w:color w:val="auto"/>
              </w:rPr>
            </w:pPr>
          </w:p>
        </w:tc>
        <w:tc>
          <w:tcPr>
            <w:tcW w:w="136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Operating</w:t>
            </w:r>
          </w:p>
        </w:tc>
        <w:tc>
          <w:tcPr>
            <w:tcW w:w="540" w:type="dxa"/>
            <w:vAlign w:val="bottom"/>
          </w:tcPr>
          <w:p>
            <w:pPr>
              <w:spacing w:after="0"/>
              <w:rPr>
                <w:sz w:val="12"/>
                <w:szCs w:val="12"/>
                <w:color w:val="auto"/>
              </w:rPr>
            </w:pPr>
          </w:p>
        </w:tc>
      </w:tr>
      <w:tr>
        <w:trPr>
          <w:trHeight w:val="175"/>
        </w:trPr>
        <w:tc>
          <w:tcPr>
            <w:tcW w:w="2480" w:type="dxa"/>
            <w:vAlign w:val="bottom"/>
            <w:tcBorders>
              <w:bottom w:val="single" w:sz="8" w:color="8C8272"/>
            </w:tcBorders>
          </w:tcPr>
          <w:p>
            <w:pPr>
              <w:spacing w:after="0"/>
              <w:rPr>
                <w:sz w:val="15"/>
                <w:szCs w:val="15"/>
                <w:color w:val="auto"/>
              </w:rPr>
            </w:pPr>
          </w:p>
        </w:tc>
        <w:tc>
          <w:tcPr>
            <w:tcW w:w="1580" w:type="dxa"/>
            <w:vAlign w:val="bottom"/>
            <w:tcBorders>
              <w:bottom w:val="single" w:sz="8" w:color="8C8272"/>
            </w:tcBorders>
          </w:tcPr>
          <w:p>
            <w:pPr>
              <w:ind w:left="760"/>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bottom w:val="single" w:sz="8" w:color="8C8272"/>
            </w:tcBorders>
          </w:tcPr>
          <w:p>
            <w:pPr>
              <w:spacing w:after="0"/>
              <w:rPr>
                <w:sz w:val="15"/>
                <w:szCs w:val="15"/>
                <w:color w:val="auto"/>
              </w:rPr>
            </w:pPr>
          </w:p>
        </w:tc>
        <w:tc>
          <w:tcPr>
            <w:tcW w:w="1360" w:type="dxa"/>
            <w:vAlign w:val="bottom"/>
            <w:tcBorders>
              <w:bottom w:val="single" w:sz="8" w:color="8C8272"/>
            </w:tcBorders>
          </w:tcPr>
          <w:p>
            <w:pPr>
              <w:ind w:left="300"/>
              <w:spacing w:after="0"/>
              <w:rPr>
                <w:sz w:val="20"/>
                <w:szCs w:val="20"/>
                <w:color w:val="auto"/>
              </w:rPr>
            </w:pPr>
            <w:r>
              <w:rPr>
                <w:rFonts w:ascii="Arial" w:cs="Arial" w:eastAsia="Arial" w:hAnsi="Arial"/>
                <w:sz w:val="14"/>
                <w:szCs w:val="14"/>
                <w:b w:val="1"/>
                <w:bCs w:val="1"/>
                <w:color w:val="auto"/>
              </w:rPr>
              <w:t>revenues</w:t>
            </w:r>
          </w:p>
        </w:tc>
        <w:tc>
          <w:tcPr>
            <w:tcW w:w="720" w:type="dxa"/>
            <w:vAlign w:val="bottom"/>
            <w:tcBorders>
              <w:bottom w:val="single" w:sz="8" w:color="8C8272"/>
            </w:tcBorders>
          </w:tcPr>
          <w:p>
            <w:pPr>
              <w:spacing w:after="0"/>
              <w:rPr>
                <w:sz w:val="15"/>
                <w:szCs w:val="15"/>
                <w:color w:val="auto"/>
              </w:rPr>
            </w:pPr>
          </w:p>
        </w:tc>
        <w:tc>
          <w:tcPr>
            <w:tcW w:w="1540" w:type="dxa"/>
            <w:vAlign w:val="bottom"/>
            <w:tcBorders>
              <w:bottom w:val="single" w:sz="8" w:color="8C8272"/>
            </w:tcBorders>
          </w:tcPr>
          <w:p>
            <w:pPr>
              <w:ind w:left="300"/>
              <w:spacing w:after="0"/>
              <w:rPr>
                <w:sz w:val="20"/>
                <w:szCs w:val="20"/>
                <w:color w:val="auto"/>
              </w:rPr>
            </w:pPr>
            <w:r>
              <w:rPr>
                <w:rFonts w:ascii="Arial" w:cs="Arial" w:eastAsia="Arial" w:hAnsi="Arial"/>
                <w:sz w:val="14"/>
                <w:szCs w:val="14"/>
                <w:b w:val="1"/>
                <w:bCs w:val="1"/>
                <w:color w:val="auto"/>
              </w:rPr>
              <w:t>amortization</w:t>
            </w:r>
          </w:p>
        </w:tc>
        <w:tc>
          <w:tcPr>
            <w:tcW w:w="720" w:type="dxa"/>
            <w:vAlign w:val="bottom"/>
            <w:tcBorders>
              <w:bottom w:val="single" w:sz="8" w:color="8C8272"/>
            </w:tcBorders>
          </w:tcPr>
          <w:p>
            <w:pPr>
              <w:spacing w:after="0"/>
              <w:rPr>
                <w:sz w:val="15"/>
                <w:szCs w:val="15"/>
                <w:color w:val="auto"/>
              </w:rPr>
            </w:pPr>
          </w:p>
        </w:tc>
        <w:tc>
          <w:tcPr>
            <w:tcW w:w="1360" w:type="dxa"/>
            <w:vAlign w:val="bottom"/>
            <w:tcBorders>
              <w:bottom w:val="single" w:sz="8" w:color="8C8272"/>
            </w:tcBorders>
          </w:tcPr>
          <w:p>
            <w:pPr>
              <w:ind w:left="360"/>
              <w:spacing w:after="0"/>
              <w:rPr>
                <w:sz w:val="20"/>
                <w:szCs w:val="20"/>
                <w:color w:val="auto"/>
              </w:rPr>
            </w:pPr>
            <w:r>
              <w:rPr>
                <w:rFonts w:ascii="Arial" w:cs="Arial" w:eastAsia="Arial" w:hAnsi="Arial"/>
                <w:sz w:val="14"/>
                <w:szCs w:val="14"/>
                <w:b w:val="1"/>
                <w:bCs w:val="1"/>
                <w:color w:val="auto"/>
              </w:rPr>
              <w:t>income/(loss)</w:t>
            </w:r>
          </w:p>
        </w:tc>
        <w:tc>
          <w:tcPr>
            <w:tcW w:w="540" w:type="dxa"/>
            <w:vAlign w:val="bottom"/>
            <w:tcBorders>
              <w:bottom w:val="single" w:sz="8" w:color="8C8272"/>
            </w:tcBorders>
          </w:tcPr>
          <w:p>
            <w:pPr>
              <w:spacing w:after="0"/>
              <w:rPr>
                <w:sz w:val="15"/>
                <w:szCs w:val="15"/>
                <w:color w:val="auto"/>
              </w:rPr>
            </w:pPr>
          </w:p>
        </w:tc>
      </w:tr>
      <w:tr>
        <w:trPr>
          <w:trHeight w:val="183"/>
        </w:trPr>
        <w:tc>
          <w:tcPr>
            <w:tcW w:w="248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580" w:type="dxa"/>
            <w:vAlign w:val="bottom"/>
            <w:tcBorders>
              <w:bottom w:val="single" w:sz="8" w:color="8C8272"/>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8C8272"/>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360" w:type="dxa"/>
            <w:vAlign w:val="bottom"/>
            <w:tcBorders>
              <w:bottom w:val="single" w:sz="8" w:color="8C8272"/>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8C8272"/>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540" w:type="dxa"/>
            <w:vAlign w:val="bottom"/>
            <w:tcBorders>
              <w:bottom w:val="single" w:sz="8" w:color="8C8272"/>
            </w:tcBorders>
          </w:tcPr>
          <w:p>
            <w:pPr>
              <w:jc w:val="right"/>
              <w:ind w:right="648"/>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8C8272"/>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360" w:type="dxa"/>
            <w:vAlign w:val="bottom"/>
            <w:tcBorders>
              <w:bottom w:val="single" w:sz="8" w:color="8C8272"/>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2480" w:type="dxa"/>
            <w:vAlign w:val="bottom"/>
            <w:shd w:val="clear" w:color="auto" w:fill="E5E5E5"/>
          </w:tcPr>
          <w:p>
            <w:pPr>
              <w:ind w:left="20"/>
              <w:spacing w:after="0"/>
              <w:rPr>
                <w:sz w:val="20"/>
                <w:szCs w:val="20"/>
                <w:color w:val="auto"/>
              </w:rPr>
            </w:pPr>
            <w:r>
              <w:rPr>
                <w:rFonts w:ascii="Arial" w:cs="Arial" w:eastAsia="Arial" w:hAnsi="Arial"/>
                <w:sz w:val="14"/>
                <w:szCs w:val="14"/>
                <w:color w:val="auto"/>
              </w:rPr>
              <w:t>CECONY</w:t>
            </w:r>
          </w:p>
        </w:tc>
        <w:tc>
          <w:tcPr>
            <w:tcW w:w="158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36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154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136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r>
      <w:tr>
        <w:trPr>
          <w:trHeight w:val="189"/>
        </w:trPr>
        <w:tc>
          <w:tcPr>
            <w:tcW w:w="2480" w:type="dxa"/>
            <w:vAlign w:val="bottom"/>
          </w:tcPr>
          <w:p>
            <w:pPr>
              <w:ind w:left="140"/>
              <w:spacing w:after="0"/>
              <w:rPr>
                <w:sz w:val="20"/>
                <w:szCs w:val="20"/>
                <w:color w:val="auto"/>
              </w:rPr>
            </w:pPr>
            <w:r>
              <w:rPr>
                <w:rFonts w:ascii="Arial" w:cs="Arial" w:eastAsia="Arial" w:hAnsi="Arial"/>
                <w:sz w:val="14"/>
                <w:szCs w:val="14"/>
                <w:color w:val="auto"/>
              </w:rPr>
              <w:t>Electric</w:t>
            </w:r>
          </w:p>
        </w:tc>
        <w:tc>
          <w:tcPr>
            <w:tcW w:w="1580" w:type="dxa"/>
            <w:vAlign w:val="bottom"/>
          </w:tcPr>
          <w:p>
            <w:pPr>
              <w:jc w:val="right"/>
              <w:ind w:right="428"/>
              <w:spacing w:after="0"/>
              <w:rPr>
                <w:sz w:val="20"/>
                <w:szCs w:val="20"/>
                <w:color w:val="auto"/>
              </w:rPr>
            </w:pPr>
            <w:r>
              <w:rPr>
                <w:rFonts w:ascii="Arial" w:cs="Arial" w:eastAsia="Arial" w:hAnsi="Arial"/>
                <w:sz w:val="14"/>
                <w:szCs w:val="14"/>
                <w:color w:val="auto"/>
              </w:rPr>
              <w:t>$3,931</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$3,616</w:t>
            </w:r>
          </w:p>
        </w:tc>
        <w:tc>
          <w:tcPr>
            <w:tcW w:w="1360" w:type="dxa"/>
            <w:vAlign w:val="bottom"/>
          </w:tcPr>
          <w:p>
            <w:pPr>
              <w:jc w:val="right"/>
              <w:ind w:right="528"/>
              <w:spacing w:after="0"/>
              <w:rPr>
                <w:sz w:val="20"/>
                <w:szCs w:val="20"/>
                <w:color w:val="auto"/>
              </w:rPr>
            </w:pPr>
            <w:r>
              <w:rPr>
                <w:rFonts w:ascii="Arial" w:cs="Arial" w:eastAsia="Arial" w:hAnsi="Arial"/>
                <w:sz w:val="14"/>
                <w:szCs w:val="14"/>
                <w:color w:val="auto"/>
              </w:rPr>
              <w:t>$9</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$9</w:t>
            </w:r>
          </w:p>
        </w:tc>
        <w:tc>
          <w:tcPr>
            <w:tcW w:w="1540" w:type="dxa"/>
            <w:vAlign w:val="bottom"/>
          </w:tcPr>
          <w:p>
            <w:pPr>
              <w:jc w:val="right"/>
              <w:ind w:right="648"/>
              <w:spacing w:after="0"/>
              <w:rPr>
                <w:sz w:val="20"/>
                <w:szCs w:val="20"/>
                <w:color w:val="auto"/>
              </w:rPr>
            </w:pPr>
            <w:r>
              <w:rPr>
                <w:rFonts w:ascii="Arial" w:cs="Arial" w:eastAsia="Arial" w:hAnsi="Arial"/>
                <w:sz w:val="14"/>
                <w:szCs w:val="14"/>
                <w:color w:val="auto"/>
              </w:rPr>
              <w:t>$635</w:t>
            </w: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$598</w:t>
            </w:r>
          </w:p>
        </w:tc>
        <w:tc>
          <w:tcPr>
            <w:tcW w:w="1360" w:type="dxa"/>
            <w:vAlign w:val="bottom"/>
          </w:tcPr>
          <w:p>
            <w:pPr>
              <w:jc w:val="right"/>
              <w:ind w:right="508"/>
              <w:spacing w:after="0"/>
              <w:rPr>
                <w:sz w:val="20"/>
                <w:szCs w:val="20"/>
                <w:color w:val="auto"/>
              </w:rPr>
            </w:pPr>
            <w:r>
              <w:rPr>
                <w:rFonts w:ascii="Arial" w:cs="Arial" w:eastAsia="Arial" w:hAnsi="Arial"/>
                <w:sz w:val="14"/>
                <w:szCs w:val="14"/>
                <w:color w:val="auto"/>
              </w:rPr>
              <w:t>$501</w:t>
            </w:r>
          </w:p>
        </w:tc>
        <w:tc>
          <w:tcPr>
            <w:tcW w:w="540" w:type="dxa"/>
            <w:vAlign w:val="bottom"/>
          </w:tcPr>
          <w:p>
            <w:pPr>
              <w:jc w:val="right"/>
              <w:spacing w:after="0"/>
              <w:rPr>
                <w:sz w:val="20"/>
                <w:szCs w:val="20"/>
                <w:color w:val="auto"/>
              </w:rPr>
            </w:pPr>
            <w:r>
              <w:rPr>
                <w:rFonts w:ascii="Arial" w:cs="Arial" w:eastAsia="Arial" w:hAnsi="Arial"/>
                <w:sz w:val="14"/>
                <w:szCs w:val="14"/>
                <w:color w:val="auto"/>
              </w:rPr>
              <w:t>$600</w:t>
            </w:r>
          </w:p>
        </w:tc>
      </w:tr>
      <w:tr>
        <w:trPr>
          <w:trHeight w:val="189"/>
        </w:trPr>
        <w:tc>
          <w:tcPr>
            <w:tcW w:w="2480" w:type="dxa"/>
            <w:vAlign w:val="bottom"/>
            <w:shd w:val="clear" w:color="auto" w:fill="E5E5E5"/>
          </w:tcPr>
          <w:p>
            <w:pPr>
              <w:ind w:left="140"/>
              <w:spacing w:after="0"/>
              <w:rPr>
                <w:sz w:val="20"/>
                <w:szCs w:val="20"/>
                <w:color w:val="auto"/>
              </w:rPr>
            </w:pPr>
            <w:r>
              <w:rPr>
                <w:rFonts w:ascii="Arial" w:cs="Arial" w:eastAsia="Arial" w:hAnsi="Arial"/>
                <w:sz w:val="14"/>
                <w:szCs w:val="14"/>
                <w:color w:val="auto"/>
              </w:rPr>
              <w:t>Gas</w:t>
            </w:r>
          </w:p>
        </w:tc>
        <w:tc>
          <w:tcPr>
            <w:tcW w:w="1580" w:type="dxa"/>
            <w:vAlign w:val="bottom"/>
            <w:shd w:val="clear" w:color="auto" w:fill="E5E5E5"/>
          </w:tcPr>
          <w:p>
            <w:pPr>
              <w:jc w:val="right"/>
              <w:ind w:right="428"/>
              <w:spacing w:after="0"/>
              <w:rPr>
                <w:sz w:val="20"/>
                <w:szCs w:val="20"/>
                <w:color w:val="auto"/>
              </w:rPr>
            </w:pPr>
            <w:r>
              <w:rPr>
                <w:rFonts w:ascii="Arial" w:cs="Arial" w:eastAsia="Arial" w:hAnsi="Arial"/>
                <w:sz w:val="14"/>
                <w:szCs w:val="14"/>
                <w:color w:val="auto"/>
              </w:rPr>
              <w:t>1,423</w:t>
            </w:r>
          </w:p>
        </w:tc>
        <w:tc>
          <w:tcPr>
            <w:tcW w:w="8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1,250</w:t>
            </w:r>
          </w:p>
        </w:tc>
        <w:tc>
          <w:tcPr>
            <w:tcW w:w="1360" w:type="dxa"/>
            <w:vAlign w:val="bottom"/>
            <w:shd w:val="clear" w:color="auto" w:fill="E5E5E5"/>
          </w:tcPr>
          <w:p>
            <w:pPr>
              <w:jc w:val="right"/>
              <w:ind w:right="528"/>
              <w:spacing w:after="0"/>
              <w:rPr>
                <w:sz w:val="20"/>
                <w:szCs w:val="20"/>
                <w:color w:val="auto"/>
              </w:rPr>
            </w:pPr>
            <w:r>
              <w:rPr>
                <w:rFonts w:ascii="Arial" w:cs="Arial" w:eastAsia="Arial" w:hAnsi="Arial"/>
                <w:sz w:val="14"/>
                <w:szCs w:val="14"/>
                <w:color w:val="auto"/>
              </w:rPr>
              <w:t>4</w:t>
            </w:r>
          </w:p>
        </w:tc>
        <w:tc>
          <w:tcPr>
            <w:tcW w:w="72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3</w:t>
            </w:r>
          </w:p>
        </w:tc>
        <w:tc>
          <w:tcPr>
            <w:tcW w:w="1540" w:type="dxa"/>
            <w:vAlign w:val="bottom"/>
            <w:shd w:val="clear" w:color="auto" w:fill="E5E5E5"/>
          </w:tcPr>
          <w:p>
            <w:pPr>
              <w:jc w:val="right"/>
              <w:ind w:right="648"/>
              <w:spacing w:after="0"/>
              <w:rPr>
                <w:sz w:val="20"/>
                <w:szCs w:val="20"/>
                <w:color w:val="auto"/>
              </w:rPr>
            </w:pPr>
            <w:r>
              <w:rPr>
                <w:rFonts w:ascii="Arial" w:cs="Arial" w:eastAsia="Arial" w:hAnsi="Arial"/>
                <w:sz w:val="14"/>
                <w:szCs w:val="14"/>
                <w:color w:val="auto"/>
              </w:rPr>
              <w:t>157</w:t>
            </w:r>
          </w:p>
        </w:tc>
        <w:tc>
          <w:tcPr>
            <w:tcW w:w="7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143</w:t>
            </w:r>
          </w:p>
        </w:tc>
        <w:tc>
          <w:tcPr>
            <w:tcW w:w="1360" w:type="dxa"/>
            <w:vAlign w:val="bottom"/>
            <w:shd w:val="clear" w:color="auto" w:fill="E5E5E5"/>
          </w:tcPr>
          <w:p>
            <w:pPr>
              <w:jc w:val="right"/>
              <w:ind w:right="508"/>
              <w:spacing w:after="0"/>
              <w:rPr>
                <w:sz w:val="20"/>
                <w:szCs w:val="20"/>
                <w:color w:val="auto"/>
              </w:rPr>
            </w:pPr>
            <w:r>
              <w:rPr>
                <w:rFonts w:ascii="Arial" w:cs="Arial" w:eastAsia="Arial" w:hAnsi="Arial"/>
                <w:sz w:val="14"/>
                <w:szCs w:val="14"/>
                <w:color w:val="auto"/>
              </w:rPr>
              <w:t>538</w:t>
            </w: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474</w:t>
            </w:r>
          </w:p>
        </w:tc>
      </w:tr>
      <w:tr>
        <w:trPr>
          <w:trHeight w:val="189"/>
        </w:trPr>
        <w:tc>
          <w:tcPr>
            <w:tcW w:w="2480" w:type="dxa"/>
            <w:vAlign w:val="bottom"/>
          </w:tcPr>
          <w:p>
            <w:pPr>
              <w:ind w:left="140"/>
              <w:spacing w:after="0"/>
              <w:rPr>
                <w:sz w:val="20"/>
                <w:szCs w:val="20"/>
                <w:color w:val="auto"/>
              </w:rPr>
            </w:pPr>
            <w:r>
              <w:rPr>
                <w:rFonts w:ascii="Arial" w:cs="Arial" w:eastAsia="Arial" w:hAnsi="Arial"/>
                <w:sz w:val="14"/>
                <w:szCs w:val="14"/>
                <w:color w:val="auto"/>
              </w:rPr>
              <w:t>Steam</w:t>
            </w:r>
          </w:p>
        </w:tc>
        <w:tc>
          <w:tcPr>
            <w:tcW w:w="1580" w:type="dxa"/>
            <w:vAlign w:val="bottom"/>
          </w:tcPr>
          <w:p>
            <w:pPr>
              <w:jc w:val="right"/>
              <w:ind w:right="428"/>
              <w:spacing w:after="0"/>
              <w:rPr>
                <w:sz w:val="20"/>
                <w:szCs w:val="20"/>
                <w:color w:val="auto"/>
              </w:rPr>
            </w:pPr>
            <w:r>
              <w:rPr>
                <w:rFonts w:ascii="Arial" w:cs="Arial" w:eastAsia="Arial" w:hAnsi="Arial"/>
                <w:sz w:val="14"/>
                <w:szCs w:val="14"/>
                <w:color w:val="auto"/>
              </w:rPr>
              <w:t>338</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334</w:t>
            </w:r>
          </w:p>
        </w:tc>
        <w:tc>
          <w:tcPr>
            <w:tcW w:w="1360" w:type="dxa"/>
            <w:vAlign w:val="bottom"/>
          </w:tcPr>
          <w:p>
            <w:pPr>
              <w:jc w:val="right"/>
              <w:ind w:right="528"/>
              <w:spacing w:after="0"/>
              <w:rPr>
                <w:sz w:val="20"/>
                <w:szCs w:val="20"/>
                <w:color w:val="auto"/>
              </w:rPr>
            </w:pPr>
            <w:r>
              <w:rPr>
                <w:rFonts w:ascii="Arial" w:cs="Arial" w:eastAsia="Arial" w:hAnsi="Arial"/>
                <w:sz w:val="14"/>
                <w:szCs w:val="14"/>
                <w:color w:val="auto"/>
              </w:rPr>
              <w:t>37</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38</w:t>
            </w:r>
          </w:p>
        </w:tc>
        <w:tc>
          <w:tcPr>
            <w:tcW w:w="1540" w:type="dxa"/>
            <w:vAlign w:val="bottom"/>
          </w:tcPr>
          <w:p>
            <w:pPr>
              <w:jc w:val="right"/>
              <w:ind w:right="648"/>
              <w:spacing w:after="0"/>
              <w:rPr>
                <w:sz w:val="20"/>
                <w:szCs w:val="20"/>
                <w:color w:val="auto"/>
              </w:rPr>
            </w:pPr>
            <w:r>
              <w:rPr>
                <w:rFonts w:ascii="Arial" w:cs="Arial" w:eastAsia="Arial" w:hAnsi="Arial"/>
                <w:sz w:val="14"/>
                <w:szCs w:val="14"/>
                <w:color w:val="auto"/>
              </w:rPr>
              <w:t>46</w:t>
            </w: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45</w:t>
            </w:r>
          </w:p>
        </w:tc>
        <w:tc>
          <w:tcPr>
            <w:tcW w:w="1360" w:type="dxa"/>
            <w:vAlign w:val="bottom"/>
          </w:tcPr>
          <w:p>
            <w:pPr>
              <w:jc w:val="right"/>
              <w:ind w:right="508"/>
              <w:spacing w:after="0"/>
              <w:rPr>
                <w:sz w:val="20"/>
                <w:szCs w:val="20"/>
                <w:color w:val="auto"/>
              </w:rPr>
            </w:pPr>
            <w:r>
              <w:rPr>
                <w:rFonts w:ascii="Arial" w:cs="Arial" w:eastAsia="Arial" w:hAnsi="Arial"/>
                <w:sz w:val="14"/>
                <w:szCs w:val="14"/>
                <w:color w:val="auto"/>
              </w:rPr>
              <w:t>69</w:t>
            </w:r>
          </w:p>
        </w:tc>
        <w:tc>
          <w:tcPr>
            <w:tcW w:w="54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89"/>
        </w:trPr>
        <w:tc>
          <w:tcPr>
            <w:tcW w:w="248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Consolidation adjustments</w:t>
            </w:r>
          </w:p>
        </w:tc>
        <w:tc>
          <w:tcPr>
            <w:tcW w:w="1580" w:type="dxa"/>
            <w:vAlign w:val="bottom"/>
            <w:tcBorders>
              <w:bottom w:val="single" w:sz="8" w:color="8C8272"/>
            </w:tcBorders>
            <w:shd w:val="clear" w:color="auto" w:fill="E5E5E5"/>
          </w:tcPr>
          <w:p>
            <w:pPr>
              <w:jc w:val="right"/>
              <w:ind w:right="4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8C8272"/>
            </w:tcBorders>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8C8272"/>
            </w:tcBorders>
            <w:shd w:val="clear" w:color="auto" w:fill="E5E5E5"/>
          </w:tcPr>
          <w:p>
            <w:pPr>
              <w:jc w:val="right"/>
              <w:ind w:right="528"/>
              <w:spacing w:after="0"/>
              <w:rPr>
                <w:sz w:val="20"/>
                <w:szCs w:val="20"/>
                <w:color w:val="auto"/>
              </w:rPr>
            </w:pPr>
            <w:r>
              <w:rPr>
                <w:rFonts w:ascii="Arial" w:cs="Arial" w:eastAsia="Arial" w:hAnsi="Arial"/>
                <w:sz w:val="14"/>
                <w:szCs w:val="14"/>
                <w:color w:val="auto"/>
              </w:rPr>
              <w:t>(50)</w:t>
            </w:r>
          </w:p>
        </w:tc>
        <w:tc>
          <w:tcPr>
            <w:tcW w:w="720" w:type="dxa"/>
            <w:vAlign w:val="bottom"/>
            <w:tcBorders>
              <w:bottom w:val="single" w:sz="8" w:color="8C8272"/>
            </w:tcBorders>
            <w:shd w:val="clear" w:color="auto" w:fill="E5E5E5"/>
          </w:tcPr>
          <w:p>
            <w:pPr>
              <w:jc w:val="right"/>
              <w:ind w:right="208"/>
              <w:spacing w:after="0"/>
              <w:rPr>
                <w:sz w:val="20"/>
                <w:szCs w:val="20"/>
                <w:color w:val="auto"/>
              </w:rPr>
            </w:pPr>
            <w:r>
              <w:rPr>
                <w:rFonts w:ascii="Arial" w:cs="Arial" w:eastAsia="Arial" w:hAnsi="Arial"/>
                <w:sz w:val="14"/>
                <w:szCs w:val="14"/>
                <w:color w:val="auto"/>
              </w:rPr>
              <w:t>(50)</w:t>
            </w:r>
          </w:p>
        </w:tc>
        <w:tc>
          <w:tcPr>
            <w:tcW w:w="1540" w:type="dxa"/>
            <w:vAlign w:val="bottom"/>
            <w:tcBorders>
              <w:bottom w:val="single" w:sz="8" w:color="8C8272"/>
            </w:tcBorders>
            <w:shd w:val="clear" w:color="auto" w:fill="E5E5E5"/>
          </w:tcPr>
          <w:p>
            <w:pPr>
              <w:jc w:val="right"/>
              <w:ind w:right="6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C8272"/>
            </w:tcBorders>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8C8272"/>
            </w:tcBorders>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48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Total CECONY</w:t>
            </w:r>
          </w:p>
        </w:tc>
        <w:tc>
          <w:tcPr>
            <w:tcW w:w="1580" w:type="dxa"/>
            <w:vAlign w:val="bottom"/>
            <w:tcBorders>
              <w:bottom w:val="single" w:sz="8" w:color="8C8272"/>
            </w:tcBorders>
          </w:tcPr>
          <w:p>
            <w:pPr>
              <w:jc w:val="right"/>
              <w:ind w:right="428"/>
              <w:spacing w:after="0"/>
              <w:rPr>
                <w:sz w:val="20"/>
                <w:szCs w:val="20"/>
                <w:color w:val="auto"/>
              </w:rPr>
            </w:pPr>
            <w:r>
              <w:rPr>
                <w:rFonts w:ascii="Arial" w:cs="Arial" w:eastAsia="Arial" w:hAnsi="Arial"/>
                <w:sz w:val="14"/>
                <w:szCs w:val="14"/>
                <w:color w:val="auto"/>
              </w:rPr>
              <w:t>$5,692</w:t>
            </w:r>
          </w:p>
        </w:tc>
        <w:tc>
          <w:tcPr>
            <w:tcW w:w="880" w:type="dxa"/>
            <w:vAlign w:val="bottom"/>
            <w:tcBorders>
              <w:bottom w:val="single" w:sz="8" w:color="8C8272"/>
            </w:tcBorders>
          </w:tcPr>
          <w:p>
            <w:pPr>
              <w:jc w:val="right"/>
              <w:ind w:right="208"/>
              <w:spacing w:after="0"/>
              <w:rPr>
                <w:sz w:val="20"/>
                <w:szCs w:val="20"/>
                <w:color w:val="auto"/>
              </w:rPr>
            </w:pPr>
            <w:r>
              <w:rPr>
                <w:rFonts w:ascii="Arial" w:cs="Arial" w:eastAsia="Arial" w:hAnsi="Arial"/>
                <w:sz w:val="14"/>
                <w:szCs w:val="14"/>
                <w:color w:val="auto"/>
              </w:rPr>
              <w:t>$5,200</w:t>
            </w:r>
          </w:p>
        </w:tc>
        <w:tc>
          <w:tcPr>
            <w:tcW w:w="1360" w:type="dxa"/>
            <w:vAlign w:val="bottom"/>
            <w:tcBorders>
              <w:bottom w:val="single" w:sz="8" w:color="8C8272"/>
            </w:tcBorders>
          </w:tcPr>
          <w:p>
            <w:pPr>
              <w:jc w:val="right"/>
              <w:ind w:right="5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C8272"/>
            </w:tcBorders>
          </w:tcPr>
          <w:p>
            <w:pPr>
              <w:jc w:val="right"/>
              <w:ind w:right="2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8C8272"/>
            </w:tcBorders>
          </w:tcPr>
          <w:p>
            <w:pPr>
              <w:jc w:val="right"/>
              <w:ind w:right="648"/>
              <w:spacing w:after="0"/>
              <w:rPr>
                <w:sz w:val="20"/>
                <w:szCs w:val="20"/>
                <w:color w:val="auto"/>
              </w:rPr>
            </w:pPr>
            <w:r>
              <w:rPr>
                <w:rFonts w:ascii="Arial" w:cs="Arial" w:eastAsia="Arial" w:hAnsi="Arial"/>
                <w:sz w:val="14"/>
                <w:szCs w:val="14"/>
                <w:color w:val="auto"/>
              </w:rPr>
              <w:t>$838</w:t>
            </w:r>
          </w:p>
        </w:tc>
        <w:tc>
          <w:tcPr>
            <w:tcW w:w="720" w:type="dxa"/>
            <w:vAlign w:val="bottom"/>
            <w:tcBorders>
              <w:bottom w:val="single" w:sz="8" w:color="8C8272"/>
            </w:tcBorders>
          </w:tcPr>
          <w:p>
            <w:pPr>
              <w:jc w:val="right"/>
              <w:ind w:right="248"/>
              <w:spacing w:after="0"/>
              <w:rPr>
                <w:sz w:val="20"/>
                <w:szCs w:val="20"/>
                <w:color w:val="auto"/>
              </w:rPr>
            </w:pPr>
            <w:r>
              <w:rPr>
                <w:rFonts w:ascii="Arial" w:cs="Arial" w:eastAsia="Arial" w:hAnsi="Arial"/>
                <w:sz w:val="14"/>
                <w:szCs w:val="14"/>
                <w:color w:val="auto"/>
              </w:rPr>
              <w:t>$786</w:t>
            </w:r>
          </w:p>
        </w:tc>
        <w:tc>
          <w:tcPr>
            <w:tcW w:w="1360" w:type="dxa"/>
            <w:vAlign w:val="bottom"/>
            <w:tcBorders>
              <w:bottom w:val="single" w:sz="8" w:color="8C8272"/>
            </w:tcBorders>
          </w:tcPr>
          <w:p>
            <w:pPr>
              <w:jc w:val="right"/>
              <w:ind w:right="508"/>
              <w:spacing w:after="0"/>
              <w:rPr>
                <w:sz w:val="20"/>
                <w:szCs w:val="20"/>
                <w:color w:val="auto"/>
              </w:rPr>
            </w:pPr>
            <w:r>
              <w:rPr>
                <w:rFonts w:ascii="Arial" w:cs="Arial" w:eastAsia="Arial" w:hAnsi="Arial"/>
                <w:sz w:val="14"/>
                <w:szCs w:val="14"/>
                <w:color w:val="auto"/>
              </w:rPr>
              <w:t>$1,108</w:t>
            </w:r>
          </w:p>
        </w:tc>
        <w:tc>
          <w:tcPr>
            <w:tcW w:w="5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$1,132</w:t>
            </w:r>
          </w:p>
        </w:tc>
      </w:tr>
      <w:tr>
        <w:trPr>
          <w:trHeight w:val="183"/>
        </w:trPr>
        <w:tc>
          <w:tcPr>
            <w:tcW w:w="2480" w:type="dxa"/>
            <w:vAlign w:val="bottom"/>
            <w:shd w:val="clear" w:color="auto" w:fill="E5E5E5"/>
          </w:tcPr>
          <w:p>
            <w:pPr>
              <w:ind w:left="20"/>
              <w:spacing w:after="0"/>
              <w:rPr>
                <w:sz w:val="20"/>
                <w:szCs w:val="20"/>
                <w:color w:val="auto"/>
              </w:rPr>
            </w:pPr>
            <w:r>
              <w:rPr>
                <w:rFonts w:ascii="Arial" w:cs="Arial" w:eastAsia="Arial" w:hAnsi="Arial"/>
                <w:sz w:val="14"/>
                <w:szCs w:val="14"/>
                <w:color w:val="auto"/>
              </w:rPr>
              <w:t>O&amp;R</w:t>
            </w:r>
          </w:p>
        </w:tc>
        <w:tc>
          <w:tcPr>
            <w:tcW w:w="158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36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154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136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r>
      <w:tr>
        <w:trPr>
          <w:trHeight w:val="189"/>
        </w:trPr>
        <w:tc>
          <w:tcPr>
            <w:tcW w:w="2480" w:type="dxa"/>
            <w:vAlign w:val="bottom"/>
          </w:tcPr>
          <w:p>
            <w:pPr>
              <w:ind w:left="140"/>
              <w:spacing w:after="0"/>
              <w:rPr>
                <w:sz w:val="20"/>
                <w:szCs w:val="20"/>
                <w:color w:val="auto"/>
              </w:rPr>
            </w:pPr>
            <w:r>
              <w:rPr>
                <w:rFonts w:ascii="Arial" w:cs="Arial" w:eastAsia="Arial" w:hAnsi="Arial"/>
                <w:sz w:val="14"/>
                <w:szCs w:val="14"/>
                <w:color w:val="auto"/>
              </w:rPr>
              <w:t>Electric</w:t>
            </w:r>
          </w:p>
        </w:tc>
        <w:tc>
          <w:tcPr>
            <w:tcW w:w="1580" w:type="dxa"/>
            <w:vAlign w:val="bottom"/>
          </w:tcPr>
          <w:p>
            <w:pPr>
              <w:jc w:val="right"/>
              <w:ind w:right="428"/>
              <w:spacing w:after="0"/>
              <w:rPr>
                <w:sz w:val="20"/>
                <w:szCs w:val="20"/>
                <w:color w:val="auto"/>
              </w:rPr>
            </w:pPr>
            <w:r>
              <w:rPr>
                <w:rFonts w:ascii="Arial" w:cs="Arial" w:eastAsia="Arial" w:hAnsi="Arial"/>
                <w:sz w:val="14"/>
                <w:szCs w:val="14"/>
                <w:color w:val="auto"/>
              </w:rPr>
              <w:t>$299</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$274</w:t>
            </w:r>
          </w:p>
        </w:tc>
        <w:tc>
          <w:tcPr>
            <w:tcW w:w="13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648"/>
              <w:spacing w:after="0"/>
              <w:rPr>
                <w:sz w:val="20"/>
                <w:szCs w:val="20"/>
                <w:color w:val="auto"/>
              </w:rPr>
            </w:pPr>
            <w:r>
              <w:rPr>
                <w:rFonts w:ascii="Arial" w:cs="Arial" w:eastAsia="Arial" w:hAnsi="Arial"/>
                <w:sz w:val="14"/>
                <w:szCs w:val="14"/>
                <w:color w:val="auto"/>
              </w:rPr>
              <w:t>$34</w:t>
            </w: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$32</w:t>
            </w:r>
          </w:p>
        </w:tc>
        <w:tc>
          <w:tcPr>
            <w:tcW w:w="1360" w:type="dxa"/>
            <w:vAlign w:val="bottom"/>
          </w:tcPr>
          <w:p>
            <w:pPr>
              <w:jc w:val="right"/>
              <w:ind w:right="508"/>
              <w:spacing w:after="0"/>
              <w:rPr>
                <w:sz w:val="20"/>
                <w:szCs w:val="20"/>
                <w:color w:val="auto"/>
              </w:rPr>
            </w:pPr>
            <w:r>
              <w:rPr>
                <w:rFonts w:ascii="Arial" w:cs="Arial" w:eastAsia="Arial" w:hAnsi="Arial"/>
                <w:sz w:val="14"/>
                <w:szCs w:val="14"/>
                <w:color w:val="auto"/>
              </w:rPr>
              <w:t>$22</w:t>
            </w:r>
          </w:p>
        </w:tc>
        <w:tc>
          <w:tcPr>
            <w:tcW w:w="5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89"/>
        </w:trPr>
        <w:tc>
          <w:tcPr>
            <w:tcW w:w="2480" w:type="dxa"/>
            <w:vAlign w:val="bottom"/>
            <w:tcBorders>
              <w:bottom w:val="single" w:sz="8" w:color="828282"/>
            </w:tcBorders>
            <w:shd w:val="clear" w:color="auto" w:fill="E5E5E5"/>
          </w:tcPr>
          <w:p>
            <w:pPr>
              <w:ind w:left="140"/>
              <w:spacing w:after="0"/>
              <w:rPr>
                <w:sz w:val="20"/>
                <w:szCs w:val="20"/>
                <w:color w:val="auto"/>
              </w:rPr>
            </w:pPr>
            <w:r>
              <w:rPr>
                <w:rFonts w:ascii="Arial" w:cs="Arial" w:eastAsia="Arial" w:hAnsi="Arial"/>
                <w:sz w:val="14"/>
                <w:szCs w:val="14"/>
                <w:color w:val="auto"/>
              </w:rPr>
              <w:t>Gas</w:t>
            </w:r>
          </w:p>
        </w:tc>
        <w:tc>
          <w:tcPr>
            <w:tcW w:w="1580" w:type="dxa"/>
            <w:vAlign w:val="bottom"/>
            <w:tcBorders>
              <w:bottom w:val="single" w:sz="8" w:color="828282"/>
            </w:tcBorders>
            <w:shd w:val="clear" w:color="auto" w:fill="E5E5E5"/>
          </w:tcPr>
          <w:p>
            <w:pPr>
              <w:jc w:val="right"/>
              <w:ind w:right="428"/>
              <w:spacing w:after="0"/>
              <w:rPr>
                <w:sz w:val="20"/>
                <w:szCs w:val="20"/>
                <w:color w:val="auto"/>
              </w:rPr>
            </w:pPr>
            <w:r>
              <w:rPr>
                <w:rFonts w:ascii="Arial" w:cs="Arial" w:eastAsia="Arial" w:hAnsi="Arial"/>
                <w:sz w:val="14"/>
                <w:szCs w:val="14"/>
                <w:color w:val="auto"/>
              </w:rPr>
              <w:t>143</w:t>
            </w:r>
          </w:p>
        </w:tc>
        <w:tc>
          <w:tcPr>
            <w:tcW w:w="880" w:type="dxa"/>
            <w:vAlign w:val="bottom"/>
            <w:tcBorders>
              <w:bottom w:val="single" w:sz="8" w:color="828282"/>
            </w:tcBorders>
            <w:shd w:val="clear" w:color="auto" w:fill="E5E5E5"/>
          </w:tcPr>
          <w:p>
            <w:pPr>
              <w:jc w:val="right"/>
              <w:ind w:right="208"/>
              <w:spacing w:after="0"/>
              <w:rPr>
                <w:sz w:val="20"/>
                <w:szCs w:val="20"/>
                <w:color w:val="auto"/>
              </w:rPr>
            </w:pPr>
            <w:r>
              <w:rPr>
                <w:rFonts w:ascii="Arial" w:cs="Arial" w:eastAsia="Arial" w:hAnsi="Arial"/>
                <w:sz w:val="14"/>
                <w:szCs w:val="14"/>
                <w:color w:val="auto"/>
              </w:rPr>
              <w:t>134</w:t>
            </w:r>
          </w:p>
        </w:tc>
        <w:tc>
          <w:tcPr>
            <w:tcW w:w="1360" w:type="dxa"/>
            <w:vAlign w:val="bottom"/>
            <w:tcBorders>
              <w:bottom w:val="single" w:sz="8" w:color="828282"/>
            </w:tcBorders>
            <w:shd w:val="clear" w:color="auto" w:fill="E5E5E5"/>
          </w:tcPr>
          <w:p>
            <w:pPr>
              <w:jc w:val="right"/>
              <w:ind w:right="5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28282"/>
            </w:tcBorders>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828282"/>
            </w:tcBorders>
            <w:shd w:val="clear" w:color="auto" w:fill="E5E5E5"/>
          </w:tcPr>
          <w:p>
            <w:pPr>
              <w:jc w:val="right"/>
              <w:ind w:right="648"/>
              <w:spacing w:after="0"/>
              <w:rPr>
                <w:sz w:val="20"/>
                <w:szCs w:val="20"/>
                <w:color w:val="auto"/>
              </w:rPr>
            </w:pPr>
            <w:r>
              <w:rPr>
                <w:rFonts w:ascii="Arial" w:cs="Arial" w:eastAsia="Arial" w:hAnsi="Arial"/>
                <w:sz w:val="14"/>
                <w:szCs w:val="14"/>
                <w:color w:val="auto"/>
              </w:rPr>
              <w:t>13</w:t>
            </w:r>
          </w:p>
        </w:tc>
        <w:tc>
          <w:tcPr>
            <w:tcW w:w="720" w:type="dxa"/>
            <w:vAlign w:val="bottom"/>
            <w:tcBorders>
              <w:bottom w:val="single" w:sz="8" w:color="828282"/>
            </w:tcBorders>
            <w:shd w:val="clear" w:color="auto" w:fill="E5E5E5"/>
          </w:tcPr>
          <w:p>
            <w:pPr>
              <w:jc w:val="right"/>
              <w:ind w:right="248"/>
              <w:spacing w:after="0"/>
              <w:rPr>
                <w:sz w:val="20"/>
                <w:szCs w:val="20"/>
                <w:color w:val="auto"/>
              </w:rPr>
            </w:pPr>
            <w:r>
              <w:rPr>
                <w:rFonts w:ascii="Arial" w:cs="Arial" w:eastAsia="Arial" w:hAnsi="Arial"/>
                <w:sz w:val="14"/>
                <w:szCs w:val="14"/>
                <w:color w:val="auto"/>
              </w:rPr>
              <w:t>13</w:t>
            </w:r>
          </w:p>
        </w:tc>
        <w:tc>
          <w:tcPr>
            <w:tcW w:w="1360" w:type="dxa"/>
            <w:vAlign w:val="bottom"/>
            <w:tcBorders>
              <w:bottom w:val="single" w:sz="8" w:color="828282"/>
            </w:tcBorders>
            <w:shd w:val="clear" w:color="auto" w:fill="E5E5E5"/>
          </w:tcPr>
          <w:p>
            <w:pPr>
              <w:jc w:val="right"/>
              <w:ind w:right="508"/>
              <w:spacing w:after="0"/>
              <w:rPr>
                <w:sz w:val="20"/>
                <w:szCs w:val="20"/>
                <w:color w:val="auto"/>
              </w:rPr>
            </w:pPr>
            <w:r>
              <w:rPr>
                <w:rFonts w:ascii="Arial" w:cs="Arial" w:eastAsia="Arial" w:hAnsi="Arial"/>
                <w:sz w:val="14"/>
                <w:szCs w:val="14"/>
                <w:color w:val="auto"/>
              </w:rPr>
              <w:t>39</w:t>
            </w:r>
          </w:p>
        </w:tc>
        <w:tc>
          <w:tcPr>
            <w:tcW w:w="54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38</w:t>
            </w:r>
          </w:p>
        </w:tc>
      </w:tr>
      <w:tr>
        <w:trPr>
          <w:trHeight w:val="183"/>
        </w:trPr>
        <w:tc>
          <w:tcPr>
            <w:tcW w:w="248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Total O&amp;R</w:t>
            </w:r>
          </w:p>
        </w:tc>
        <w:tc>
          <w:tcPr>
            <w:tcW w:w="1580" w:type="dxa"/>
            <w:vAlign w:val="bottom"/>
            <w:tcBorders>
              <w:bottom w:val="single" w:sz="8" w:color="8C8272"/>
            </w:tcBorders>
          </w:tcPr>
          <w:p>
            <w:pPr>
              <w:jc w:val="right"/>
              <w:ind w:right="428"/>
              <w:spacing w:after="0"/>
              <w:rPr>
                <w:sz w:val="20"/>
                <w:szCs w:val="20"/>
                <w:color w:val="auto"/>
              </w:rPr>
            </w:pPr>
            <w:r>
              <w:rPr>
                <w:rFonts w:ascii="Arial" w:cs="Arial" w:eastAsia="Arial" w:hAnsi="Arial"/>
                <w:sz w:val="14"/>
                <w:szCs w:val="14"/>
                <w:color w:val="auto"/>
              </w:rPr>
              <w:t>$442</w:t>
            </w:r>
          </w:p>
        </w:tc>
        <w:tc>
          <w:tcPr>
            <w:tcW w:w="880" w:type="dxa"/>
            <w:vAlign w:val="bottom"/>
            <w:tcBorders>
              <w:bottom w:val="single" w:sz="8" w:color="8C8272"/>
            </w:tcBorders>
          </w:tcPr>
          <w:p>
            <w:pPr>
              <w:jc w:val="right"/>
              <w:ind w:right="208"/>
              <w:spacing w:after="0"/>
              <w:rPr>
                <w:sz w:val="20"/>
                <w:szCs w:val="20"/>
                <w:color w:val="auto"/>
              </w:rPr>
            </w:pPr>
            <w:r>
              <w:rPr>
                <w:rFonts w:ascii="Arial" w:cs="Arial" w:eastAsia="Arial" w:hAnsi="Arial"/>
                <w:sz w:val="14"/>
                <w:szCs w:val="14"/>
                <w:color w:val="auto"/>
              </w:rPr>
              <w:t>$408</w:t>
            </w:r>
          </w:p>
        </w:tc>
        <w:tc>
          <w:tcPr>
            <w:tcW w:w="1360" w:type="dxa"/>
            <w:vAlign w:val="bottom"/>
            <w:tcBorders>
              <w:bottom w:val="single" w:sz="8" w:color="8C8272"/>
            </w:tcBorders>
          </w:tcPr>
          <w:p>
            <w:pPr>
              <w:jc w:val="right"/>
              <w:ind w:right="5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C8272"/>
            </w:tcBorders>
          </w:tcPr>
          <w:p>
            <w:pPr>
              <w:jc w:val="right"/>
              <w:ind w:right="2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8C8272"/>
            </w:tcBorders>
          </w:tcPr>
          <w:p>
            <w:pPr>
              <w:jc w:val="right"/>
              <w:ind w:right="648"/>
              <w:spacing w:after="0"/>
              <w:rPr>
                <w:sz w:val="20"/>
                <w:szCs w:val="20"/>
                <w:color w:val="auto"/>
              </w:rPr>
            </w:pPr>
            <w:r>
              <w:rPr>
                <w:rFonts w:ascii="Arial" w:cs="Arial" w:eastAsia="Arial" w:hAnsi="Arial"/>
                <w:sz w:val="14"/>
                <w:szCs w:val="14"/>
                <w:color w:val="auto"/>
              </w:rPr>
              <w:t>$47</w:t>
            </w:r>
          </w:p>
        </w:tc>
        <w:tc>
          <w:tcPr>
            <w:tcW w:w="720" w:type="dxa"/>
            <w:vAlign w:val="bottom"/>
            <w:tcBorders>
              <w:bottom w:val="single" w:sz="8" w:color="8C8272"/>
            </w:tcBorders>
          </w:tcPr>
          <w:p>
            <w:pPr>
              <w:jc w:val="right"/>
              <w:ind w:right="248"/>
              <w:spacing w:after="0"/>
              <w:rPr>
                <w:sz w:val="20"/>
                <w:szCs w:val="20"/>
                <w:color w:val="auto"/>
              </w:rPr>
            </w:pPr>
            <w:r>
              <w:rPr>
                <w:rFonts w:ascii="Arial" w:cs="Arial" w:eastAsia="Arial" w:hAnsi="Arial"/>
                <w:sz w:val="14"/>
                <w:szCs w:val="14"/>
                <w:color w:val="auto"/>
              </w:rPr>
              <w:t>$45</w:t>
            </w:r>
          </w:p>
        </w:tc>
        <w:tc>
          <w:tcPr>
            <w:tcW w:w="1360" w:type="dxa"/>
            <w:vAlign w:val="bottom"/>
            <w:tcBorders>
              <w:bottom w:val="single" w:sz="8" w:color="8C8272"/>
            </w:tcBorders>
          </w:tcPr>
          <w:p>
            <w:pPr>
              <w:jc w:val="right"/>
              <w:ind w:right="508"/>
              <w:spacing w:after="0"/>
              <w:rPr>
                <w:sz w:val="20"/>
                <w:szCs w:val="20"/>
                <w:color w:val="auto"/>
              </w:rPr>
            </w:pPr>
            <w:r>
              <w:rPr>
                <w:rFonts w:ascii="Arial" w:cs="Arial" w:eastAsia="Arial" w:hAnsi="Arial"/>
                <w:sz w:val="14"/>
                <w:szCs w:val="14"/>
                <w:color w:val="auto"/>
              </w:rPr>
              <w:t>$61</w:t>
            </w:r>
          </w:p>
        </w:tc>
        <w:tc>
          <w:tcPr>
            <w:tcW w:w="5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$65</w:t>
            </w:r>
          </w:p>
        </w:tc>
      </w:tr>
      <w:tr>
        <w:trPr>
          <w:trHeight w:val="183"/>
        </w:trPr>
        <w:tc>
          <w:tcPr>
            <w:tcW w:w="2480" w:type="dxa"/>
            <w:vAlign w:val="bottom"/>
            <w:shd w:val="clear" w:color="auto" w:fill="E5E5E5"/>
          </w:tcPr>
          <w:p>
            <w:pPr>
              <w:ind w:left="20"/>
              <w:spacing w:after="0"/>
              <w:rPr>
                <w:sz w:val="20"/>
                <w:szCs w:val="20"/>
                <w:color w:val="auto"/>
              </w:rPr>
            </w:pPr>
            <w:r>
              <w:rPr>
                <w:rFonts w:ascii="Arial" w:cs="Arial" w:eastAsia="Arial" w:hAnsi="Arial"/>
                <w:sz w:val="14"/>
                <w:szCs w:val="14"/>
                <w:color w:val="auto"/>
              </w:rPr>
              <w:t>Clean Energy Businesses</w:t>
            </w:r>
          </w:p>
        </w:tc>
        <w:tc>
          <w:tcPr>
            <w:tcW w:w="1580" w:type="dxa"/>
            <w:vAlign w:val="bottom"/>
            <w:shd w:val="clear" w:color="auto" w:fill="E5E5E5"/>
          </w:tcPr>
          <w:p>
            <w:pPr>
              <w:jc w:val="right"/>
              <w:ind w:right="428"/>
              <w:spacing w:after="0"/>
              <w:rPr>
                <w:sz w:val="20"/>
                <w:szCs w:val="20"/>
                <w:color w:val="auto"/>
              </w:rPr>
            </w:pPr>
            <w:r>
              <w:rPr>
                <w:rFonts w:ascii="Arial" w:cs="Arial" w:eastAsia="Arial" w:hAnsi="Arial"/>
                <w:sz w:val="14"/>
                <w:szCs w:val="14"/>
                <w:color w:val="auto"/>
              </w:rPr>
              <w:t>$515</w:t>
            </w:r>
          </w:p>
        </w:tc>
        <w:tc>
          <w:tcPr>
            <w:tcW w:w="8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$344</w:t>
            </w:r>
          </w:p>
        </w:tc>
        <w:tc>
          <w:tcPr>
            <w:tcW w:w="1360" w:type="dxa"/>
            <w:vAlign w:val="bottom"/>
            <w:shd w:val="clear" w:color="auto" w:fill="E5E5E5"/>
          </w:tcPr>
          <w:p>
            <w:pPr>
              <w:jc w:val="right"/>
              <w:ind w:right="568"/>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540" w:type="dxa"/>
            <w:vAlign w:val="bottom"/>
            <w:shd w:val="clear" w:color="auto" w:fill="E5E5E5"/>
          </w:tcPr>
          <w:p>
            <w:pPr>
              <w:jc w:val="right"/>
              <w:ind w:right="648"/>
              <w:spacing w:after="0"/>
              <w:rPr>
                <w:sz w:val="20"/>
                <w:szCs w:val="20"/>
                <w:color w:val="auto"/>
              </w:rPr>
            </w:pPr>
            <w:r>
              <w:rPr>
                <w:rFonts w:ascii="Arial" w:cs="Arial" w:eastAsia="Arial" w:hAnsi="Arial"/>
                <w:sz w:val="14"/>
                <w:szCs w:val="14"/>
                <w:color w:val="auto"/>
              </w:rPr>
              <w:t>$114</w:t>
            </w:r>
          </w:p>
        </w:tc>
        <w:tc>
          <w:tcPr>
            <w:tcW w:w="7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$115</w:t>
            </w:r>
          </w:p>
        </w:tc>
        <w:tc>
          <w:tcPr>
            <w:tcW w:w="1360" w:type="dxa"/>
            <w:vAlign w:val="bottom"/>
            <w:shd w:val="clear" w:color="auto" w:fill="E5E5E5"/>
          </w:tcPr>
          <w:p>
            <w:pPr>
              <w:jc w:val="right"/>
              <w:ind w:right="508"/>
              <w:spacing w:after="0"/>
              <w:rPr>
                <w:sz w:val="20"/>
                <w:szCs w:val="20"/>
                <w:color w:val="auto"/>
              </w:rPr>
            </w:pPr>
            <w:r>
              <w:rPr>
                <w:rFonts w:ascii="Arial" w:cs="Arial" w:eastAsia="Arial" w:hAnsi="Arial"/>
                <w:sz w:val="14"/>
                <w:szCs w:val="14"/>
                <w:color w:val="auto"/>
              </w:rPr>
              <w:t>$117</w:t>
            </w: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$96</w:t>
            </w:r>
          </w:p>
        </w:tc>
      </w:tr>
      <w:tr>
        <w:trPr>
          <w:trHeight w:val="189"/>
        </w:trPr>
        <w:tc>
          <w:tcPr>
            <w:tcW w:w="2480" w:type="dxa"/>
            <w:vAlign w:val="bottom"/>
          </w:tcPr>
          <w:p>
            <w:pPr>
              <w:ind w:left="20"/>
              <w:spacing w:after="0"/>
              <w:rPr>
                <w:sz w:val="20"/>
                <w:szCs w:val="20"/>
                <w:color w:val="auto"/>
              </w:rPr>
            </w:pPr>
            <w:r>
              <w:rPr>
                <w:rFonts w:ascii="Arial" w:cs="Arial" w:eastAsia="Arial" w:hAnsi="Arial"/>
                <w:sz w:val="14"/>
                <w:szCs w:val="14"/>
                <w:color w:val="auto"/>
              </w:rPr>
              <w:t>Con Edison Transmission</w:t>
            </w:r>
          </w:p>
        </w:tc>
        <w:tc>
          <w:tcPr>
            <w:tcW w:w="1580" w:type="dxa"/>
            <w:vAlign w:val="bottom"/>
          </w:tcPr>
          <w:p>
            <w:pPr>
              <w:jc w:val="right"/>
              <w:ind w:right="428"/>
              <w:spacing w:after="0"/>
              <w:rPr>
                <w:sz w:val="20"/>
                <w:szCs w:val="20"/>
                <w:color w:val="auto"/>
              </w:rPr>
            </w:pPr>
            <w:r>
              <w:rPr>
                <w:rFonts w:ascii="Arial" w:cs="Arial" w:eastAsia="Arial" w:hAnsi="Arial"/>
                <w:sz w:val="14"/>
                <w:szCs w:val="14"/>
                <w:color w:val="auto"/>
              </w:rPr>
              <w:t>2</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2</w:t>
            </w:r>
          </w:p>
        </w:tc>
        <w:tc>
          <w:tcPr>
            <w:tcW w:w="13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688"/>
              <w:spacing w:after="0"/>
              <w:rPr>
                <w:sz w:val="20"/>
                <w:szCs w:val="20"/>
                <w:color w:val="auto"/>
              </w:rPr>
            </w:pPr>
            <w:r>
              <w:rPr>
                <w:rFonts w:ascii="Arial" w:cs="Arial" w:eastAsia="Arial" w:hAnsi="Arial"/>
                <w:sz w:val="14"/>
                <w:szCs w:val="14"/>
                <w:color w:val="auto"/>
              </w:rPr>
              <w:t>1</w:t>
            </w:r>
          </w:p>
        </w:tc>
        <w:tc>
          <w:tcPr>
            <w:tcW w:w="7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08"/>
              <w:spacing w:after="0"/>
              <w:rPr>
                <w:sz w:val="20"/>
                <w:szCs w:val="20"/>
                <w:color w:val="auto"/>
              </w:rPr>
            </w:pPr>
            <w:r>
              <w:rPr>
                <w:rFonts w:ascii="Arial" w:cs="Arial" w:eastAsia="Arial" w:hAnsi="Arial"/>
                <w:sz w:val="14"/>
                <w:szCs w:val="14"/>
                <w:color w:val="auto"/>
              </w:rPr>
              <w:t>(4)</w:t>
            </w: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248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Other (a)</w:t>
            </w:r>
          </w:p>
        </w:tc>
        <w:tc>
          <w:tcPr>
            <w:tcW w:w="1580" w:type="dxa"/>
            <w:vAlign w:val="bottom"/>
            <w:tcBorders>
              <w:bottom w:val="single" w:sz="8" w:color="8C8272"/>
            </w:tcBorders>
            <w:shd w:val="clear" w:color="auto" w:fill="E5E5E5"/>
          </w:tcPr>
          <w:p>
            <w:pPr>
              <w:jc w:val="right"/>
              <w:ind w:right="428"/>
              <w:spacing w:after="0"/>
              <w:rPr>
                <w:sz w:val="20"/>
                <w:szCs w:val="20"/>
                <w:color w:val="auto"/>
              </w:rPr>
            </w:pPr>
            <w:r>
              <w:rPr>
                <w:rFonts w:ascii="Arial" w:cs="Arial" w:eastAsia="Arial" w:hAnsi="Arial"/>
                <w:sz w:val="14"/>
                <w:szCs w:val="14"/>
                <w:color w:val="auto"/>
              </w:rPr>
              <w:t>(3)</w:t>
            </w:r>
          </w:p>
        </w:tc>
        <w:tc>
          <w:tcPr>
            <w:tcW w:w="880" w:type="dxa"/>
            <w:vAlign w:val="bottom"/>
            <w:tcBorders>
              <w:bottom w:val="single" w:sz="8" w:color="8C8272"/>
            </w:tcBorders>
            <w:shd w:val="clear" w:color="auto" w:fill="E5E5E5"/>
          </w:tcPr>
          <w:p>
            <w:pPr>
              <w:jc w:val="right"/>
              <w:ind w:right="208"/>
              <w:spacing w:after="0"/>
              <w:rPr>
                <w:sz w:val="20"/>
                <w:szCs w:val="20"/>
                <w:color w:val="auto"/>
              </w:rPr>
            </w:pPr>
            <w:r>
              <w:rPr>
                <w:rFonts w:ascii="Arial" w:cs="Arial" w:eastAsia="Arial" w:hAnsi="Arial"/>
                <w:sz w:val="14"/>
                <w:szCs w:val="14"/>
                <w:color w:val="auto"/>
              </w:rPr>
              <w:t>(1)</w:t>
            </w:r>
          </w:p>
        </w:tc>
        <w:tc>
          <w:tcPr>
            <w:tcW w:w="1360" w:type="dxa"/>
            <w:vAlign w:val="bottom"/>
            <w:tcBorders>
              <w:bottom w:val="single" w:sz="8" w:color="8C8272"/>
            </w:tcBorders>
            <w:shd w:val="clear" w:color="auto" w:fill="E5E5E5"/>
          </w:tcPr>
          <w:p>
            <w:pPr>
              <w:jc w:val="right"/>
              <w:ind w:right="5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C8272"/>
            </w:tcBorders>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8C8272"/>
            </w:tcBorders>
            <w:shd w:val="clear" w:color="auto" w:fill="E5E5E5"/>
          </w:tcPr>
          <w:p>
            <w:pPr>
              <w:jc w:val="right"/>
              <w:ind w:right="6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C8272"/>
            </w:tcBorders>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8C8272"/>
            </w:tcBorders>
            <w:shd w:val="clear" w:color="auto" w:fill="E5E5E5"/>
          </w:tcPr>
          <w:p>
            <w:pPr>
              <w:jc w:val="right"/>
              <w:ind w:right="508"/>
              <w:spacing w:after="0"/>
              <w:rPr>
                <w:sz w:val="20"/>
                <w:szCs w:val="20"/>
                <w:color w:val="auto"/>
              </w:rPr>
            </w:pPr>
            <w:r>
              <w:rPr>
                <w:rFonts w:ascii="Arial" w:cs="Arial" w:eastAsia="Arial" w:hAnsi="Arial"/>
                <w:sz w:val="14"/>
                <w:szCs w:val="14"/>
                <w:color w:val="auto"/>
              </w:rPr>
              <w:t>(3)</w:t>
            </w:r>
          </w:p>
        </w:tc>
        <w:tc>
          <w:tcPr>
            <w:tcW w:w="5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w:t>
            </w:r>
          </w:p>
        </w:tc>
      </w:tr>
      <w:tr>
        <w:trPr>
          <w:trHeight w:val="183"/>
        </w:trPr>
        <w:tc>
          <w:tcPr>
            <w:tcW w:w="248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Total Con Edison</w:t>
            </w:r>
          </w:p>
        </w:tc>
        <w:tc>
          <w:tcPr>
            <w:tcW w:w="1580" w:type="dxa"/>
            <w:vAlign w:val="bottom"/>
            <w:tcBorders>
              <w:bottom w:val="single" w:sz="8" w:color="929292"/>
            </w:tcBorders>
          </w:tcPr>
          <w:p>
            <w:pPr>
              <w:jc w:val="right"/>
              <w:ind w:right="428"/>
              <w:spacing w:after="0"/>
              <w:rPr>
                <w:sz w:val="20"/>
                <w:szCs w:val="20"/>
                <w:color w:val="auto"/>
              </w:rPr>
            </w:pPr>
            <w:r>
              <w:rPr>
                <w:rFonts w:ascii="Arial" w:cs="Arial" w:eastAsia="Arial" w:hAnsi="Arial"/>
                <w:sz w:val="14"/>
                <w:szCs w:val="14"/>
                <w:color w:val="auto"/>
              </w:rPr>
              <w:t>$6,648</w:t>
            </w:r>
          </w:p>
        </w:tc>
        <w:tc>
          <w:tcPr>
            <w:tcW w:w="880" w:type="dxa"/>
            <w:vAlign w:val="bottom"/>
            <w:tcBorders>
              <w:bottom w:val="single" w:sz="8" w:color="929292"/>
            </w:tcBorders>
          </w:tcPr>
          <w:p>
            <w:pPr>
              <w:jc w:val="right"/>
              <w:ind w:right="208"/>
              <w:spacing w:after="0"/>
              <w:rPr>
                <w:sz w:val="20"/>
                <w:szCs w:val="20"/>
                <w:color w:val="auto"/>
              </w:rPr>
            </w:pPr>
            <w:r>
              <w:rPr>
                <w:rFonts w:ascii="Arial" w:cs="Arial" w:eastAsia="Arial" w:hAnsi="Arial"/>
                <w:sz w:val="14"/>
                <w:szCs w:val="14"/>
                <w:color w:val="auto"/>
              </w:rPr>
              <w:t>$5,953</w:t>
            </w:r>
          </w:p>
        </w:tc>
        <w:tc>
          <w:tcPr>
            <w:tcW w:w="1360" w:type="dxa"/>
            <w:vAlign w:val="bottom"/>
            <w:tcBorders>
              <w:bottom w:val="single" w:sz="8" w:color="929292"/>
            </w:tcBorders>
          </w:tcPr>
          <w:p>
            <w:pPr>
              <w:jc w:val="right"/>
              <w:ind w:right="5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29292"/>
            </w:tcBorders>
          </w:tcPr>
          <w:p>
            <w:pPr>
              <w:jc w:val="right"/>
              <w:ind w:right="2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929292"/>
            </w:tcBorders>
          </w:tcPr>
          <w:p>
            <w:pPr>
              <w:jc w:val="right"/>
              <w:ind w:right="648"/>
              <w:spacing w:after="0"/>
              <w:rPr>
                <w:sz w:val="20"/>
                <w:szCs w:val="20"/>
                <w:color w:val="auto"/>
              </w:rPr>
            </w:pPr>
            <w:r>
              <w:rPr>
                <w:rFonts w:ascii="Arial" w:cs="Arial" w:eastAsia="Arial" w:hAnsi="Arial"/>
                <w:sz w:val="14"/>
                <w:szCs w:val="14"/>
                <w:color w:val="auto"/>
              </w:rPr>
              <w:t>$1,000</w:t>
            </w:r>
          </w:p>
        </w:tc>
        <w:tc>
          <w:tcPr>
            <w:tcW w:w="720" w:type="dxa"/>
            <w:vAlign w:val="bottom"/>
            <w:tcBorders>
              <w:bottom w:val="single" w:sz="8" w:color="929292"/>
            </w:tcBorders>
          </w:tcPr>
          <w:p>
            <w:pPr>
              <w:jc w:val="right"/>
              <w:ind w:right="248"/>
              <w:spacing w:after="0"/>
              <w:rPr>
                <w:sz w:val="20"/>
                <w:szCs w:val="20"/>
                <w:color w:val="auto"/>
              </w:rPr>
            </w:pPr>
            <w:r>
              <w:rPr>
                <w:rFonts w:ascii="Arial" w:cs="Arial" w:eastAsia="Arial" w:hAnsi="Arial"/>
                <w:sz w:val="14"/>
                <w:szCs w:val="14"/>
                <w:color w:val="auto"/>
              </w:rPr>
              <w:t>$946</w:t>
            </w:r>
          </w:p>
        </w:tc>
        <w:tc>
          <w:tcPr>
            <w:tcW w:w="1360" w:type="dxa"/>
            <w:vAlign w:val="bottom"/>
            <w:tcBorders>
              <w:bottom w:val="single" w:sz="8" w:color="929292"/>
            </w:tcBorders>
          </w:tcPr>
          <w:p>
            <w:pPr>
              <w:jc w:val="right"/>
              <w:ind w:right="508"/>
              <w:spacing w:after="0"/>
              <w:rPr>
                <w:sz w:val="20"/>
                <w:szCs w:val="20"/>
                <w:color w:val="auto"/>
              </w:rPr>
            </w:pPr>
            <w:r>
              <w:rPr>
                <w:rFonts w:ascii="Arial" w:cs="Arial" w:eastAsia="Arial" w:hAnsi="Arial"/>
                <w:sz w:val="14"/>
                <w:szCs w:val="14"/>
                <w:color w:val="auto"/>
              </w:rPr>
              <w:t>$1,279</w:t>
            </w:r>
          </w:p>
        </w:tc>
        <w:tc>
          <w:tcPr>
            <w:tcW w:w="5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$1,287</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 Parent company and consolidation adjustments. Other does not represent a business segment.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Note N – Derivative Instruments and Hedging Activities</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2C2C2C"/>
        </w:rPr>
        <w:t>Con Edison’s subsidiaries hedge market price fluctuations associated with physical purchases and sales of electricity, natural gas, steam and, to a lesser extent, refined fuels by using derivative instruments including futures, forwards, basis swaps, options, transmission congestion contracts and financial transmission rights contracts. These are economic hedges, for which the Utilities and the Clean Energy Business do not elect hedge accounting. The Clean Energy Businesses use interest rate swaps to manage the risks associated with interest rates related to outstanding and expected future debt issuances and borrowings. Derivatives are recognized on the consolidated balance sheet at fair value (see Note O), unless an exception is available under the accounting rules for derivatives and hedging. Qualifying derivative contracts that have been designated as normal purchases or normal sales contracts are not reported at fair value under the accounting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43" w:name="page44"/>
    <w:bookmarkEnd w:id="43"/>
    <w:p>
      <w:pPr>
        <w:ind w:right="200"/>
        <w:spacing w:after="0" w:line="261" w:lineRule="auto"/>
        <w:rPr>
          <w:sz w:val="20"/>
          <w:szCs w:val="20"/>
          <w:color w:val="auto"/>
        </w:rPr>
      </w:pPr>
      <w:r>
        <w:rPr>
          <w:rFonts w:ascii="Arial" w:cs="Arial" w:eastAsia="Arial" w:hAnsi="Arial"/>
          <w:sz w:val="18"/>
          <w:szCs w:val="18"/>
          <w:color w:val="auto"/>
        </w:rPr>
        <w:t>The fair values of the Companies’ derivatives including the offsetting of assets and liabilities on the consolidated balance sheet at June 30, 2021 and December 31, 2020 were: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660" w:type="dxa"/>
            <w:vAlign w:val="bottom"/>
            <w:tcBorders>
              <w:bottom w:val="single" w:sz="8" w:color="8C8272"/>
            </w:tcBorders>
          </w:tcPr>
          <w:p>
            <w:pPr>
              <w:spacing w:after="0"/>
              <w:rPr>
                <w:sz w:val="16"/>
                <w:szCs w:val="16"/>
                <w:color w:val="auto"/>
              </w:rPr>
            </w:pPr>
          </w:p>
        </w:tc>
        <w:tc>
          <w:tcPr>
            <w:tcW w:w="980" w:type="dxa"/>
            <w:vAlign w:val="bottom"/>
            <w:tcBorders>
              <w:bottom w:val="single" w:sz="8" w:color="8C8272"/>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8C8272"/>
            </w:tcBorders>
          </w:tcPr>
          <w:p>
            <w:pPr>
              <w:spacing w:after="0"/>
              <w:rPr>
                <w:sz w:val="16"/>
                <w:szCs w:val="16"/>
                <w:color w:val="auto"/>
              </w:rPr>
            </w:pPr>
          </w:p>
        </w:tc>
        <w:tc>
          <w:tcPr>
            <w:tcW w:w="380" w:type="dxa"/>
            <w:vAlign w:val="bottom"/>
            <w:tcBorders>
              <w:bottom w:val="single" w:sz="8" w:color="8C8272"/>
            </w:tcBorders>
          </w:tcPr>
          <w:p>
            <w:pPr>
              <w:spacing w:after="0"/>
              <w:rPr>
                <w:sz w:val="16"/>
                <w:szCs w:val="16"/>
                <w:color w:val="auto"/>
              </w:rPr>
            </w:pPr>
          </w:p>
        </w:tc>
        <w:tc>
          <w:tcPr>
            <w:tcW w:w="1560" w:type="dxa"/>
            <w:vAlign w:val="bottom"/>
            <w:tcBorders>
              <w:bottom w:val="single" w:sz="8" w:color="8C8272"/>
            </w:tcBorders>
          </w:tcPr>
          <w:p>
            <w:pPr>
              <w:spacing w:after="0"/>
              <w:rPr>
                <w:sz w:val="16"/>
                <w:szCs w:val="16"/>
                <w:color w:val="auto"/>
              </w:rPr>
            </w:pPr>
          </w:p>
        </w:tc>
        <w:tc>
          <w:tcPr>
            <w:tcW w:w="860" w:type="dxa"/>
            <w:vAlign w:val="bottom"/>
            <w:tcBorders>
              <w:bottom w:val="single" w:sz="8" w:color="8C8272"/>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8C8272"/>
            </w:tcBorders>
          </w:tcPr>
          <w:p>
            <w:pPr>
              <w:spacing w:after="0"/>
              <w:rPr>
                <w:sz w:val="16"/>
                <w:szCs w:val="16"/>
                <w:color w:val="auto"/>
              </w:rPr>
            </w:pPr>
          </w:p>
        </w:tc>
        <w:tc>
          <w:tcPr>
            <w:tcW w:w="400" w:type="dxa"/>
            <w:vAlign w:val="bottom"/>
            <w:tcBorders>
              <w:bottom w:val="single" w:sz="8" w:color="8C8272"/>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66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Gross Amounts of</w:t>
            </w:r>
          </w:p>
        </w:tc>
        <w:tc>
          <w:tcPr>
            <w:tcW w:w="9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Gross</w:t>
            </w: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Net Amounts</w:t>
            </w:r>
          </w:p>
        </w:tc>
        <w:tc>
          <w:tcPr>
            <w:tcW w:w="380" w:type="dxa"/>
            <w:vAlign w:val="bottom"/>
          </w:tcPr>
          <w:p>
            <w:pPr>
              <w:spacing w:after="0"/>
              <w:rPr>
                <w:sz w:val="12"/>
                <w:szCs w:val="12"/>
                <w:color w:val="auto"/>
              </w:rPr>
            </w:pPr>
          </w:p>
        </w:tc>
        <w:tc>
          <w:tcPr>
            <w:tcW w:w="156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Gross Amounts of</w:t>
            </w: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Gross</w:t>
            </w: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Net Amounts</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660" w:type="dxa"/>
            <w:vAlign w:val="bottom"/>
          </w:tcPr>
          <w:p>
            <w:pPr>
              <w:jc w:val="right"/>
              <w:ind w:right="68"/>
              <w:spacing w:after="0" w:line="135" w:lineRule="exact"/>
              <w:rPr>
                <w:sz w:val="20"/>
                <w:szCs w:val="20"/>
                <w:color w:val="auto"/>
              </w:rPr>
            </w:pPr>
            <w:r>
              <w:rPr>
                <w:rFonts w:ascii="Arial" w:cs="Arial" w:eastAsia="Arial" w:hAnsi="Arial"/>
                <w:sz w:val="14"/>
                <w:szCs w:val="14"/>
                <w:b w:val="1"/>
                <w:bCs w:val="1"/>
                <w:color w:val="auto"/>
              </w:rPr>
              <w:t>Recognized</w:t>
            </w:r>
          </w:p>
        </w:tc>
        <w:tc>
          <w:tcPr>
            <w:tcW w:w="9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Amounts</w:t>
            </w:r>
          </w:p>
        </w:tc>
        <w:tc>
          <w:tcPr>
            <w:tcW w:w="10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of Assets/</w:t>
            </w:r>
          </w:p>
        </w:tc>
        <w:tc>
          <w:tcPr>
            <w:tcW w:w="380" w:type="dxa"/>
            <w:vAlign w:val="bottom"/>
          </w:tcPr>
          <w:p>
            <w:pPr>
              <w:spacing w:after="0"/>
              <w:rPr>
                <w:sz w:val="11"/>
                <w:szCs w:val="11"/>
                <w:color w:val="auto"/>
              </w:rPr>
            </w:pPr>
          </w:p>
        </w:tc>
        <w:tc>
          <w:tcPr>
            <w:tcW w:w="1560" w:type="dxa"/>
            <w:vAlign w:val="bottom"/>
          </w:tcPr>
          <w:p>
            <w:pPr>
              <w:jc w:val="right"/>
              <w:ind w:right="8"/>
              <w:spacing w:after="0" w:line="135" w:lineRule="exact"/>
              <w:rPr>
                <w:sz w:val="20"/>
                <w:szCs w:val="20"/>
                <w:color w:val="auto"/>
              </w:rPr>
            </w:pPr>
            <w:r>
              <w:rPr>
                <w:rFonts w:ascii="Arial" w:cs="Arial" w:eastAsia="Arial" w:hAnsi="Arial"/>
                <w:sz w:val="14"/>
                <w:szCs w:val="14"/>
                <w:b w:val="1"/>
                <w:bCs w:val="1"/>
                <w:color w:val="auto"/>
              </w:rPr>
              <w:t>Recognized</w:t>
            </w:r>
          </w:p>
        </w:tc>
        <w:tc>
          <w:tcPr>
            <w:tcW w:w="8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Amounts</w:t>
            </w:r>
          </w:p>
        </w:tc>
        <w:tc>
          <w:tcPr>
            <w:tcW w:w="10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of Assets/</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080" w:type="dxa"/>
            <w:vAlign w:val="bottom"/>
            <w:tcBorders>
              <w:bottom w:val="single" w:sz="8" w:color="8C8272"/>
            </w:tcBorders>
            <w:vMerge w:val="continue"/>
          </w:tcPr>
          <w:p>
            <w:pPr>
              <w:spacing w:after="0"/>
              <w:rPr>
                <w:sz w:val="15"/>
                <w:szCs w:val="15"/>
                <w:color w:val="auto"/>
              </w:rPr>
            </w:pPr>
          </w:p>
        </w:tc>
        <w:tc>
          <w:tcPr>
            <w:tcW w:w="166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Assets/(Liabilities)</w:t>
            </w:r>
          </w:p>
        </w:tc>
        <w:tc>
          <w:tcPr>
            <w:tcW w:w="9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Offset</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(Liabilities) (a)</w:t>
            </w:r>
          </w:p>
        </w:tc>
        <w:tc>
          <w:tcPr>
            <w:tcW w:w="380" w:type="dxa"/>
            <w:vAlign w:val="bottom"/>
            <w:tcBorders>
              <w:bottom w:val="single" w:sz="8" w:color="8C8272"/>
            </w:tcBorders>
          </w:tcPr>
          <w:p>
            <w:pPr>
              <w:spacing w:after="0"/>
              <w:rPr>
                <w:sz w:val="15"/>
                <w:szCs w:val="15"/>
                <w:color w:val="auto"/>
              </w:rPr>
            </w:pPr>
          </w:p>
        </w:tc>
        <w:tc>
          <w:tcPr>
            <w:tcW w:w="156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b w:val="1"/>
                <w:bCs w:val="1"/>
                <w:color w:val="auto"/>
              </w:rPr>
              <w:t>Assets/(Liabilities)</w:t>
            </w:r>
          </w:p>
        </w:tc>
        <w:tc>
          <w:tcPr>
            <w:tcW w:w="8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Offset</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(Liabilities) (a)</w:t>
            </w:r>
          </w:p>
        </w:tc>
        <w:tc>
          <w:tcPr>
            <w:tcW w:w="400" w:type="dxa"/>
            <w:vAlign w:val="bottom"/>
            <w:tcBorders>
              <w:bottom w:val="single" w:sz="8" w:color="8C8272"/>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8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Con Edison</w:t>
            </w:r>
          </w:p>
        </w:tc>
        <w:tc>
          <w:tcPr>
            <w:tcW w:w="166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15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4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tcPr>
          <w:p>
            <w:pPr>
              <w:ind w:left="140"/>
              <w:spacing w:after="0"/>
              <w:rPr>
                <w:sz w:val="20"/>
                <w:szCs w:val="20"/>
                <w:color w:val="auto"/>
              </w:rPr>
            </w:pPr>
            <w:r>
              <w:rPr>
                <w:rFonts w:ascii="Arial" w:cs="Arial" w:eastAsia="Arial" w:hAnsi="Arial"/>
                <w:sz w:val="14"/>
                <w:szCs w:val="14"/>
                <w:color w:val="auto"/>
              </w:rPr>
              <w:t>Fair value of derivative assets</w:t>
            </w:r>
          </w:p>
        </w:tc>
        <w:tc>
          <w:tcPr>
            <w:tcW w:w="1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E5E5E5"/>
          </w:tcPr>
          <w:p>
            <w:pPr>
              <w:ind w:left="360"/>
              <w:spacing w:after="0"/>
              <w:rPr>
                <w:sz w:val="20"/>
                <w:szCs w:val="20"/>
                <w:color w:val="auto"/>
              </w:rPr>
            </w:pPr>
            <w:r>
              <w:rPr>
                <w:rFonts w:ascii="Arial" w:cs="Arial" w:eastAsia="Arial" w:hAnsi="Arial"/>
                <w:sz w:val="14"/>
                <w:szCs w:val="14"/>
                <w:color w:val="auto"/>
              </w:rPr>
              <w:t>Current</w:t>
            </w:r>
          </w:p>
        </w:tc>
        <w:tc>
          <w:tcPr>
            <w:tcW w:w="16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$214</w:t>
            </w: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$(55)</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$159</w:t>
            </w:r>
          </w:p>
        </w:tc>
        <w:tc>
          <w:tcPr>
            <w:tcW w:w="380" w:type="dxa"/>
            <w:vAlign w:val="bottom"/>
            <w:shd w:val="clear" w:color="auto" w:fill="E5E5E5"/>
          </w:tcPr>
          <w:p>
            <w:pPr>
              <w:ind w:left="20"/>
              <w:spacing w:after="0"/>
              <w:rPr>
                <w:sz w:val="20"/>
                <w:szCs w:val="20"/>
                <w:color w:val="auto"/>
              </w:rPr>
            </w:pPr>
            <w:r>
              <w:rPr>
                <w:rFonts w:ascii="Arial" w:cs="Arial" w:eastAsia="Arial" w:hAnsi="Arial"/>
                <w:sz w:val="14"/>
                <w:szCs w:val="14"/>
                <w:color w:val="auto"/>
              </w:rPr>
              <w:t>(b)</w:t>
            </w: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$44</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w:t>
            </w:r>
          </w:p>
        </w:tc>
        <w:tc>
          <w:tcPr>
            <w:tcW w:w="1440" w:type="dxa"/>
            <w:vAlign w:val="bottom"/>
            <w:gridSpan w:val="2"/>
            <w:shd w:val="clear" w:color="auto" w:fill="E5E5E5"/>
          </w:tcPr>
          <w:p>
            <w:pPr>
              <w:jc w:val="right"/>
              <w:ind w:right="128"/>
              <w:spacing w:after="0"/>
              <w:rPr>
                <w:sz w:val="20"/>
                <w:szCs w:val="20"/>
                <w:color w:val="auto"/>
              </w:rPr>
            </w:pPr>
            <w:r>
              <w:rPr>
                <w:rFonts w:ascii="Arial" w:cs="Arial" w:eastAsia="Arial" w:hAnsi="Arial"/>
                <w:sz w:val="14"/>
                <w:szCs w:val="14"/>
                <w:color w:val="auto"/>
              </w:rPr>
              <w:t>$58 (b)</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828282"/>
            </w:tcBorders>
          </w:tcPr>
          <w:p>
            <w:pPr>
              <w:ind w:left="360"/>
              <w:spacing w:after="0"/>
              <w:rPr>
                <w:sz w:val="20"/>
                <w:szCs w:val="20"/>
                <w:color w:val="auto"/>
              </w:rPr>
            </w:pPr>
            <w:r>
              <w:rPr>
                <w:rFonts w:ascii="Arial" w:cs="Arial" w:eastAsia="Arial" w:hAnsi="Arial"/>
                <w:sz w:val="14"/>
                <w:szCs w:val="14"/>
                <w:color w:val="auto"/>
              </w:rPr>
              <w:t>Noncurrent</w:t>
            </w:r>
          </w:p>
        </w:tc>
        <w:tc>
          <w:tcPr>
            <w:tcW w:w="1660" w:type="dxa"/>
            <w:vAlign w:val="bottom"/>
            <w:tcBorders>
              <w:bottom w:val="single" w:sz="8" w:color="828282"/>
            </w:tcBorders>
          </w:tcPr>
          <w:p>
            <w:pPr>
              <w:jc w:val="right"/>
              <w:ind w:right="68"/>
              <w:spacing w:after="0"/>
              <w:rPr>
                <w:sz w:val="20"/>
                <w:szCs w:val="20"/>
                <w:color w:val="auto"/>
              </w:rPr>
            </w:pPr>
            <w:r>
              <w:rPr>
                <w:rFonts w:ascii="Arial" w:cs="Arial" w:eastAsia="Arial" w:hAnsi="Arial"/>
                <w:sz w:val="14"/>
                <w:szCs w:val="14"/>
                <w:color w:val="auto"/>
              </w:rPr>
              <w:t>65</w:t>
            </w:r>
          </w:p>
        </w:tc>
        <w:tc>
          <w:tcPr>
            <w:tcW w:w="980" w:type="dxa"/>
            <w:vAlign w:val="bottom"/>
            <w:tcBorders>
              <w:bottom w:val="single" w:sz="8" w:color="828282"/>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65</w:t>
            </w:r>
          </w:p>
        </w:tc>
        <w:tc>
          <w:tcPr>
            <w:tcW w:w="380" w:type="dxa"/>
            <w:vAlign w:val="bottom"/>
            <w:tcBorders>
              <w:bottom w:val="single" w:sz="8" w:color="828282"/>
            </w:tcBorders>
          </w:tcPr>
          <w:p>
            <w:pPr>
              <w:ind w:left="20"/>
              <w:spacing w:after="0"/>
              <w:rPr>
                <w:sz w:val="20"/>
                <w:szCs w:val="20"/>
                <w:color w:val="auto"/>
              </w:rPr>
            </w:pPr>
            <w:r>
              <w:rPr>
                <w:rFonts w:ascii="Arial" w:cs="Arial" w:eastAsia="Arial" w:hAnsi="Arial"/>
                <w:sz w:val="14"/>
                <w:szCs w:val="14"/>
                <w:color w:val="auto"/>
              </w:rPr>
              <w:t>(c)</w:t>
            </w:r>
          </w:p>
        </w:tc>
        <w:tc>
          <w:tcPr>
            <w:tcW w:w="1560" w:type="dxa"/>
            <w:vAlign w:val="bottom"/>
            <w:tcBorders>
              <w:bottom w:val="single" w:sz="8" w:color="828282"/>
            </w:tcBorders>
          </w:tcPr>
          <w:p>
            <w:pPr>
              <w:jc w:val="right"/>
              <w:ind w:right="8"/>
              <w:spacing w:after="0"/>
              <w:rPr>
                <w:sz w:val="20"/>
                <w:szCs w:val="20"/>
                <w:color w:val="auto"/>
              </w:rPr>
            </w:pPr>
            <w:r>
              <w:rPr>
                <w:rFonts w:ascii="Arial" w:cs="Arial" w:eastAsia="Arial" w:hAnsi="Arial"/>
                <w:sz w:val="14"/>
                <w:szCs w:val="14"/>
                <w:color w:val="auto"/>
              </w:rPr>
              <w:t>22</w:t>
            </w:r>
          </w:p>
        </w:tc>
        <w:tc>
          <w:tcPr>
            <w:tcW w:w="86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35</w:t>
            </w:r>
          </w:p>
        </w:tc>
        <w:tc>
          <w:tcPr>
            <w:tcW w:w="104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57</w:t>
            </w:r>
          </w:p>
        </w:tc>
        <w:tc>
          <w:tcPr>
            <w:tcW w:w="400" w:type="dxa"/>
            <w:vAlign w:val="bottom"/>
            <w:tcBorders>
              <w:bottom w:val="single" w:sz="8" w:color="828282"/>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8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Total fair value of derivative assets</w:t>
            </w:r>
          </w:p>
        </w:tc>
        <w:tc>
          <w:tcPr>
            <w:tcW w:w="166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$279</w:t>
            </w:r>
          </w:p>
        </w:tc>
        <w:tc>
          <w:tcPr>
            <w:tcW w:w="9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$(55)</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$224</w:t>
            </w:r>
          </w:p>
        </w:tc>
        <w:tc>
          <w:tcPr>
            <w:tcW w:w="380" w:type="dxa"/>
            <w:vAlign w:val="bottom"/>
            <w:tcBorders>
              <w:bottom w:val="single" w:sz="8" w:color="8C8272"/>
            </w:tcBorders>
            <w:shd w:val="clear" w:color="auto" w:fill="E5E5E5"/>
          </w:tcPr>
          <w:p>
            <w:pPr>
              <w:spacing w:after="0"/>
              <w:rPr>
                <w:sz w:val="15"/>
                <w:szCs w:val="15"/>
                <w:color w:val="auto"/>
              </w:rPr>
            </w:pPr>
          </w:p>
        </w:tc>
        <w:tc>
          <w:tcPr>
            <w:tcW w:w="156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$66</w:t>
            </w:r>
          </w:p>
        </w:tc>
        <w:tc>
          <w:tcPr>
            <w:tcW w:w="8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$49</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$115</w:t>
            </w:r>
          </w:p>
        </w:tc>
        <w:tc>
          <w:tcPr>
            <w:tcW w:w="400" w:type="dxa"/>
            <w:vAlign w:val="bottom"/>
            <w:tcBorders>
              <w:bottom w:val="single" w:sz="8" w:color="8C8272"/>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80" w:type="dxa"/>
            <w:vAlign w:val="bottom"/>
          </w:tcPr>
          <w:p>
            <w:pPr>
              <w:ind w:left="140"/>
              <w:spacing w:after="0"/>
              <w:rPr>
                <w:sz w:val="20"/>
                <w:szCs w:val="20"/>
                <w:color w:val="auto"/>
              </w:rPr>
            </w:pPr>
            <w:r>
              <w:rPr>
                <w:rFonts w:ascii="Arial" w:cs="Arial" w:eastAsia="Arial" w:hAnsi="Arial"/>
                <w:sz w:val="14"/>
                <w:szCs w:val="14"/>
                <w:color w:val="auto"/>
              </w:rPr>
              <w:t>Fair value of derivative liabilities</w:t>
            </w:r>
          </w:p>
        </w:tc>
        <w:tc>
          <w:tcPr>
            <w:tcW w:w="1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E5E5E5"/>
          </w:tcPr>
          <w:p>
            <w:pPr>
              <w:ind w:left="360"/>
              <w:spacing w:after="0"/>
              <w:rPr>
                <w:sz w:val="20"/>
                <w:szCs w:val="20"/>
                <w:color w:val="auto"/>
              </w:rPr>
            </w:pPr>
            <w:r>
              <w:rPr>
                <w:rFonts w:ascii="Arial" w:cs="Arial" w:eastAsia="Arial" w:hAnsi="Arial"/>
                <w:sz w:val="14"/>
                <w:szCs w:val="14"/>
                <w:color w:val="auto"/>
              </w:rPr>
              <w:t>Current</w:t>
            </w:r>
          </w:p>
        </w:tc>
        <w:tc>
          <w:tcPr>
            <w:tcW w:w="16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$(232)</w:t>
            </w: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$53</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$(179)</w:t>
            </w:r>
          </w:p>
        </w:tc>
        <w:tc>
          <w:tcPr>
            <w:tcW w:w="380" w:type="dxa"/>
            <w:vAlign w:val="bottom"/>
            <w:shd w:val="clear" w:color="auto" w:fill="E5E5E5"/>
          </w:tcPr>
          <w:p>
            <w:pPr>
              <w:ind w:left="20"/>
              <w:spacing w:after="0"/>
              <w:rPr>
                <w:sz w:val="20"/>
                <w:szCs w:val="20"/>
                <w:color w:val="auto"/>
              </w:rPr>
            </w:pPr>
            <w:r>
              <w:rPr>
                <w:rFonts w:ascii="Arial" w:cs="Arial" w:eastAsia="Arial" w:hAnsi="Arial"/>
                <w:sz w:val="14"/>
                <w:szCs w:val="14"/>
                <w:color w:val="auto"/>
              </w:rPr>
              <w:t>(c)</w:t>
            </w: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$(225)</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w:t>
            </w:r>
          </w:p>
        </w:tc>
        <w:tc>
          <w:tcPr>
            <w:tcW w:w="1440" w:type="dxa"/>
            <w:vAlign w:val="bottom"/>
            <w:gridSpan w:val="2"/>
            <w:shd w:val="clear" w:color="auto" w:fill="E5E5E5"/>
          </w:tcPr>
          <w:p>
            <w:pPr>
              <w:jc w:val="right"/>
              <w:ind w:right="128"/>
              <w:spacing w:after="0"/>
              <w:rPr>
                <w:sz w:val="20"/>
                <w:szCs w:val="20"/>
                <w:color w:val="auto"/>
              </w:rPr>
            </w:pPr>
            <w:r>
              <w:rPr>
                <w:rFonts w:ascii="Arial" w:cs="Arial" w:eastAsia="Arial" w:hAnsi="Arial"/>
                <w:sz w:val="14"/>
                <w:szCs w:val="14"/>
                <w:color w:val="auto"/>
              </w:rPr>
              <w:t>$(238) (d)</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828282"/>
            </w:tcBorders>
          </w:tcPr>
          <w:p>
            <w:pPr>
              <w:ind w:left="360"/>
              <w:spacing w:after="0"/>
              <w:rPr>
                <w:sz w:val="20"/>
                <w:szCs w:val="20"/>
                <w:color w:val="auto"/>
              </w:rPr>
            </w:pPr>
            <w:r>
              <w:rPr>
                <w:rFonts w:ascii="Arial" w:cs="Arial" w:eastAsia="Arial" w:hAnsi="Arial"/>
                <w:sz w:val="14"/>
                <w:szCs w:val="14"/>
                <w:color w:val="auto"/>
              </w:rPr>
              <w:t>Noncurrent</w:t>
            </w:r>
          </w:p>
        </w:tc>
        <w:tc>
          <w:tcPr>
            <w:tcW w:w="1660" w:type="dxa"/>
            <w:vAlign w:val="bottom"/>
            <w:tcBorders>
              <w:bottom w:val="single" w:sz="8" w:color="828282"/>
            </w:tcBorders>
          </w:tcPr>
          <w:p>
            <w:pPr>
              <w:jc w:val="right"/>
              <w:ind w:right="68"/>
              <w:spacing w:after="0"/>
              <w:rPr>
                <w:sz w:val="20"/>
                <w:szCs w:val="20"/>
                <w:color w:val="auto"/>
              </w:rPr>
            </w:pPr>
            <w:r>
              <w:rPr>
                <w:rFonts w:ascii="Arial" w:cs="Arial" w:eastAsia="Arial" w:hAnsi="Arial"/>
                <w:sz w:val="14"/>
                <w:szCs w:val="14"/>
                <w:color w:val="auto"/>
              </w:rPr>
              <w:t>(127)</w:t>
            </w:r>
          </w:p>
        </w:tc>
        <w:tc>
          <w:tcPr>
            <w:tcW w:w="98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2</w:t>
            </w:r>
          </w:p>
        </w:tc>
        <w:tc>
          <w:tcPr>
            <w:tcW w:w="104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(125)</w:t>
            </w:r>
          </w:p>
        </w:tc>
        <w:tc>
          <w:tcPr>
            <w:tcW w:w="380" w:type="dxa"/>
            <w:vAlign w:val="bottom"/>
            <w:tcBorders>
              <w:bottom w:val="single" w:sz="8" w:color="828282"/>
            </w:tcBorders>
          </w:tcPr>
          <w:p>
            <w:pPr>
              <w:ind w:left="20"/>
              <w:spacing w:after="0"/>
              <w:rPr>
                <w:sz w:val="20"/>
                <w:szCs w:val="20"/>
                <w:color w:val="auto"/>
              </w:rPr>
            </w:pPr>
            <w:r>
              <w:rPr>
                <w:rFonts w:ascii="Arial" w:cs="Arial" w:eastAsia="Arial" w:hAnsi="Arial"/>
                <w:sz w:val="14"/>
                <w:szCs w:val="14"/>
                <w:color w:val="auto"/>
              </w:rPr>
              <w:t>(c)</w:t>
            </w:r>
          </w:p>
        </w:tc>
        <w:tc>
          <w:tcPr>
            <w:tcW w:w="1560" w:type="dxa"/>
            <w:vAlign w:val="bottom"/>
            <w:tcBorders>
              <w:bottom w:val="single" w:sz="8" w:color="828282"/>
            </w:tcBorders>
          </w:tcPr>
          <w:p>
            <w:pPr>
              <w:jc w:val="right"/>
              <w:ind w:right="8"/>
              <w:spacing w:after="0"/>
              <w:rPr>
                <w:sz w:val="20"/>
                <w:szCs w:val="20"/>
                <w:color w:val="auto"/>
              </w:rPr>
            </w:pPr>
            <w:r>
              <w:rPr>
                <w:rFonts w:ascii="Arial" w:cs="Arial" w:eastAsia="Arial" w:hAnsi="Arial"/>
                <w:sz w:val="14"/>
                <w:szCs w:val="14"/>
                <w:color w:val="auto"/>
              </w:rPr>
              <w:t>(207)</w:t>
            </w:r>
          </w:p>
        </w:tc>
        <w:tc>
          <w:tcPr>
            <w:tcW w:w="86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(33)</w:t>
            </w:r>
          </w:p>
        </w:tc>
        <w:tc>
          <w:tcPr>
            <w:tcW w:w="104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(240)</w:t>
            </w:r>
          </w:p>
        </w:tc>
        <w:tc>
          <w:tcPr>
            <w:tcW w:w="400" w:type="dxa"/>
            <w:vAlign w:val="bottom"/>
            <w:tcBorders>
              <w:bottom w:val="single" w:sz="8" w:color="828282"/>
            </w:tcBorders>
          </w:tcPr>
          <w:p>
            <w:pPr>
              <w:jc w:val="right"/>
              <w:ind w:right="128"/>
              <w:spacing w:after="0"/>
              <w:rPr>
                <w:sz w:val="20"/>
                <w:szCs w:val="20"/>
                <w:color w:val="auto"/>
              </w:rPr>
            </w:pPr>
            <w:r>
              <w:rPr>
                <w:rFonts w:ascii="Arial" w:cs="Arial" w:eastAsia="Arial" w:hAnsi="Arial"/>
                <w:sz w:val="14"/>
                <w:szCs w:val="14"/>
                <w:color w:val="auto"/>
              </w:rPr>
              <w:t>(d)</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Total fair value of derivative liabilities</w:t>
            </w:r>
          </w:p>
        </w:tc>
        <w:tc>
          <w:tcPr>
            <w:tcW w:w="166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$(359)</w:t>
            </w:r>
          </w:p>
        </w:tc>
        <w:tc>
          <w:tcPr>
            <w:tcW w:w="9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$55</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$(304)</w:t>
            </w:r>
          </w:p>
        </w:tc>
        <w:tc>
          <w:tcPr>
            <w:tcW w:w="380" w:type="dxa"/>
            <w:vAlign w:val="bottom"/>
            <w:tcBorders>
              <w:bottom w:val="single" w:sz="8" w:color="8C8272"/>
            </w:tcBorders>
            <w:shd w:val="clear" w:color="auto" w:fill="E5E5E5"/>
          </w:tcPr>
          <w:p>
            <w:pPr>
              <w:spacing w:after="0"/>
              <w:rPr>
                <w:sz w:val="15"/>
                <w:szCs w:val="15"/>
                <w:color w:val="auto"/>
              </w:rPr>
            </w:pPr>
          </w:p>
        </w:tc>
        <w:tc>
          <w:tcPr>
            <w:tcW w:w="156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$(432)</w:t>
            </w:r>
          </w:p>
        </w:tc>
        <w:tc>
          <w:tcPr>
            <w:tcW w:w="8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$(46)</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$(478)</w:t>
            </w:r>
          </w:p>
        </w:tc>
        <w:tc>
          <w:tcPr>
            <w:tcW w:w="400" w:type="dxa"/>
            <w:vAlign w:val="bottom"/>
            <w:tcBorders>
              <w:bottom w:val="single" w:sz="8" w:color="8C8272"/>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80" w:type="dxa"/>
            <w:vAlign w:val="bottom"/>
            <w:tcBorders>
              <w:bottom w:val="single" w:sz="8" w:color="8C8272"/>
            </w:tcBorders>
          </w:tcPr>
          <w:p>
            <w:pPr>
              <w:ind w:left="180"/>
              <w:spacing w:after="0"/>
              <w:rPr>
                <w:sz w:val="20"/>
                <w:szCs w:val="20"/>
                <w:color w:val="auto"/>
              </w:rPr>
            </w:pPr>
            <w:r>
              <w:rPr>
                <w:rFonts w:ascii="Arial" w:cs="Arial" w:eastAsia="Arial" w:hAnsi="Arial"/>
                <w:sz w:val="14"/>
                <w:szCs w:val="14"/>
                <w:color w:val="auto"/>
              </w:rPr>
              <w:t>Net fair value derivative assets/(liabilities)</w:t>
            </w:r>
          </w:p>
        </w:tc>
        <w:tc>
          <w:tcPr>
            <w:tcW w:w="166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$(80)</w:t>
            </w:r>
          </w:p>
        </w:tc>
        <w:tc>
          <w:tcPr>
            <w:tcW w:w="980" w:type="dxa"/>
            <w:vAlign w:val="bottom"/>
            <w:tcBorders>
              <w:bottom w:val="single" w:sz="8" w:color="8C8272"/>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$(80)</w:t>
            </w:r>
          </w:p>
        </w:tc>
        <w:tc>
          <w:tcPr>
            <w:tcW w:w="380" w:type="dxa"/>
            <w:vAlign w:val="bottom"/>
            <w:tcBorders>
              <w:bottom w:val="single" w:sz="8" w:color="8C8272"/>
            </w:tcBorders>
          </w:tcPr>
          <w:p>
            <w:pPr>
              <w:spacing w:after="0"/>
              <w:rPr>
                <w:sz w:val="15"/>
                <w:szCs w:val="15"/>
                <w:color w:val="auto"/>
              </w:rPr>
            </w:pPr>
          </w:p>
        </w:tc>
        <w:tc>
          <w:tcPr>
            <w:tcW w:w="156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color w:val="auto"/>
              </w:rPr>
              <w:t>$(366)</w:t>
            </w:r>
          </w:p>
        </w:tc>
        <w:tc>
          <w:tcPr>
            <w:tcW w:w="8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$(363)</w:t>
            </w:r>
          </w:p>
        </w:tc>
        <w:tc>
          <w:tcPr>
            <w:tcW w:w="400" w:type="dxa"/>
            <w:vAlign w:val="bottom"/>
            <w:tcBorders>
              <w:bottom w:val="single" w:sz="8" w:color="8C8272"/>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80" w:type="dxa"/>
            <w:vAlign w:val="bottom"/>
            <w:shd w:val="clear" w:color="auto" w:fill="E5E5E5"/>
          </w:tcPr>
          <w:p>
            <w:pPr>
              <w:ind w:left="20"/>
              <w:spacing w:after="0"/>
              <w:rPr>
                <w:sz w:val="20"/>
                <w:szCs w:val="20"/>
                <w:color w:val="auto"/>
              </w:rPr>
            </w:pPr>
            <w:r>
              <w:rPr>
                <w:rFonts w:ascii="Arial" w:cs="Arial" w:eastAsia="Arial" w:hAnsi="Arial"/>
                <w:sz w:val="14"/>
                <w:szCs w:val="14"/>
                <w:color w:val="auto"/>
              </w:rPr>
              <w:t>CECONY</w:t>
            </w:r>
          </w:p>
        </w:tc>
        <w:tc>
          <w:tcPr>
            <w:tcW w:w="166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15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4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tcPr>
          <w:p>
            <w:pPr>
              <w:ind w:left="140"/>
              <w:spacing w:after="0"/>
              <w:rPr>
                <w:sz w:val="20"/>
                <w:szCs w:val="20"/>
                <w:color w:val="auto"/>
              </w:rPr>
            </w:pPr>
            <w:r>
              <w:rPr>
                <w:rFonts w:ascii="Arial" w:cs="Arial" w:eastAsia="Arial" w:hAnsi="Arial"/>
                <w:sz w:val="14"/>
                <w:szCs w:val="14"/>
                <w:color w:val="auto"/>
              </w:rPr>
              <w:t>Fair value of derivative assets</w:t>
            </w:r>
          </w:p>
        </w:tc>
        <w:tc>
          <w:tcPr>
            <w:tcW w:w="1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E5E5E5"/>
          </w:tcPr>
          <w:p>
            <w:pPr>
              <w:ind w:left="360"/>
              <w:spacing w:after="0"/>
              <w:rPr>
                <w:sz w:val="20"/>
                <w:szCs w:val="20"/>
                <w:color w:val="auto"/>
              </w:rPr>
            </w:pPr>
            <w:r>
              <w:rPr>
                <w:rFonts w:ascii="Arial" w:cs="Arial" w:eastAsia="Arial" w:hAnsi="Arial"/>
                <w:sz w:val="14"/>
                <w:szCs w:val="14"/>
                <w:color w:val="auto"/>
              </w:rPr>
              <w:t>Current</w:t>
            </w:r>
          </w:p>
        </w:tc>
        <w:tc>
          <w:tcPr>
            <w:tcW w:w="16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$157</w:t>
            </w: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$(35)</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$122</w:t>
            </w:r>
          </w:p>
        </w:tc>
        <w:tc>
          <w:tcPr>
            <w:tcW w:w="380" w:type="dxa"/>
            <w:vAlign w:val="bottom"/>
            <w:shd w:val="clear" w:color="auto" w:fill="E5E5E5"/>
          </w:tcPr>
          <w:p>
            <w:pPr>
              <w:ind w:left="20"/>
              <w:spacing w:after="0"/>
              <w:rPr>
                <w:sz w:val="20"/>
                <w:szCs w:val="20"/>
                <w:color w:val="auto"/>
              </w:rPr>
            </w:pPr>
            <w:r>
              <w:rPr>
                <w:rFonts w:ascii="Arial" w:cs="Arial" w:eastAsia="Arial" w:hAnsi="Arial"/>
                <w:sz w:val="14"/>
                <w:szCs w:val="14"/>
                <w:color w:val="auto"/>
              </w:rPr>
              <w:t>(b)</w:t>
            </w: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$20</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w:t>
            </w:r>
          </w:p>
        </w:tc>
        <w:tc>
          <w:tcPr>
            <w:tcW w:w="1440" w:type="dxa"/>
            <w:vAlign w:val="bottom"/>
            <w:gridSpan w:val="2"/>
            <w:shd w:val="clear" w:color="auto" w:fill="E5E5E5"/>
          </w:tcPr>
          <w:p>
            <w:pPr>
              <w:jc w:val="right"/>
              <w:ind w:right="128"/>
              <w:spacing w:after="0"/>
              <w:rPr>
                <w:sz w:val="20"/>
                <w:szCs w:val="20"/>
                <w:color w:val="auto"/>
              </w:rPr>
            </w:pPr>
            <w:r>
              <w:rPr>
                <w:rFonts w:ascii="Arial" w:cs="Arial" w:eastAsia="Arial" w:hAnsi="Arial"/>
                <w:sz w:val="14"/>
                <w:szCs w:val="14"/>
                <w:color w:val="auto"/>
              </w:rPr>
              <w:t>$8 (b)</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8C8272"/>
            </w:tcBorders>
          </w:tcPr>
          <w:p>
            <w:pPr>
              <w:ind w:left="360"/>
              <w:spacing w:after="0"/>
              <w:rPr>
                <w:sz w:val="20"/>
                <w:szCs w:val="20"/>
                <w:color w:val="auto"/>
              </w:rPr>
            </w:pPr>
            <w:r>
              <w:rPr>
                <w:rFonts w:ascii="Arial" w:cs="Arial" w:eastAsia="Arial" w:hAnsi="Arial"/>
                <w:sz w:val="14"/>
                <w:szCs w:val="14"/>
                <w:color w:val="auto"/>
              </w:rPr>
              <w:t>Noncurrent</w:t>
            </w:r>
          </w:p>
        </w:tc>
        <w:tc>
          <w:tcPr>
            <w:tcW w:w="166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47</w:t>
            </w:r>
          </w:p>
        </w:tc>
        <w:tc>
          <w:tcPr>
            <w:tcW w:w="9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(16)</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31</w:t>
            </w:r>
          </w:p>
        </w:tc>
        <w:tc>
          <w:tcPr>
            <w:tcW w:w="380" w:type="dxa"/>
            <w:vAlign w:val="bottom"/>
            <w:tcBorders>
              <w:bottom w:val="single" w:sz="8" w:color="8C8272"/>
            </w:tcBorders>
          </w:tcPr>
          <w:p>
            <w:pPr>
              <w:spacing w:after="0"/>
              <w:rPr>
                <w:sz w:val="16"/>
                <w:szCs w:val="16"/>
                <w:color w:val="auto"/>
              </w:rPr>
            </w:pPr>
          </w:p>
        </w:tc>
        <w:tc>
          <w:tcPr>
            <w:tcW w:w="156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color w:val="auto"/>
              </w:rPr>
              <w:t>16</w:t>
            </w:r>
          </w:p>
        </w:tc>
        <w:tc>
          <w:tcPr>
            <w:tcW w:w="8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(8)</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8</w:t>
            </w:r>
          </w:p>
        </w:tc>
        <w:tc>
          <w:tcPr>
            <w:tcW w:w="400" w:type="dxa"/>
            <w:vAlign w:val="bottom"/>
            <w:tcBorders>
              <w:bottom w:val="single" w:sz="8" w:color="8C8272"/>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8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Total fair value of derivative assets</w:t>
            </w:r>
          </w:p>
        </w:tc>
        <w:tc>
          <w:tcPr>
            <w:tcW w:w="166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$204</w:t>
            </w:r>
          </w:p>
        </w:tc>
        <w:tc>
          <w:tcPr>
            <w:tcW w:w="9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$(51)</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$153</w:t>
            </w:r>
          </w:p>
        </w:tc>
        <w:tc>
          <w:tcPr>
            <w:tcW w:w="380" w:type="dxa"/>
            <w:vAlign w:val="bottom"/>
            <w:tcBorders>
              <w:bottom w:val="single" w:sz="8" w:color="8C8272"/>
            </w:tcBorders>
            <w:shd w:val="clear" w:color="auto" w:fill="E5E5E5"/>
          </w:tcPr>
          <w:p>
            <w:pPr>
              <w:spacing w:after="0"/>
              <w:rPr>
                <w:sz w:val="15"/>
                <w:szCs w:val="15"/>
                <w:color w:val="auto"/>
              </w:rPr>
            </w:pPr>
          </w:p>
        </w:tc>
        <w:tc>
          <w:tcPr>
            <w:tcW w:w="156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$36</w:t>
            </w:r>
          </w:p>
        </w:tc>
        <w:tc>
          <w:tcPr>
            <w:tcW w:w="8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$(20)</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$16</w:t>
            </w:r>
          </w:p>
        </w:tc>
        <w:tc>
          <w:tcPr>
            <w:tcW w:w="400" w:type="dxa"/>
            <w:vAlign w:val="bottom"/>
            <w:tcBorders>
              <w:bottom w:val="single" w:sz="8" w:color="8C8272"/>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80" w:type="dxa"/>
            <w:vAlign w:val="bottom"/>
          </w:tcPr>
          <w:p>
            <w:pPr>
              <w:ind w:left="140"/>
              <w:spacing w:after="0"/>
              <w:rPr>
                <w:sz w:val="20"/>
                <w:szCs w:val="20"/>
                <w:color w:val="auto"/>
              </w:rPr>
            </w:pPr>
            <w:r>
              <w:rPr>
                <w:rFonts w:ascii="Arial" w:cs="Arial" w:eastAsia="Arial" w:hAnsi="Arial"/>
                <w:sz w:val="14"/>
                <w:szCs w:val="14"/>
                <w:color w:val="auto"/>
              </w:rPr>
              <w:t>Fair value of derivative liabilities</w:t>
            </w:r>
          </w:p>
        </w:tc>
        <w:tc>
          <w:tcPr>
            <w:tcW w:w="1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E5E5E5"/>
          </w:tcPr>
          <w:p>
            <w:pPr>
              <w:ind w:left="360"/>
              <w:spacing w:after="0"/>
              <w:rPr>
                <w:sz w:val="20"/>
                <w:szCs w:val="20"/>
                <w:color w:val="auto"/>
              </w:rPr>
            </w:pPr>
            <w:r>
              <w:rPr>
                <w:rFonts w:ascii="Arial" w:cs="Arial" w:eastAsia="Arial" w:hAnsi="Arial"/>
                <w:sz w:val="14"/>
                <w:szCs w:val="14"/>
                <w:color w:val="auto"/>
              </w:rPr>
              <w:t>Current</w:t>
            </w:r>
          </w:p>
        </w:tc>
        <w:tc>
          <w:tcPr>
            <w:tcW w:w="16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$(159)</w:t>
            </w: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$(129)</w:t>
            </w:r>
          </w:p>
        </w:tc>
        <w:tc>
          <w:tcPr>
            <w:tcW w:w="380" w:type="dxa"/>
            <w:vAlign w:val="bottom"/>
            <w:shd w:val="clear" w:color="auto" w:fill="E5E5E5"/>
          </w:tcPr>
          <w:p>
            <w:pPr>
              <w:spacing w:after="0"/>
              <w:rPr>
                <w:sz w:val="16"/>
                <w:szCs w:val="16"/>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$(174)</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$(163)</w:t>
            </w:r>
          </w:p>
        </w:tc>
        <w:tc>
          <w:tcPr>
            <w:tcW w:w="4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Borders>
              <w:bottom w:val="single" w:sz="8" w:color="8C8272"/>
            </w:tcBorders>
          </w:tcPr>
          <w:p>
            <w:pPr>
              <w:ind w:left="360"/>
              <w:spacing w:after="0"/>
              <w:rPr>
                <w:sz w:val="20"/>
                <w:szCs w:val="20"/>
                <w:color w:val="auto"/>
              </w:rPr>
            </w:pPr>
            <w:r>
              <w:rPr>
                <w:rFonts w:ascii="Arial" w:cs="Arial" w:eastAsia="Arial" w:hAnsi="Arial"/>
                <w:sz w:val="14"/>
                <w:szCs w:val="14"/>
                <w:color w:val="auto"/>
              </w:rPr>
              <w:t>Noncurrent</w:t>
            </w:r>
          </w:p>
        </w:tc>
        <w:tc>
          <w:tcPr>
            <w:tcW w:w="166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(70)</w:t>
            </w:r>
          </w:p>
        </w:tc>
        <w:tc>
          <w:tcPr>
            <w:tcW w:w="9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16</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(54)</w:t>
            </w:r>
          </w:p>
        </w:tc>
        <w:tc>
          <w:tcPr>
            <w:tcW w:w="380" w:type="dxa"/>
            <w:vAlign w:val="bottom"/>
            <w:tcBorders>
              <w:bottom w:val="single" w:sz="8" w:color="8C8272"/>
            </w:tcBorders>
          </w:tcPr>
          <w:p>
            <w:pPr>
              <w:spacing w:after="0"/>
              <w:rPr>
                <w:sz w:val="16"/>
                <w:szCs w:val="16"/>
                <w:color w:val="auto"/>
              </w:rPr>
            </w:pPr>
          </w:p>
        </w:tc>
        <w:tc>
          <w:tcPr>
            <w:tcW w:w="156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color w:val="auto"/>
              </w:rPr>
              <w:t>(114)</w:t>
            </w:r>
          </w:p>
        </w:tc>
        <w:tc>
          <w:tcPr>
            <w:tcW w:w="8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9</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(105)</w:t>
            </w:r>
          </w:p>
        </w:tc>
        <w:tc>
          <w:tcPr>
            <w:tcW w:w="400" w:type="dxa"/>
            <w:vAlign w:val="bottom"/>
            <w:tcBorders>
              <w:bottom w:val="single" w:sz="8" w:color="8C8272"/>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8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Total fair value of derivative liabilities</w:t>
            </w:r>
          </w:p>
        </w:tc>
        <w:tc>
          <w:tcPr>
            <w:tcW w:w="166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$(229)</w:t>
            </w:r>
          </w:p>
        </w:tc>
        <w:tc>
          <w:tcPr>
            <w:tcW w:w="9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$46</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$(183)</w:t>
            </w:r>
          </w:p>
        </w:tc>
        <w:tc>
          <w:tcPr>
            <w:tcW w:w="380" w:type="dxa"/>
            <w:vAlign w:val="bottom"/>
            <w:tcBorders>
              <w:bottom w:val="single" w:sz="8" w:color="8C8272"/>
            </w:tcBorders>
            <w:shd w:val="clear" w:color="auto" w:fill="E5E5E5"/>
          </w:tcPr>
          <w:p>
            <w:pPr>
              <w:spacing w:after="0"/>
              <w:rPr>
                <w:sz w:val="15"/>
                <w:szCs w:val="15"/>
                <w:color w:val="auto"/>
              </w:rPr>
            </w:pPr>
          </w:p>
        </w:tc>
        <w:tc>
          <w:tcPr>
            <w:tcW w:w="156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$(288)</w:t>
            </w:r>
          </w:p>
        </w:tc>
        <w:tc>
          <w:tcPr>
            <w:tcW w:w="8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$20</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$(268)</w:t>
            </w:r>
          </w:p>
        </w:tc>
        <w:tc>
          <w:tcPr>
            <w:tcW w:w="400" w:type="dxa"/>
            <w:vAlign w:val="bottom"/>
            <w:tcBorders>
              <w:bottom w:val="single" w:sz="8" w:color="8C8272"/>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80" w:type="dxa"/>
            <w:vAlign w:val="bottom"/>
            <w:tcBorders>
              <w:bottom w:val="single" w:sz="8" w:color="8C8272"/>
            </w:tcBorders>
          </w:tcPr>
          <w:p>
            <w:pPr>
              <w:ind w:left="180"/>
              <w:spacing w:after="0"/>
              <w:rPr>
                <w:sz w:val="20"/>
                <w:szCs w:val="20"/>
                <w:color w:val="auto"/>
              </w:rPr>
            </w:pPr>
            <w:r>
              <w:rPr>
                <w:rFonts w:ascii="Arial" w:cs="Arial" w:eastAsia="Arial" w:hAnsi="Arial"/>
                <w:sz w:val="14"/>
                <w:szCs w:val="14"/>
                <w:color w:val="auto"/>
              </w:rPr>
              <w:t>Net fair value derivative assets/(liabilities)</w:t>
            </w:r>
          </w:p>
        </w:tc>
        <w:tc>
          <w:tcPr>
            <w:tcW w:w="166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$(25)</w:t>
            </w:r>
          </w:p>
        </w:tc>
        <w:tc>
          <w:tcPr>
            <w:tcW w:w="9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$(30)</w:t>
            </w:r>
          </w:p>
        </w:tc>
        <w:tc>
          <w:tcPr>
            <w:tcW w:w="380" w:type="dxa"/>
            <w:vAlign w:val="bottom"/>
            <w:tcBorders>
              <w:bottom w:val="single" w:sz="8" w:color="8C8272"/>
            </w:tcBorders>
          </w:tcPr>
          <w:p>
            <w:pPr>
              <w:spacing w:after="0"/>
              <w:rPr>
                <w:sz w:val="15"/>
                <w:szCs w:val="15"/>
                <w:color w:val="auto"/>
              </w:rPr>
            </w:pPr>
          </w:p>
        </w:tc>
        <w:tc>
          <w:tcPr>
            <w:tcW w:w="156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color w:val="auto"/>
              </w:rPr>
              <w:t>$(252)</w:t>
            </w:r>
          </w:p>
        </w:tc>
        <w:tc>
          <w:tcPr>
            <w:tcW w:w="8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$(252)</w:t>
            </w:r>
          </w:p>
        </w:tc>
        <w:tc>
          <w:tcPr>
            <w:tcW w:w="400" w:type="dxa"/>
            <w:vAlign w:val="bottom"/>
            <w:tcBorders>
              <w:bottom w:val="single" w:sz="8" w:color="8C8272"/>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-128270</wp:posOffset>
            </wp:positionV>
            <wp:extent cx="8890" cy="1714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-102235</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-85090</wp:posOffset>
            </wp:positionV>
            <wp:extent cx="889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-67945</wp:posOffset>
            </wp:positionV>
            <wp:extent cx="889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-50800</wp:posOffset>
            </wp:positionV>
            <wp:extent cx="889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-33655</wp:posOffset>
            </wp:positionV>
            <wp:extent cx="889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-16510</wp:posOffset>
            </wp:positionV>
            <wp:extent cx="889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-256540</wp:posOffset>
            </wp:positionV>
            <wp:extent cx="8890" cy="1714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-230505</wp:posOffset>
            </wp:positionV>
            <wp:extent cx="88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-213995</wp:posOffset>
            </wp:positionV>
            <wp:extent cx="88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-196215</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-179070</wp:posOffset>
            </wp:positionV>
            <wp:extent cx="889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-162560</wp:posOffset>
            </wp:positionV>
            <wp:extent cx="889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-144780</wp:posOffset>
            </wp:positionV>
            <wp:extent cx="889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-2785110</wp:posOffset>
            </wp:positionV>
            <wp:extent cx="8890" cy="252031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890" cy="2520315"/>
                    </a:xfrm>
                    <a:prstGeom prst="rect">
                      <a:avLst/>
                    </a:prstGeom>
                    <a:noFill/>
                  </pic:spPr>
                </pic:pic>
              </a:graphicData>
            </a:graphic>
          </wp:anchor>
        </w:drawing>
      </w:r>
    </w:p>
    <w:p>
      <w:pPr>
        <w:spacing w:after="0" w:line="66" w:lineRule="exact"/>
        <w:rPr>
          <w:sz w:val="20"/>
          <w:szCs w:val="20"/>
          <w:color w:val="auto"/>
        </w:rPr>
      </w:pPr>
    </w:p>
    <w:p>
      <w:pPr>
        <w:ind w:left="340" w:right="40" w:hanging="332"/>
        <w:spacing w:after="0" w:line="24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Derivative instruments and collateral were offset on the consolidated balance sheet as applicable under the accounting rules. The Companies enter into master agreements for their commodity derivatives. These agreements typically provide offset in the event of contract termination. In such case, generally the non-defaulting party’s payable will be offset by the defaulting party’s payable. The non-defaulting party will customarily notify the defaulting party within a specific time period and come to an agreement on the early termination amount.</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At June 30, 2021, immaterial amounts of margin deposits for Con Edison and CECONY were classified as derivative assets on the consolidated balance sheet, but not included in the table. At December 31, 2020, margin deposits for Con Edison and CECONY of $3 million were classified as derivative assets on the consolidated balance sheet, but not included in the table. Margin is collateral, typically cash, that the holder of a derivative instrument is required to deposit in order to transact on an exchange and to cover its potential losses with its broker or the exchange.</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amounts for interest rate swaps of $3 million in noncurrent assets, $(27) million in current liabilities and $(47) million in noncurrent liabilities. At June 30, 2021, the Clean Energy Businesses had interest rate swaps with notional amounts of $1,057 million. The expiration dates of the swaps range from 2025-2041. In June 2021, as part of the Clean Energy Businesses' sale of a renewable electric project, interest rate swaps terminating in 2024 were assumed by the buyer. At June 30, 2021, the notional value of the terminated swaps was $33 million.</w:t>
      </w:r>
    </w:p>
    <w:p>
      <w:pPr>
        <w:spacing w:after="0" w:line="1" w:lineRule="exact"/>
        <w:rPr>
          <w:rFonts w:ascii="Arial" w:cs="Arial" w:eastAsia="Arial" w:hAnsi="Arial"/>
          <w:sz w:val="14"/>
          <w:szCs w:val="14"/>
          <w:color w:val="auto"/>
        </w:rPr>
      </w:pPr>
    </w:p>
    <w:p>
      <w:pPr>
        <w:ind w:left="340" w:right="40" w:hanging="332"/>
        <w:spacing w:after="0" w:line="258"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amounts for interest rate swaps of $(24) million in current liabilities and $(82) million in noncurrent liabilities. At December 31, 2020, the Clean Energy Businesses had interest rate swaps with notional amounts of $863 million. The expiration dates of the swaps range from 2024-2041.</w:t>
      </w:r>
    </w:p>
    <w:p>
      <w:pPr>
        <w:spacing w:after="0" w:line="2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Utilities generally recover their prudently incurred fuel, purchased power and gas costs, including hedging gains and losses, in accordance with rate provisions approved by the applicable state utility regulators. In accordance with the accounting rules for regulated operations, the Utilities record a regulatory asset or regulatory liability to defer recognition of unrealized gains and losses on their electric and gas derivatives. As gains and losses are realized in future periods, they will be recognized as purchased power, gas and fuel costs in the Companies’ consolidated income statements.</w:t>
      </w:r>
    </w:p>
    <w:p>
      <w:pPr>
        <w:spacing w:after="0" w:line="2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Clean Energy Businesses record realized and unrealized gains and losses on their derivative contracts in gas purchased for resale and non-utility revenue in the reporting period in which they occur. The Clean Energy Businesses record changes in the fair value of their interest rate swaps in other interest expense at the end of each reporting period. Management believes that these derivative instruments represent economic hedges that mitigate exposure to fluctuations in commodity prices and interest rates.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44" w:name="page45"/>
    <w:bookmarkEnd w:id="44"/>
    <w:p>
      <w:pPr>
        <w:ind w:right="80"/>
        <w:spacing w:after="0" w:line="261" w:lineRule="auto"/>
        <w:rPr>
          <w:sz w:val="20"/>
          <w:szCs w:val="20"/>
          <w:color w:val="auto"/>
        </w:rPr>
      </w:pPr>
      <w:r>
        <w:rPr>
          <w:rFonts w:ascii="Arial" w:cs="Arial" w:eastAsia="Arial" w:hAnsi="Arial"/>
          <w:sz w:val="18"/>
          <w:szCs w:val="18"/>
          <w:color w:val="auto"/>
        </w:rPr>
        <w:t>The following table presents the realized and unrealized gains or losses on derivatives that have been deferred or recognized in earnings for the three and six months ended June 30, 2021 and 2020:</w:t>
      </w:r>
    </w:p>
    <w:p>
      <w:pPr>
        <w:spacing w:after="0" w:line="253"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For the Three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80" w:type="dxa"/>
            <w:vAlign w:val="bottom"/>
            <w:tcBorders>
              <w:top w:val="single" w:sz="8" w:color="8C8272"/>
              <w:bottom w:val="single" w:sz="8" w:color="8C8272"/>
            </w:tcBorders>
          </w:tcPr>
          <w:p>
            <w:pPr>
              <w:spacing w:after="0"/>
              <w:rPr>
                <w:sz w:val="15"/>
                <w:szCs w:val="15"/>
                <w:color w:val="auto"/>
              </w:rPr>
            </w:pPr>
          </w:p>
        </w:tc>
        <w:tc>
          <w:tcPr>
            <w:tcW w:w="3920" w:type="dxa"/>
            <w:vAlign w:val="bottom"/>
            <w:tcBorders>
              <w:top w:val="single" w:sz="8" w:color="8C8272"/>
              <w:bottom w:val="single" w:sz="8" w:color="8C8272"/>
            </w:tcBorders>
          </w:tcPr>
          <w:p>
            <w:pPr>
              <w:spacing w:after="0"/>
              <w:rPr>
                <w:sz w:val="15"/>
                <w:szCs w:val="15"/>
                <w:color w:val="auto"/>
              </w:rPr>
            </w:pPr>
          </w:p>
        </w:tc>
        <w:tc>
          <w:tcPr>
            <w:tcW w:w="2520" w:type="dxa"/>
            <w:vAlign w:val="bottom"/>
            <w:tcBorders>
              <w:top w:val="single" w:sz="8" w:color="8C8272"/>
              <w:bottom w:val="single" w:sz="8" w:color="8C8272"/>
            </w:tcBorders>
            <w:gridSpan w:val="3"/>
          </w:tcPr>
          <w:p>
            <w:pPr>
              <w:ind w:left="1020"/>
              <w:spacing w:after="0"/>
              <w:rPr>
                <w:sz w:val="20"/>
                <w:szCs w:val="20"/>
                <w:color w:val="auto"/>
              </w:rPr>
            </w:pPr>
            <w:r>
              <w:rPr>
                <w:rFonts w:ascii="Arial" w:cs="Arial" w:eastAsia="Arial" w:hAnsi="Arial"/>
                <w:sz w:val="14"/>
                <w:szCs w:val="14"/>
                <w:b w:val="1"/>
                <w:bCs w:val="1"/>
                <w:color w:val="auto"/>
              </w:rPr>
              <w:t>Con Edison</w:t>
            </w:r>
          </w:p>
        </w:tc>
        <w:tc>
          <w:tcPr>
            <w:tcW w:w="20" w:type="dxa"/>
            <w:vAlign w:val="bottom"/>
            <w:tcBorders>
              <w:top w:val="single" w:sz="8" w:color="8C8272"/>
              <w:bottom w:val="single" w:sz="8" w:color="8C8272"/>
            </w:tcBorders>
          </w:tcPr>
          <w:p>
            <w:pPr>
              <w:spacing w:after="0"/>
              <w:rPr>
                <w:sz w:val="15"/>
                <w:szCs w:val="15"/>
                <w:color w:val="auto"/>
              </w:rPr>
            </w:pPr>
          </w:p>
        </w:tc>
        <w:tc>
          <w:tcPr>
            <w:tcW w:w="1440" w:type="dxa"/>
            <w:vAlign w:val="bottom"/>
            <w:tcBorders>
              <w:top w:val="single" w:sz="8" w:color="8C8272"/>
              <w:bottom w:val="single" w:sz="8" w:color="8C8272"/>
            </w:tcBorders>
            <w:gridSpan w:val="2"/>
          </w:tcPr>
          <w:p>
            <w:pPr>
              <w:ind w:left="820"/>
              <w:spacing w:after="0"/>
              <w:rPr>
                <w:sz w:val="20"/>
                <w:szCs w:val="20"/>
                <w:color w:val="auto"/>
              </w:rPr>
            </w:pPr>
            <w:r>
              <w:rPr>
                <w:rFonts w:ascii="Arial" w:cs="Arial" w:eastAsia="Arial" w:hAnsi="Arial"/>
                <w:sz w:val="14"/>
                <w:szCs w:val="14"/>
                <w:b w:val="1"/>
                <w:bCs w:val="1"/>
                <w:color w:val="auto"/>
              </w:rPr>
              <w:t>CECONY</w:t>
            </w:r>
          </w:p>
        </w:tc>
        <w:tc>
          <w:tcPr>
            <w:tcW w:w="440" w:type="dxa"/>
            <w:vAlign w:val="bottom"/>
            <w:tcBorders>
              <w:top w:val="single" w:sz="8" w:color="8C8272"/>
              <w:bottom w:val="single" w:sz="8" w:color="8C8272"/>
            </w:tcBorders>
          </w:tcPr>
          <w:p>
            <w:pPr>
              <w:spacing w:after="0"/>
              <w:rPr>
                <w:sz w:val="15"/>
                <w:szCs w:val="15"/>
                <w:color w:val="auto"/>
              </w:rPr>
            </w:pPr>
          </w:p>
        </w:tc>
      </w:tr>
      <w:tr>
        <w:trPr>
          <w:trHeight w:val="183"/>
        </w:trPr>
        <w:tc>
          <w:tcPr>
            <w:tcW w:w="288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920" w:type="dxa"/>
            <w:vAlign w:val="bottom"/>
            <w:tcBorders>
              <w:bottom w:val="single" w:sz="8" w:color="8C8272"/>
            </w:tcBorders>
          </w:tcPr>
          <w:p>
            <w:pPr>
              <w:ind w:left="60"/>
              <w:spacing w:after="0"/>
              <w:rPr>
                <w:sz w:val="20"/>
                <w:szCs w:val="20"/>
                <w:color w:val="auto"/>
              </w:rPr>
            </w:pPr>
            <w:r>
              <w:rPr>
                <w:rFonts w:ascii="Arial" w:cs="Arial" w:eastAsia="Arial" w:hAnsi="Arial"/>
                <w:sz w:val="14"/>
                <w:szCs w:val="14"/>
                <w:b w:val="1"/>
                <w:bCs w:val="1"/>
                <w:color w:val="auto"/>
              </w:rPr>
              <w:t>Balance Sheet Location</w:t>
            </w:r>
          </w:p>
        </w:tc>
        <w:tc>
          <w:tcPr>
            <w:tcW w:w="12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8C8272"/>
            </w:tcBorders>
          </w:tcPr>
          <w:p>
            <w:pPr>
              <w:spacing w:after="0"/>
              <w:rPr>
                <w:sz w:val="15"/>
                <w:szCs w:val="15"/>
                <w:color w:val="auto"/>
              </w:rPr>
            </w:pPr>
          </w:p>
        </w:tc>
        <w:tc>
          <w:tcPr>
            <w:tcW w:w="940" w:type="dxa"/>
            <w:vAlign w:val="bottom"/>
            <w:tcBorders>
              <w:bottom w:val="single" w:sz="8" w:color="8C8272"/>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8C8272"/>
            </w:tcBorders>
          </w:tcPr>
          <w:p>
            <w:pPr>
              <w:spacing w:after="0"/>
              <w:rPr>
                <w:sz w:val="15"/>
                <w:szCs w:val="15"/>
                <w:color w:val="auto"/>
              </w:rPr>
            </w:pPr>
          </w:p>
        </w:tc>
        <w:tc>
          <w:tcPr>
            <w:tcW w:w="4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68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Pre-tax gains/(losses) deferred in accordance with accounting rules for regulated operations:</w:t>
            </w:r>
          </w:p>
        </w:tc>
        <w:tc>
          <w:tcPr>
            <w:tcW w:w="122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r>
      <w:tr>
        <w:trPr>
          <w:trHeight w:val="189"/>
        </w:trPr>
        <w:tc>
          <w:tcPr>
            <w:tcW w:w="2880" w:type="dxa"/>
            <w:vAlign w:val="bottom"/>
          </w:tcPr>
          <w:p>
            <w:pPr>
              <w:ind w:left="140"/>
              <w:spacing w:after="0"/>
              <w:rPr>
                <w:sz w:val="20"/>
                <w:szCs w:val="20"/>
                <w:color w:val="auto"/>
              </w:rPr>
            </w:pPr>
            <w:r>
              <w:rPr>
                <w:rFonts w:ascii="Arial" w:cs="Arial" w:eastAsia="Arial" w:hAnsi="Arial"/>
                <w:sz w:val="14"/>
                <w:szCs w:val="14"/>
                <w:color w:val="auto"/>
              </w:rPr>
              <w:t>Current</w:t>
            </w:r>
          </w:p>
        </w:tc>
        <w:tc>
          <w:tcPr>
            <w:tcW w:w="3920" w:type="dxa"/>
            <w:vAlign w:val="bottom"/>
          </w:tcPr>
          <w:p>
            <w:pPr>
              <w:ind w:left="60"/>
              <w:spacing w:after="0"/>
              <w:rPr>
                <w:sz w:val="20"/>
                <w:szCs w:val="20"/>
                <w:color w:val="auto"/>
              </w:rPr>
            </w:pPr>
            <w:r>
              <w:rPr>
                <w:rFonts w:ascii="Arial" w:cs="Arial" w:eastAsia="Arial" w:hAnsi="Arial"/>
                <w:sz w:val="14"/>
                <w:szCs w:val="14"/>
                <w:color w:val="auto"/>
              </w:rPr>
              <w:t>Deferred derivative gains</w:t>
            </w:r>
          </w:p>
        </w:tc>
        <w:tc>
          <w:tcPr>
            <w:tcW w:w="1220" w:type="dxa"/>
            <w:vAlign w:val="bottom"/>
          </w:tcPr>
          <w:p>
            <w:pPr>
              <w:jc w:val="right"/>
              <w:spacing w:after="0"/>
              <w:rPr>
                <w:sz w:val="20"/>
                <w:szCs w:val="20"/>
                <w:color w:val="auto"/>
              </w:rPr>
            </w:pPr>
            <w:r>
              <w:rPr>
                <w:rFonts w:ascii="Arial" w:cs="Arial" w:eastAsia="Arial" w:hAnsi="Arial"/>
                <w:sz w:val="14"/>
                <w:szCs w:val="14"/>
                <w:color w:val="auto"/>
              </w:rPr>
              <w:t>$128</w:t>
            </w: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$119</w:t>
            </w:r>
          </w:p>
        </w:tc>
        <w:tc>
          <w:tcPr>
            <w:tcW w:w="5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288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Noncurrent</w:t>
            </w:r>
          </w:p>
        </w:tc>
        <w:tc>
          <w:tcPr>
            <w:tcW w:w="3920" w:type="dxa"/>
            <w:vAlign w:val="bottom"/>
            <w:tcBorders>
              <w:bottom w:val="single" w:sz="8" w:color="8C8272"/>
            </w:tcBorders>
            <w:shd w:val="clear" w:color="auto" w:fill="E5E5E5"/>
          </w:tcPr>
          <w:p>
            <w:pPr>
              <w:ind w:left="60"/>
              <w:spacing w:after="0"/>
              <w:rPr>
                <w:sz w:val="20"/>
                <w:szCs w:val="20"/>
                <w:color w:val="auto"/>
              </w:rPr>
            </w:pPr>
            <w:r>
              <w:rPr>
                <w:rFonts w:ascii="Arial" w:cs="Arial" w:eastAsia="Arial" w:hAnsi="Arial"/>
                <w:sz w:val="14"/>
                <w:szCs w:val="14"/>
                <w:color w:val="auto"/>
              </w:rPr>
              <w:t>Deferred derivative gains</w:t>
            </w:r>
          </w:p>
        </w:tc>
        <w:tc>
          <w:tcPr>
            <w:tcW w:w="12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38</w:t>
            </w:r>
          </w:p>
        </w:tc>
        <w:tc>
          <w:tcPr>
            <w:tcW w:w="9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340" w:type="dxa"/>
            <w:vAlign w:val="bottom"/>
            <w:tcBorders>
              <w:bottom w:val="single" w:sz="8" w:color="8C8272"/>
            </w:tcBorders>
            <w:shd w:val="clear" w:color="auto" w:fill="E5E5E5"/>
          </w:tcPr>
          <w:p>
            <w:pPr>
              <w:spacing w:after="0"/>
              <w:rPr>
                <w:sz w:val="16"/>
                <w:szCs w:val="16"/>
                <w:color w:val="auto"/>
              </w:rPr>
            </w:pPr>
          </w:p>
        </w:tc>
        <w:tc>
          <w:tcPr>
            <w:tcW w:w="940" w:type="dxa"/>
            <w:vAlign w:val="bottom"/>
            <w:tcBorders>
              <w:bottom w:val="single" w:sz="8" w:color="8C8272"/>
            </w:tcBorders>
            <w:gridSpan w:val="2"/>
            <w:shd w:val="clear" w:color="auto" w:fill="E5E5E5"/>
          </w:tcPr>
          <w:p>
            <w:pPr>
              <w:jc w:val="right"/>
              <w:spacing w:after="0"/>
              <w:rPr>
                <w:sz w:val="20"/>
                <w:szCs w:val="20"/>
                <w:color w:val="auto"/>
              </w:rPr>
            </w:pPr>
            <w:r>
              <w:rPr>
                <w:rFonts w:ascii="Arial" w:cs="Arial" w:eastAsia="Arial" w:hAnsi="Arial"/>
                <w:sz w:val="14"/>
                <w:szCs w:val="14"/>
                <w:color w:val="auto"/>
              </w:rPr>
              <w:t>34</w:t>
            </w:r>
          </w:p>
        </w:tc>
        <w:tc>
          <w:tcPr>
            <w:tcW w:w="520" w:type="dxa"/>
            <w:vAlign w:val="bottom"/>
            <w:tcBorders>
              <w:bottom w:val="single" w:sz="8" w:color="8C8272"/>
            </w:tcBorders>
            <w:shd w:val="clear" w:color="auto" w:fill="E5E5E5"/>
          </w:tcPr>
          <w:p>
            <w:pPr>
              <w:spacing w:after="0"/>
              <w:rPr>
                <w:sz w:val="16"/>
                <w:szCs w:val="16"/>
                <w:color w:val="auto"/>
              </w:rPr>
            </w:pPr>
          </w:p>
        </w:tc>
        <w:tc>
          <w:tcPr>
            <w:tcW w:w="4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(6)</w:t>
            </w:r>
          </w:p>
        </w:tc>
      </w:tr>
      <w:tr>
        <w:trPr>
          <w:trHeight w:val="183"/>
        </w:trPr>
        <w:tc>
          <w:tcPr>
            <w:tcW w:w="2880" w:type="dxa"/>
            <w:vAlign w:val="bottom"/>
            <w:tcBorders>
              <w:bottom w:val="single" w:sz="8" w:color="8C8272"/>
            </w:tcBorders>
          </w:tcPr>
          <w:p>
            <w:pPr>
              <w:ind w:left="220"/>
              <w:spacing w:after="0"/>
              <w:rPr>
                <w:sz w:val="20"/>
                <w:szCs w:val="20"/>
                <w:color w:val="auto"/>
              </w:rPr>
            </w:pPr>
            <w:r>
              <w:rPr>
                <w:rFonts w:ascii="Arial" w:cs="Arial" w:eastAsia="Arial" w:hAnsi="Arial"/>
                <w:sz w:val="14"/>
                <w:szCs w:val="14"/>
                <w:color w:val="auto"/>
              </w:rPr>
              <w:t>Total deferred gains/(losses)</w:t>
            </w:r>
          </w:p>
        </w:tc>
        <w:tc>
          <w:tcPr>
            <w:tcW w:w="3920" w:type="dxa"/>
            <w:vAlign w:val="bottom"/>
            <w:tcBorders>
              <w:bottom w:val="single" w:sz="8" w:color="8C8272"/>
            </w:tcBorders>
          </w:tcPr>
          <w:p>
            <w:pPr>
              <w:spacing w:after="0"/>
              <w:rPr>
                <w:sz w:val="15"/>
                <w:szCs w:val="15"/>
                <w:color w:val="auto"/>
              </w:rPr>
            </w:pPr>
          </w:p>
        </w:tc>
        <w:tc>
          <w:tcPr>
            <w:tcW w:w="12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$166</w:t>
            </w:r>
          </w:p>
        </w:tc>
        <w:tc>
          <w:tcPr>
            <w:tcW w:w="9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$(8)</w:t>
            </w:r>
          </w:p>
        </w:tc>
        <w:tc>
          <w:tcPr>
            <w:tcW w:w="340" w:type="dxa"/>
            <w:vAlign w:val="bottom"/>
            <w:tcBorders>
              <w:bottom w:val="single" w:sz="8" w:color="8C8272"/>
            </w:tcBorders>
          </w:tcPr>
          <w:p>
            <w:pPr>
              <w:spacing w:after="0"/>
              <w:rPr>
                <w:sz w:val="15"/>
                <w:szCs w:val="15"/>
                <w:color w:val="auto"/>
              </w:rPr>
            </w:pPr>
          </w:p>
        </w:tc>
        <w:tc>
          <w:tcPr>
            <w:tcW w:w="940" w:type="dxa"/>
            <w:vAlign w:val="bottom"/>
            <w:tcBorders>
              <w:bottom w:val="single" w:sz="8" w:color="8C8272"/>
            </w:tcBorders>
            <w:gridSpan w:val="2"/>
          </w:tcPr>
          <w:p>
            <w:pPr>
              <w:jc w:val="right"/>
              <w:spacing w:after="0"/>
              <w:rPr>
                <w:sz w:val="20"/>
                <w:szCs w:val="20"/>
                <w:color w:val="auto"/>
              </w:rPr>
            </w:pPr>
            <w:r>
              <w:rPr>
                <w:rFonts w:ascii="Arial" w:cs="Arial" w:eastAsia="Arial" w:hAnsi="Arial"/>
                <w:sz w:val="14"/>
                <w:szCs w:val="14"/>
                <w:color w:val="auto"/>
              </w:rPr>
              <w:t>$153</w:t>
            </w:r>
          </w:p>
        </w:tc>
        <w:tc>
          <w:tcPr>
            <w:tcW w:w="520" w:type="dxa"/>
            <w:vAlign w:val="bottom"/>
            <w:tcBorders>
              <w:bottom w:val="single" w:sz="8" w:color="8C8272"/>
            </w:tcBorders>
          </w:tcPr>
          <w:p>
            <w:pPr>
              <w:spacing w:after="0"/>
              <w:rPr>
                <w:sz w:val="15"/>
                <w:szCs w:val="15"/>
                <w:color w:val="auto"/>
              </w:rPr>
            </w:pPr>
          </w:p>
        </w:tc>
        <w:tc>
          <w:tcPr>
            <w:tcW w:w="4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$(8)</w:t>
            </w:r>
          </w:p>
        </w:tc>
      </w:tr>
      <w:tr>
        <w:trPr>
          <w:trHeight w:val="183"/>
        </w:trPr>
        <w:tc>
          <w:tcPr>
            <w:tcW w:w="2880" w:type="dxa"/>
            <w:vAlign w:val="bottom"/>
            <w:shd w:val="clear" w:color="auto" w:fill="E5E5E5"/>
          </w:tcPr>
          <w:p>
            <w:pPr>
              <w:ind w:left="140"/>
              <w:spacing w:after="0"/>
              <w:rPr>
                <w:sz w:val="20"/>
                <w:szCs w:val="20"/>
                <w:color w:val="auto"/>
              </w:rPr>
            </w:pPr>
            <w:r>
              <w:rPr>
                <w:rFonts w:ascii="Arial" w:cs="Arial" w:eastAsia="Arial" w:hAnsi="Arial"/>
                <w:sz w:val="14"/>
                <w:szCs w:val="14"/>
                <w:color w:val="auto"/>
              </w:rPr>
              <w:t>Current</w:t>
            </w:r>
          </w:p>
        </w:tc>
        <w:tc>
          <w:tcPr>
            <w:tcW w:w="3920" w:type="dxa"/>
            <w:vAlign w:val="bottom"/>
            <w:shd w:val="clear" w:color="auto" w:fill="E5E5E5"/>
          </w:tcPr>
          <w:p>
            <w:pPr>
              <w:ind w:left="60"/>
              <w:spacing w:after="0"/>
              <w:rPr>
                <w:sz w:val="20"/>
                <w:szCs w:val="20"/>
                <w:color w:val="auto"/>
              </w:rPr>
            </w:pPr>
            <w:r>
              <w:rPr>
                <w:rFonts w:ascii="Arial" w:cs="Arial" w:eastAsia="Arial" w:hAnsi="Arial"/>
                <w:sz w:val="14"/>
                <w:szCs w:val="14"/>
                <w:color w:val="auto"/>
              </w:rPr>
              <w:t>Deferred derivative losses</w:t>
            </w: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w:t>
            </w:r>
          </w:p>
        </w:tc>
        <w:tc>
          <w:tcPr>
            <w:tcW w:w="340" w:type="dxa"/>
            <w:vAlign w:val="bottom"/>
            <w:shd w:val="clear" w:color="auto" w:fill="E5E5E5"/>
          </w:tcPr>
          <w:p>
            <w:pPr>
              <w:spacing w:after="0"/>
              <w:rPr>
                <w:sz w:val="15"/>
                <w:szCs w:val="15"/>
                <w:color w:val="auto"/>
              </w:rPr>
            </w:pPr>
          </w:p>
        </w:tc>
        <w:tc>
          <w:tcPr>
            <w:tcW w:w="9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$22</w:t>
            </w:r>
          </w:p>
        </w:tc>
        <w:tc>
          <w:tcPr>
            <w:tcW w:w="520" w:type="dxa"/>
            <w:vAlign w:val="bottom"/>
            <w:shd w:val="clear" w:color="auto" w:fill="E5E5E5"/>
          </w:tcPr>
          <w:p>
            <w:pPr>
              <w:spacing w:after="0"/>
              <w:rPr>
                <w:sz w:val="15"/>
                <w:szCs w:val="15"/>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w:t>
            </w:r>
          </w:p>
        </w:tc>
      </w:tr>
      <w:tr>
        <w:trPr>
          <w:trHeight w:val="189"/>
        </w:trPr>
        <w:tc>
          <w:tcPr>
            <w:tcW w:w="2880" w:type="dxa"/>
            <w:vAlign w:val="bottom"/>
          </w:tcPr>
          <w:p>
            <w:pPr>
              <w:ind w:left="140"/>
              <w:spacing w:after="0"/>
              <w:rPr>
                <w:sz w:val="20"/>
                <w:szCs w:val="20"/>
                <w:color w:val="auto"/>
              </w:rPr>
            </w:pPr>
            <w:r>
              <w:rPr>
                <w:rFonts w:ascii="Arial" w:cs="Arial" w:eastAsia="Arial" w:hAnsi="Arial"/>
                <w:sz w:val="14"/>
                <w:szCs w:val="14"/>
                <w:color w:val="auto"/>
              </w:rPr>
              <w:t>Current</w:t>
            </w:r>
          </w:p>
        </w:tc>
        <w:tc>
          <w:tcPr>
            <w:tcW w:w="3920" w:type="dxa"/>
            <w:vAlign w:val="bottom"/>
          </w:tcPr>
          <w:p>
            <w:pPr>
              <w:ind w:left="60"/>
              <w:spacing w:after="0"/>
              <w:rPr>
                <w:sz w:val="20"/>
                <w:szCs w:val="20"/>
                <w:color w:val="auto"/>
              </w:rPr>
            </w:pPr>
            <w:r>
              <w:rPr>
                <w:rFonts w:ascii="Arial" w:cs="Arial" w:eastAsia="Arial" w:hAnsi="Arial"/>
                <w:sz w:val="14"/>
                <w:szCs w:val="14"/>
                <w:color w:val="auto"/>
              </w:rPr>
              <w:t>Recoverable energy costs</w:t>
            </w:r>
          </w:p>
        </w:tc>
        <w:tc>
          <w:tcPr>
            <w:tcW w:w="1220" w:type="dxa"/>
            <w:vAlign w:val="bottom"/>
          </w:tcPr>
          <w:p>
            <w:pPr>
              <w:jc w:val="right"/>
              <w:spacing w:after="0"/>
              <w:rPr>
                <w:sz w:val="20"/>
                <w:szCs w:val="20"/>
                <w:color w:val="auto"/>
              </w:rPr>
            </w:pPr>
            <w:r>
              <w:rPr>
                <w:rFonts w:ascii="Arial" w:cs="Arial" w:eastAsia="Arial" w:hAnsi="Arial"/>
                <w:sz w:val="14"/>
                <w:szCs w:val="14"/>
                <w:color w:val="auto"/>
              </w:rPr>
              <w:t>(47)</w:t>
            </w:r>
          </w:p>
        </w:tc>
        <w:tc>
          <w:tcPr>
            <w:tcW w:w="960" w:type="dxa"/>
            <w:vAlign w:val="bottom"/>
          </w:tcPr>
          <w:p>
            <w:pPr>
              <w:jc w:val="right"/>
              <w:spacing w:after="0"/>
              <w:rPr>
                <w:sz w:val="20"/>
                <w:szCs w:val="20"/>
                <w:color w:val="auto"/>
              </w:rPr>
            </w:pPr>
            <w:r>
              <w:rPr>
                <w:rFonts w:ascii="Arial" w:cs="Arial" w:eastAsia="Arial" w:hAnsi="Arial"/>
                <w:sz w:val="14"/>
                <w:szCs w:val="14"/>
                <w:color w:val="auto"/>
              </w:rPr>
              <w:t>(45)</w:t>
            </w:r>
          </w:p>
        </w:tc>
        <w:tc>
          <w:tcPr>
            <w:tcW w:w="3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(45)</w:t>
            </w:r>
          </w:p>
        </w:tc>
        <w:tc>
          <w:tcPr>
            <w:tcW w:w="5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89"/>
        </w:trPr>
        <w:tc>
          <w:tcPr>
            <w:tcW w:w="288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Noncurrent</w:t>
            </w:r>
          </w:p>
        </w:tc>
        <w:tc>
          <w:tcPr>
            <w:tcW w:w="3920" w:type="dxa"/>
            <w:vAlign w:val="bottom"/>
            <w:tcBorders>
              <w:bottom w:val="single" w:sz="8" w:color="8C8272"/>
            </w:tcBorders>
            <w:shd w:val="clear" w:color="auto" w:fill="E5E5E5"/>
          </w:tcPr>
          <w:p>
            <w:pPr>
              <w:ind w:left="60"/>
              <w:spacing w:after="0"/>
              <w:rPr>
                <w:sz w:val="20"/>
                <w:szCs w:val="20"/>
                <w:color w:val="auto"/>
              </w:rPr>
            </w:pPr>
            <w:r>
              <w:rPr>
                <w:rFonts w:ascii="Arial" w:cs="Arial" w:eastAsia="Arial" w:hAnsi="Arial"/>
                <w:sz w:val="14"/>
                <w:szCs w:val="14"/>
                <w:color w:val="auto"/>
              </w:rPr>
              <w:t>Deferred derivative losses</w:t>
            </w:r>
          </w:p>
        </w:tc>
        <w:tc>
          <w:tcPr>
            <w:tcW w:w="12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23</w:t>
            </w:r>
          </w:p>
        </w:tc>
        <w:tc>
          <w:tcPr>
            <w:tcW w:w="9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(13)</w:t>
            </w:r>
          </w:p>
        </w:tc>
        <w:tc>
          <w:tcPr>
            <w:tcW w:w="340" w:type="dxa"/>
            <w:vAlign w:val="bottom"/>
            <w:tcBorders>
              <w:bottom w:val="single" w:sz="8" w:color="8C8272"/>
            </w:tcBorders>
            <w:shd w:val="clear" w:color="auto" w:fill="E5E5E5"/>
          </w:tcPr>
          <w:p>
            <w:pPr>
              <w:spacing w:after="0"/>
              <w:rPr>
                <w:sz w:val="16"/>
                <w:szCs w:val="16"/>
                <w:color w:val="auto"/>
              </w:rPr>
            </w:pPr>
          </w:p>
        </w:tc>
        <w:tc>
          <w:tcPr>
            <w:tcW w:w="940" w:type="dxa"/>
            <w:vAlign w:val="bottom"/>
            <w:tcBorders>
              <w:bottom w:val="single" w:sz="8" w:color="8C8272"/>
            </w:tcBorders>
            <w:gridSpan w:val="2"/>
            <w:shd w:val="clear" w:color="auto" w:fill="E5E5E5"/>
          </w:tcPr>
          <w:p>
            <w:pPr>
              <w:jc w:val="right"/>
              <w:spacing w:after="0"/>
              <w:rPr>
                <w:sz w:val="20"/>
                <w:szCs w:val="20"/>
                <w:color w:val="auto"/>
              </w:rPr>
            </w:pPr>
            <w:r>
              <w:rPr>
                <w:rFonts w:ascii="Arial" w:cs="Arial" w:eastAsia="Arial" w:hAnsi="Arial"/>
                <w:sz w:val="14"/>
                <w:szCs w:val="14"/>
                <w:color w:val="auto"/>
              </w:rPr>
              <w:t>22</w:t>
            </w:r>
          </w:p>
        </w:tc>
        <w:tc>
          <w:tcPr>
            <w:tcW w:w="520" w:type="dxa"/>
            <w:vAlign w:val="bottom"/>
            <w:tcBorders>
              <w:bottom w:val="single" w:sz="8" w:color="8C8272"/>
            </w:tcBorders>
            <w:shd w:val="clear" w:color="auto" w:fill="E5E5E5"/>
          </w:tcPr>
          <w:p>
            <w:pPr>
              <w:spacing w:after="0"/>
              <w:rPr>
                <w:sz w:val="16"/>
                <w:szCs w:val="16"/>
                <w:color w:val="auto"/>
              </w:rPr>
            </w:pPr>
          </w:p>
        </w:tc>
        <w:tc>
          <w:tcPr>
            <w:tcW w:w="4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(15)</w:t>
            </w:r>
          </w:p>
        </w:tc>
      </w:tr>
      <w:tr>
        <w:trPr>
          <w:trHeight w:val="183"/>
        </w:trPr>
        <w:tc>
          <w:tcPr>
            <w:tcW w:w="2880" w:type="dxa"/>
            <w:vAlign w:val="bottom"/>
            <w:tcBorders>
              <w:bottom w:val="single" w:sz="8" w:color="8C8272"/>
            </w:tcBorders>
          </w:tcPr>
          <w:p>
            <w:pPr>
              <w:ind w:left="220"/>
              <w:spacing w:after="0"/>
              <w:rPr>
                <w:sz w:val="20"/>
                <w:szCs w:val="20"/>
                <w:color w:val="auto"/>
              </w:rPr>
            </w:pPr>
            <w:r>
              <w:rPr>
                <w:rFonts w:ascii="Arial" w:cs="Arial" w:eastAsia="Arial" w:hAnsi="Arial"/>
                <w:sz w:val="14"/>
                <w:szCs w:val="14"/>
                <w:color w:val="auto"/>
              </w:rPr>
              <w:t>Total deferred gains/(losses)</w:t>
            </w:r>
          </w:p>
        </w:tc>
        <w:tc>
          <w:tcPr>
            <w:tcW w:w="3920" w:type="dxa"/>
            <w:vAlign w:val="bottom"/>
            <w:tcBorders>
              <w:bottom w:val="single" w:sz="8" w:color="8C8272"/>
            </w:tcBorders>
          </w:tcPr>
          <w:p>
            <w:pPr>
              <w:spacing w:after="0"/>
              <w:rPr>
                <w:sz w:val="15"/>
                <w:szCs w:val="15"/>
                <w:color w:val="auto"/>
              </w:rPr>
            </w:pPr>
          </w:p>
        </w:tc>
        <w:tc>
          <w:tcPr>
            <w:tcW w:w="12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$(22)</w:t>
            </w:r>
          </w:p>
        </w:tc>
        <w:tc>
          <w:tcPr>
            <w:tcW w:w="340" w:type="dxa"/>
            <w:vAlign w:val="bottom"/>
            <w:tcBorders>
              <w:bottom w:val="single" w:sz="8" w:color="8C8272"/>
            </w:tcBorders>
          </w:tcPr>
          <w:p>
            <w:pPr>
              <w:spacing w:after="0"/>
              <w:rPr>
                <w:sz w:val="15"/>
                <w:szCs w:val="15"/>
                <w:color w:val="auto"/>
              </w:rPr>
            </w:pPr>
          </w:p>
        </w:tc>
        <w:tc>
          <w:tcPr>
            <w:tcW w:w="940" w:type="dxa"/>
            <w:vAlign w:val="bottom"/>
            <w:tcBorders>
              <w:bottom w:val="single" w:sz="8" w:color="8C8272"/>
            </w:tcBorders>
            <w:gridSpan w:val="2"/>
          </w:tcPr>
          <w:p>
            <w:pPr>
              <w:jc w:val="right"/>
              <w:spacing w:after="0"/>
              <w:rPr>
                <w:sz w:val="20"/>
                <w:szCs w:val="20"/>
                <w:color w:val="auto"/>
              </w:rPr>
            </w:pPr>
            <w:r>
              <w:rPr>
                <w:rFonts w:ascii="Arial" w:cs="Arial" w:eastAsia="Arial" w:hAnsi="Arial"/>
                <w:sz w:val="14"/>
                <w:szCs w:val="14"/>
                <w:color w:val="auto"/>
              </w:rPr>
              <w:t>$(1)</w:t>
            </w:r>
          </w:p>
        </w:tc>
        <w:tc>
          <w:tcPr>
            <w:tcW w:w="520" w:type="dxa"/>
            <w:vAlign w:val="bottom"/>
            <w:tcBorders>
              <w:bottom w:val="single" w:sz="8" w:color="8C8272"/>
            </w:tcBorders>
          </w:tcPr>
          <w:p>
            <w:pPr>
              <w:spacing w:after="0"/>
              <w:rPr>
                <w:sz w:val="15"/>
                <w:szCs w:val="15"/>
                <w:color w:val="auto"/>
              </w:rPr>
            </w:pPr>
          </w:p>
        </w:tc>
        <w:tc>
          <w:tcPr>
            <w:tcW w:w="4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$(23)</w:t>
            </w:r>
          </w:p>
        </w:tc>
      </w:tr>
      <w:tr>
        <w:trPr>
          <w:trHeight w:val="183"/>
        </w:trPr>
        <w:tc>
          <w:tcPr>
            <w:tcW w:w="2880" w:type="dxa"/>
            <w:vAlign w:val="bottom"/>
            <w:tcBorders>
              <w:bottom w:val="single" w:sz="8" w:color="8C8272"/>
            </w:tcBorders>
            <w:shd w:val="clear" w:color="auto" w:fill="E5E5E5"/>
          </w:tcPr>
          <w:p>
            <w:pPr>
              <w:ind w:left="360"/>
              <w:spacing w:after="0"/>
              <w:rPr>
                <w:sz w:val="20"/>
                <w:szCs w:val="20"/>
                <w:color w:val="auto"/>
              </w:rPr>
            </w:pPr>
            <w:r>
              <w:rPr>
                <w:rFonts w:ascii="Arial" w:cs="Arial" w:eastAsia="Arial" w:hAnsi="Arial"/>
                <w:sz w:val="14"/>
                <w:szCs w:val="14"/>
                <w:color w:val="auto"/>
              </w:rPr>
              <w:t>Net deferred gains/(losses)</w:t>
            </w:r>
          </w:p>
        </w:tc>
        <w:tc>
          <w:tcPr>
            <w:tcW w:w="3920" w:type="dxa"/>
            <w:vAlign w:val="bottom"/>
            <w:tcBorders>
              <w:bottom w:val="single" w:sz="8" w:color="8C8272"/>
            </w:tcBorders>
            <w:shd w:val="clear" w:color="auto" w:fill="E5E5E5"/>
          </w:tcPr>
          <w:p>
            <w:pPr>
              <w:spacing w:after="0"/>
              <w:rPr>
                <w:sz w:val="15"/>
                <w:szCs w:val="15"/>
                <w:color w:val="auto"/>
              </w:rPr>
            </w:pPr>
          </w:p>
        </w:tc>
        <w:tc>
          <w:tcPr>
            <w:tcW w:w="12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$166</w:t>
            </w:r>
          </w:p>
        </w:tc>
        <w:tc>
          <w:tcPr>
            <w:tcW w:w="9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$(30)</w:t>
            </w:r>
          </w:p>
        </w:tc>
        <w:tc>
          <w:tcPr>
            <w:tcW w:w="340" w:type="dxa"/>
            <w:vAlign w:val="bottom"/>
            <w:tcBorders>
              <w:bottom w:val="single" w:sz="8" w:color="8C8272"/>
            </w:tcBorders>
            <w:shd w:val="clear" w:color="auto" w:fill="E5E5E5"/>
          </w:tcPr>
          <w:p>
            <w:pPr>
              <w:spacing w:after="0"/>
              <w:rPr>
                <w:sz w:val="15"/>
                <w:szCs w:val="15"/>
                <w:color w:val="auto"/>
              </w:rPr>
            </w:pPr>
          </w:p>
        </w:tc>
        <w:tc>
          <w:tcPr>
            <w:tcW w:w="940" w:type="dxa"/>
            <w:vAlign w:val="bottom"/>
            <w:tcBorders>
              <w:bottom w:val="single" w:sz="8" w:color="8C8272"/>
            </w:tcBorders>
            <w:gridSpan w:val="2"/>
            <w:shd w:val="clear" w:color="auto" w:fill="E5E5E5"/>
          </w:tcPr>
          <w:p>
            <w:pPr>
              <w:jc w:val="right"/>
              <w:spacing w:after="0"/>
              <w:rPr>
                <w:sz w:val="20"/>
                <w:szCs w:val="20"/>
                <w:color w:val="auto"/>
              </w:rPr>
            </w:pPr>
            <w:r>
              <w:rPr>
                <w:rFonts w:ascii="Arial" w:cs="Arial" w:eastAsia="Arial" w:hAnsi="Arial"/>
                <w:sz w:val="14"/>
                <w:szCs w:val="14"/>
                <w:color w:val="auto"/>
              </w:rPr>
              <w:t>$152</w:t>
            </w:r>
          </w:p>
        </w:tc>
        <w:tc>
          <w:tcPr>
            <w:tcW w:w="520" w:type="dxa"/>
            <w:vAlign w:val="bottom"/>
            <w:tcBorders>
              <w:bottom w:val="single" w:sz="8" w:color="8C8272"/>
            </w:tcBorders>
            <w:shd w:val="clear" w:color="auto" w:fill="E5E5E5"/>
          </w:tcPr>
          <w:p>
            <w:pPr>
              <w:spacing w:after="0"/>
              <w:rPr>
                <w:sz w:val="15"/>
                <w:szCs w:val="15"/>
                <w:color w:val="auto"/>
              </w:rPr>
            </w:pPr>
          </w:p>
        </w:tc>
        <w:tc>
          <w:tcPr>
            <w:tcW w:w="4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$(31)</w:t>
            </w:r>
          </w:p>
        </w:tc>
      </w:tr>
      <w:tr>
        <w:trPr>
          <w:trHeight w:val="183"/>
        </w:trPr>
        <w:tc>
          <w:tcPr>
            <w:tcW w:w="2880" w:type="dxa"/>
            <w:vAlign w:val="bottom"/>
            <w:tcBorders>
              <w:bottom w:val="single" w:sz="8" w:color="8C8272"/>
            </w:tcBorders>
          </w:tcPr>
          <w:p>
            <w:pPr>
              <w:spacing w:after="0"/>
              <w:rPr>
                <w:sz w:val="15"/>
                <w:szCs w:val="15"/>
                <w:color w:val="auto"/>
              </w:rPr>
            </w:pPr>
          </w:p>
        </w:tc>
        <w:tc>
          <w:tcPr>
            <w:tcW w:w="3920" w:type="dxa"/>
            <w:vAlign w:val="bottom"/>
            <w:tcBorders>
              <w:bottom w:val="single" w:sz="8" w:color="8C8272"/>
            </w:tcBorders>
          </w:tcPr>
          <w:p>
            <w:pPr>
              <w:ind w:left="60"/>
              <w:spacing w:after="0"/>
              <w:rPr>
                <w:sz w:val="20"/>
                <w:szCs w:val="20"/>
                <w:color w:val="auto"/>
              </w:rPr>
            </w:pPr>
            <w:r>
              <w:rPr>
                <w:rFonts w:ascii="Arial" w:cs="Arial" w:eastAsia="Arial" w:hAnsi="Arial"/>
                <w:sz w:val="14"/>
                <w:szCs w:val="14"/>
                <w:b w:val="1"/>
                <w:bCs w:val="1"/>
                <w:color w:val="auto"/>
              </w:rPr>
              <w:t>Income Statement Location</w:t>
            </w:r>
          </w:p>
        </w:tc>
        <w:tc>
          <w:tcPr>
            <w:tcW w:w="1220" w:type="dxa"/>
            <w:vAlign w:val="bottom"/>
            <w:tcBorders>
              <w:bottom w:val="single" w:sz="8" w:color="8C8272"/>
            </w:tcBorders>
          </w:tcPr>
          <w:p>
            <w:pPr>
              <w:spacing w:after="0"/>
              <w:rPr>
                <w:sz w:val="15"/>
                <w:szCs w:val="15"/>
                <w:color w:val="auto"/>
              </w:rPr>
            </w:pPr>
          </w:p>
        </w:tc>
        <w:tc>
          <w:tcPr>
            <w:tcW w:w="960" w:type="dxa"/>
            <w:vAlign w:val="bottom"/>
            <w:tcBorders>
              <w:bottom w:val="single" w:sz="8" w:color="8C8272"/>
            </w:tcBorders>
          </w:tcPr>
          <w:p>
            <w:pPr>
              <w:spacing w:after="0"/>
              <w:rPr>
                <w:sz w:val="15"/>
                <w:szCs w:val="15"/>
                <w:color w:val="auto"/>
              </w:rPr>
            </w:pPr>
          </w:p>
        </w:tc>
        <w:tc>
          <w:tcPr>
            <w:tcW w:w="340" w:type="dxa"/>
            <w:vAlign w:val="bottom"/>
            <w:tcBorders>
              <w:bottom w:val="single" w:sz="8" w:color="8C8272"/>
            </w:tcBorders>
          </w:tcPr>
          <w:p>
            <w:pPr>
              <w:spacing w:after="0"/>
              <w:rPr>
                <w:sz w:val="15"/>
                <w:szCs w:val="15"/>
                <w:color w:val="auto"/>
              </w:rPr>
            </w:pPr>
          </w:p>
        </w:tc>
        <w:tc>
          <w:tcPr>
            <w:tcW w:w="20" w:type="dxa"/>
            <w:vAlign w:val="bottom"/>
            <w:tcBorders>
              <w:bottom w:val="single" w:sz="8" w:color="8C8272"/>
            </w:tcBorders>
          </w:tcPr>
          <w:p>
            <w:pPr>
              <w:spacing w:after="0"/>
              <w:rPr>
                <w:sz w:val="15"/>
                <w:szCs w:val="15"/>
                <w:color w:val="auto"/>
              </w:rPr>
            </w:pPr>
          </w:p>
        </w:tc>
        <w:tc>
          <w:tcPr>
            <w:tcW w:w="920" w:type="dxa"/>
            <w:vAlign w:val="bottom"/>
            <w:tcBorders>
              <w:bottom w:val="single" w:sz="8" w:color="8C8272"/>
            </w:tcBorders>
          </w:tcPr>
          <w:p>
            <w:pPr>
              <w:spacing w:after="0"/>
              <w:rPr>
                <w:sz w:val="15"/>
                <w:szCs w:val="15"/>
                <w:color w:val="auto"/>
              </w:rPr>
            </w:pPr>
          </w:p>
        </w:tc>
        <w:tc>
          <w:tcPr>
            <w:tcW w:w="520" w:type="dxa"/>
            <w:vAlign w:val="bottom"/>
            <w:tcBorders>
              <w:bottom w:val="single" w:sz="8" w:color="8C8272"/>
            </w:tcBorders>
          </w:tcPr>
          <w:p>
            <w:pPr>
              <w:spacing w:after="0"/>
              <w:rPr>
                <w:sz w:val="15"/>
                <w:szCs w:val="15"/>
                <w:color w:val="auto"/>
              </w:rPr>
            </w:pPr>
          </w:p>
        </w:tc>
        <w:tc>
          <w:tcPr>
            <w:tcW w:w="440" w:type="dxa"/>
            <w:vAlign w:val="bottom"/>
            <w:tcBorders>
              <w:bottom w:val="single" w:sz="8" w:color="8C8272"/>
            </w:tcBorders>
          </w:tcPr>
          <w:p>
            <w:pPr>
              <w:spacing w:after="0"/>
              <w:rPr>
                <w:sz w:val="15"/>
                <w:szCs w:val="15"/>
                <w:color w:val="auto"/>
              </w:rPr>
            </w:pPr>
          </w:p>
        </w:tc>
      </w:tr>
      <w:tr>
        <w:trPr>
          <w:trHeight w:val="183"/>
        </w:trPr>
        <w:tc>
          <w:tcPr>
            <w:tcW w:w="2880" w:type="dxa"/>
            <w:vAlign w:val="bottom"/>
            <w:shd w:val="clear" w:color="auto" w:fill="E5E5E5"/>
          </w:tcPr>
          <w:p>
            <w:pPr>
              <w:ind w:left="20"/>
              <w:spacing w:after="0"/>
              <w:rPr>
                <w:sz w:val="20"/>
                <w:szCs w:val="20"/>
                <w:color w:val="auto"/>
              </w:rPr>
            </w:pPr>
            <w:r>
              <w:rPr>
                <w:rFonts w:ascii="Arial" w:cs="Arial" w:eastAsia="Arial" w:hAnsi="Arial"/>
                <w:sz w:val="14"/>
                <w:szCs w:val="14"/>
                <w:color w:val="auto"/>
              </w:rPr>
              <w:t>Pre-tax gains/(losses) recognized in income</w:t>
            </w:r>
          </w:p>
        </w:tc>
        <w:tc>
          <w:tcPr>
            <w:tcW w:w="3920" w:type="dxa"/>
            <w:vAlign w:val="bottom"/>
            <w:shd w:val="clear" w:color="auto" w:fill="E5E5E5"/>
          </w:tcPr>
          <w:p>
            <w:pPr>
              <w:spacing w:after="0"/>
              <w:rPr>
                <w:sz w:val="15"/>
                <w:szCs w:val="15"/>
                <w:color w:val="auto"/>
              </w:rPr>
            </w:pPr>
          </w:p>
        </w:tc>
        <w:tc>
          <w:tcPr>
            <w:tcW w:w="122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r>
      <w:tr>
        <w:trPr>
          <w:trHeight w:val="189"/>
        </w:trPr>
        <w:tc>
          <w:tcPr>
            <w:tcW w:w="2880" w:type="dxa"/>
            <w:vAlign w:val="bottom"/>
          </w:tcPr>
          <w:p>
            <w:pPr>
              <w:spacing w:after="0"/>
              <w:rPr>
                <w:sz w:val="16"/>
                <w:szCs w:val="16"/>
                <w:color w:val="auto"/>
              </w:rPr>
            </w:pPr>
          </w:p>
        </w:tc>
        <w:tc>
          <w:tcPr>
            <w:tcW w:w="3920" w:type="dxa"/>
            <w:vAlign w:val="bottom"/>
          </w:tcPr>
          <w:p>
            <w:pPr>
              <w:ind w:left="60"/>
              <w:spacing w:after="0"/>
              <w:rPr>
                <w:sz w:val="20"/>
                <w:szCs w:val="20"/>
                <w:color w:val="auto"/>
              </w:rPr>
            </w:pPr>
            <w:r>
              <w:rPr>
                <w:rFonts w:ascii="Arial" w:cs="Arial" w:eastAsia="Arial" w:hAnsi="Arial"/>
                <w:sz w:val="14"/>
                <w:szCs w:val="14"/>
                <w:color w:val="auto"/>
              </w:rPr>
              <w:t>Gas purchased for resale</w:t>
            </w: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2880" w:type="dxa"/>
            <w:vAlign w:val="bottom"/>
            <w:shd w:val="clear" w:color="auto" w:fill="E5E5E5"/>
          </w:tcPr>
          <w:p>
            <w:pPr>
              <w:spacing w:after="0"/>
              <w:rPr>
                <w:sz w:val="17"/>
                <w:szCs w:val="17"/>
                <w:color w:val="auto"/>
              </w:rPr>
            </w:pPr>
          </w:p>
        </w:tc>
        <w:tc>
          <w:tcPr>
            <w:tcW w:w="3920" w:type="dxa"/>
            <w:vAlign w:val="bottom"/>
            <w:shd w:val="clear" w:color="auto" w:fill="E5E5E5"/>
          </w:tcPr>
          <w:p>
            <w:pPr>
              <w:ind w:left="60"/>
              <w:spacing w:after="0"/>
              <w:rPr>
                <w:sz w:val="20"/>
                <w:szCs w:val="20"/>
                <w:color w:val="auto"/>
              </w:rPr>
            </w:pPr>
            <w:r>
              <w:rPr>
                <w:rFonts w:ascii="Arial" w:cs="Arial" w:eastAsia="Arial" w:hAnsi="Arial"/>
                <w:sz w:val="14"/>
                <w:szCs w:val="14"/>
                <w:color w:val="auto"/>
              </w:rPr>
              <w:t>Non-utility revenue</w:t>
            </w: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440" w:type="dxa"/>
            <w:vAlign w:val="bottom"/>
            <w:gridSpan w:val="2"/>
            <w:shd w:val="clear" w:color="auto" w:fill="E5E5E5"/>
          </w:tcPr>
          <w:p>
            <w:pPr>
              <w:jc w:val="right"/>
              <w:ind w:right="580"/>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2880" w:type="dxa"/>
            <w:vAlign w:val="bottom"/>
          </w:tcPr>
          <w:p>
            <w:pPr>
              <w:spacing w:after="0"/>
              <w:rPr>
                <w:sz w:val="16"/>
                <w:szCs w:val="16"/>
                <w:color w:val="auto"/>
              </w:rPr>
            </w:pPr>
          </w:p>
        </w:tc>
        <w:tc>
          <w:tcPr>
            <w:tcW w:w="3920" w:type="dxa"/>
            <w:vAlign w:val="bottom"/>
          </w:tcPr>
          <w:p>
            <w:pPr>
              <w:ind w:left="60"/>
              <w:spacing w:after="0"/>
              <w:rPr>
                <w:sz w:val="20"/>
                <w:szCs w:val="20"/>
                <w:color w:val="auto"/>
              </w:rPr>
            </w:pPr>
            <w:r>
              <w:rPr>
                <w:rFonts w:ascii="Arial" w:cs="Arial" w:eastAsia="Arial" w:hAnsi="Arial"/>
                <w:sz w:val="14"/>
                <w:szCs w:val="14"/>
                <w:color w:val="auto"/>
              </w:rPr>
              <w:t>Other operations and maintenance expense</w:t>
            </w:r>
          </w:p>
        </w:tc>
        <w:tc>
          <w:tcPr>
            <w:tcW w:w="1220" w:type="dxa"/>
            <w:vAlign w:val="bottom"/>
          </w:tcPr>
          <w:p>
            <w:pPr>
              <w:jc w:val="right"/>
              <w:spacing w:after="0"/>
              <w:rPr>
                <w:sz w:val="20"/>
                <w:szCs w:val="20"/>
                <w:color w:val="auto"/>
              </w:rPr>
            </w:pPr>
            <w:r>
              <w:rPr>
                <w:rFonts w:ascii="Arial" w:cs="Arial" w:eastAsia="Arial" w:hAnsi="Arial"/>
                <w:sz w:val="14"/>
                <w:szCs w:val="14"/>
                <w:color w:val="auto"/>
              </w:rPr>
              <w:t>2</w:t>
            </w: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2</w:t>
            </w:r>
          </w:p>
        </w:tc>
      </w:tr>
      <w:tr>
        <w:trPr>
          <w:trHeight w:val="189"/>
        </w:trPr>
        <w:tc>
          <w:tcPr>
            <w:tcW w:w="2880" w:type="dxa"/>
            <w:vAlign w:val="bottom"/>
            <w:tcBorders>
              <w:bottom w:val="single" w:sz="8" w:color="8C8272"/>
            </w:tcBorders>
            <w:shd w:val="clear" w:color="auto" w:fill="E5E5E5"/>
          </w:tcPr>
          <w:p>
            <w:pPr>
              <w:spacing w:after="0"/>
              <w:rPr>
                <w:sz w:val="16"/>
                <w:szCs w:val="16"/>
                <w:color w:val="auto"/>
              </w:rPr>
            </w:pPr>
          </w:p>
        </w:tc>
        <w:tc>
          <w:tcPr>
            <w:tcW w:w="3920" w:type="dxa"/>
            <w:vAlign w:val="bottom"/>
            <w:tcBorders>
              <w:bottom w:val="single" w:sz="8" w:color="8C8272"/>
            </w:tcBorders>
            <w:shd w:val="clear" w:color="auto" w:fill="E5E5E5"/>
          </w:tcPr>
          <w:p>
            <w:pPr>
              <w:ind w:left="60"/>
              <w:spacing w:after="0"/>
              <w:rPr>
                <w:sz w:val="20"/>
                <w:szCs w:val="20"/>
                <w:color w:val="auto"/>
              </w:rPr>
            </w:pPr>
            <w:r>
              <w:rPr>
                <w:rFonts w:ascii="Arial" w:cs="Arial" w:eastAsia="Arial" w:hAnsi="Arial"/>
                <w:sz w:val="14"/>
                <w:szCs w:val="14"/>
                <w:color w:val="auto"/>
              </w:rPr>
              <w:t>Other interest expense</w:t>
            </w:r>
          </w:p>
        </w:tc>
        <w:tc>
          <w:tcPr>
            <w:tcW w:w="12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(25)</w:t>
            </w:r>
          </w:p>
        </w:tc>
        <w:tc>
          <w:tcPr>
            <w:tcW w:w="96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340" w:type="dxa"/>
            <w:vAlign w:val="bottom"/>
            <w:tcBorders>
              <w:bottom w:val="single" w:sz="8" w:color="8C8272"/>
            </w:tcBorders>
            <w:shd w:val="clear" w:color="auto" w:fill="E5E5E5"/>
          </w:tcPr>
          <w:p>
            <w:pPr>
              <w:spacing w:after="0"/>
              <w:rPr>
                <w:sz w:val="16"/>
                <w:szCs w:val="16"/>
                <w:color w:val="auto"/>
              </w:rPr>
            </w:pPr>
          </w:p>
        </w:tc>
        <w:tc>
          <w:tcPr>
            <w:tcW w:w="20" w:type="dxa"/>
            <w:vAlign w:val="bottom"/>
            <w:tcBorders>
              <w:bottom w:val="single" w:sz="8" w:color="8C8272"/>
            </w:tcBorders>
            <w:shd w:val="clear" w:color="auto" w:fill="E5E5E5"/>
          </w:tcPr>
          <w:p>
            <w:pPr>
              <w:spacing w:after="0"/>
              <w:rPr>
                <w:sz w:val="16"/>
                <w:szCs w:val="16"/>
                <w:color w:val="auto"/>
              </w:rPr>
            </w:pPr>
          </w:p>
        </w:tc>
        <w:tc>
          <w:tcPr>
            <w:tcW w:w="92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8C8272"/>
            </w:tcBorders>
            <w:shd w:val="clear" w:color="auto" w:fill="E5E5E5"/>
          </w:tcPr>
          <w:p>
            <w:pPr>
              <w:spacing w:after="0"/>
              <w:rPr>
                <w:sz w:val="16"/>
                <w:szCs w:val="16"/>
                <w:color w:val="auto"/>
              </w:rPr>
            </w:pPr>
          </w:p>
        </w:tc>
        <w:tc>
          <w:tcPr>
            <w:tcW w:w="44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183"/>
        </w:trPr>
        <w:tc>
          <w:tcPr>
            <w:tcW w:w="6800" w:type="dxa"/>
            <w:vAlign w:val="bottom"/>
            <w:tcBorders>
              <w:bottom w:val="single" w:sz="8" w:color="8C8272"/>
            </w:tcBorders>
            <w:gridSpan w:val="2"/>
          </w:tcPr>
          <w:p>
            <w:pPr>
              <w:ind w:left="140"/>
              <w:spacing w:after="0"/>
              <w:rPr>
                <w:sz w:val="20"/>
                <w:szCs w:val="20"/>
                <w:color w:val="auto"/>
              </w:rPr>
            </w:pPr>
            <w:r>
              <w:rPr>
                <w:rFonts w:ascii="Arial" w:cs="Arial" w:eastAsia="Arial" w:hAnsi="Arial"/>
                <w:sz w:val="14"/>
                <w:szCs w:val="14"/>
                <w:color w:val="auto"/>
              </w:rPr>
              <w:t>Total pre-tax gains/(losses) recognized in income</w:t>
            </w:r>
          </w:p>
        </w:tc>
        <w:tc>
          <w:tcPr>
            <w:tcW w:w="12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$(24)</w:t>
            </w:r>
          </w:p>
        </w:tc>
        <w:tc>
          <w:tcPr>
            <w:tcW w:w="9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w:t>
            </w:r>
          </w:p>
        </w:tc>
        <w:tc>
          <w:tcPr>
            <w:tcW w:w="340" w:type="dxa"/>
            <w:vAlign w:val="bottom"/>
            <w:tcBorders>
              <w:bottom w:val="single" w:sz="8" w:color="8C8272"/>
            </w:tcBorders>
          </w:tcPr>
          <w:p>
            <w:pPr>
              <w:spacing w:after="0"/>
              <w:rPr>
                <w:sz w:val="15"/>
                <w:szCs w:val="15"/>
                <w:color w:val="auto"/>
              </w:rPr>
            </w:pPr>
          </w:p>
        </w:tc>
        <w:tc>
          <w:tcPr>
            <w:tcW w:w="940" w:type="dxa"/>
            <w:vAlign w:val="bottom"/>
            <w:tcBorders>
              <w:bottom w:val="single" w:sz="8" w:color="8C8272"/>
            </w:tcBorders>
            <w:gridSpan w:val="2"/>
          </w:tcPr>
          <w:p>
            <w:pPr>
              <w:jc w:val="right"/>
              <w:spacing w:after="0"/>
              <w:rPr>
                <w:sz w:val="20"/>
                <w:szCs w:val="20"/>
                <w:color w:val="auto"/>
              </w:rPr>
            </w:pPr>
            <w:r>
              <w:rPr>
                <w:rFonts w:ascii="Arial" w:cs="Arial" w:eastAsia="Arial" w:hAnsi="Arial"/>
                <w:sz w:val="14"/>
                <w:szCs w:val="14"/>
                <w:color w:val="auto"/>
              </w:rPr>
              <w:t>$2</w:t>
            </w:r>
          </w:p>
        </w:tc>
        <w:tc>
          <w:tcPr>
            <w:tcW w:w="520" w:type="dxa"/>
            <w:vAlign w:val="bottom"/>
            <w:tcBorders>
              <w:bottom w:val="single" w:sz="8" w:color="8C8272"/>
            </w:tcBorders>
          </w:tcPr>
          <w:p>
            <w:pPr>
              <w:spacing w:after="0"/>
              <w:rPr>
                <w:sz w:val="15"/>
                <w:szCs w:val="15"/>
                <w:color w:val="auto"/>
              </w:rPr>
            </w:pPr>
          </w:p>
        </w:tc>
        <w:tc>
          <w:tcPr>
            <w:tcW w:w="4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w:t>
            </w:r>
          </w:p>
        </w:tc>
      </w:tr>
      <w:tr>
        <w:trPr>
          <w:trHeight w:val="776"/>
        </w:trPr>
        <w:tc>
          <w:tcPr>
            <w:tcW w:w="2880" w:type="dxa"/>
            <w:vAlign w:val="bottom"/>
            <w:tcBorders>
              <w:bottom w:val="single" w:sz="8" w:color="8C8272"/>
            </w:tcBorders>
          </w:tcPr>
          <w:p>
            <w:pPr>
              <w:spacing w:after="0"/>
              <w:rPr>
                <w:sz w:val="24"/>
                <w:szCs w:val="24"/>
                <w:color w:val="auto"/>
              </w:rPr>
            </w:pPr>
          </w:p>
        </w:tc>
        <w:tc>
          <w:tcPr>
            <w:tcW w:w="3920" w:type="dxa"/>
            <w:vAlign w:val="bottom"/>
            <w:tcBorders>
              <w:bottom w:val="single" w:sz="8" w:color="8C8272"/>
            </w:tcBorders>
          </w:tcPr>
          <w:p>
            <w:pPr>
              <w:spacing w:after="0"/>
              <w:rPr>
                <w:sz w:val="24"/>
                <w:szCs w:val="24"/>
                <w:color w:val="auto"/>
              </w:rPr>
            </w:pPr>
          </w:p>
        </w:tc>
        <w:tc>
          <w:tcPr>
            <w:tcW w:w="3980" w:type="dxa"/>
            <w:vAlign w:val="bottom"/>
            <w:tcBorders>
              <w:bottom w:val="single" w:sz="8" w:color="8C8272"/>
            </w:tcBorders>
            <w:gridSpan w:val="6"/>
          </w:tcPr>
          <w:p>
            <w:pPr>
              <w:ind w:left="1160"/>
              <w:spacing w:after="0"/>
              <w:rPr>
                <w:sz w:val="20"/>
                <w:szCs w:val="20"/>
                <w:color w:val="auto"/>
              </w:rPr>
            </w:pPr>
            <w:r>
              <w:rPr>
                <w:rFonts w:ascii="Arial" w:cs="Arial" w:eastAsia="Arial" w:hAnsi="Arial"/>
                <w:sz w:val="14"/>
                <w:szCs w:val="14"/>
                <w:b w:val="1"/>
                <w:bCs w:val="1"/>
                <w:color w:val="auto"/>
              </w:rPr>
              <w:t>For the Six Months Ended June 30,</w:t>
            </w:r>
          </w:p>
        </w:tc>
        <w:tc>
          <w:tcPr>
            <w:tcW w:w="440" w:type="dxa"/>
            <w:vAlign w:val="bottom"/>
            <w:tcBorders>
              <w:bottom w:val="single" w:sz="8" w:color="8C8272"/>
            </w:tcBorders>
          </w:tcPr>
          <w:p>
            <w:pPr>
              <w:spacing w:after="0"/>
              <w:rPr>
                <w:sz w:val="24"/>
                <w:szCs w:val="24"/>
                <w:color w:val="auto"/>
              </w:rPr>
            </w:pPr>
          </w:p>
        </w:tc>
      </w:tr>
      <w:tr>
        <w:trPr>
          <w:trHeight w:val="183"/>
        </w:trPr>
        <w:tc>
          <w:tcPr>
            <w:tcW w:w="2880" w:type="dxa"/>
            <w:vAlign w:val="bottom"/>
            <w:tcBorders>
              <w:bottom w:val="single" w:sz="8" w:color="8C8272"/>
            </w:tcBorders>
          </w:tcPr>
          <w:p>
            <w:pPr>
              <w:spacing w:after="0"/>
              <w:rPr>
                <w:sz w:val="15"/>
                <w:szCs w:val="15"/>
                <w:color w:val="auto"/>
              </w:rPr>
            </w:pPr>
          </w:p>
        </w:tc>
        <w:tc>
          <w:tcPr>
            <w:tcW w:w="3920" w:type="dxa"/>
            <w:vAlign w:val="bottom"/>
            <w:tcBorders>
              <w:bottom w:val="single" w:sz="8" w:color="8C8272"/>
            </w:tcBorders>
          </w:tcPr>
          <w:p>
            <w:pPr>
              <w:spacing w:after="0"/>
              <w:rPr>
                <w:sz w:val="15"/>
                <w:szCs w:val="15"/>
                <w:color w:val="auto"/>
              </w:rPr>
            </w:pPr>
          </w:p>
        </w:tc>
        <w:tc>
          <w:tcPr>
            <w:tcW w:w="2520" w:type="dxa"/>
            <w:vAlign w:val="bottom"/>
            <w:tcBorders>
              <w:bottom w:val="single" w:sz="8" w:color="8C8272"/>
            </w:tcBorders>
            <w:gridSpan w:val="3"/>
          </w:tcPr>
          <w:p>
            <w:pPr>
              <w:ind w:left="1020"/>
              <w:spacing w:after="0"/>
              <w:rPr>
                <w:sz w:val="20"/>
                <w:szCs w:val="20"/>
                <w:color w:val="auto"/>
              </w:rPr>
            </w:pPr>
            <w:r>
              <w:rPr>
                <w:rFonts w:ascii="Arial" w:cs="Arial" w:eastAsia="Arial" w:hAnsi="Arial"/>
                <w:sz w:val="14"/>
                <w:szCs w:val="14"/>
                <w:b w:val="1"/>
                <w:bCs w:val="1"/>
                <w:color w:val="auto"/>
              </w:rPr>
              <w:t>Con Edison</w:t>
            </w:r>
          </w:p>
        </w:tc>
        <w:tc>
          <w:tcPr>
            <w:tcW w:w="20" w:type="dxa"/>
            <w:vAlign w:val="bottom"/>
            <w:tcBorders>
              <w:bottom w:val="single" w:sz="8" w:color="8C8272"/>
            </w:tcBorders>
          </w:tcPr>
          <w:p>
            <w:pPr>
              <w:spacing w:after="0"/>
              <w:rPr>
                <w:sz w:val="15"/>
                <w:szCs w:val="15"/>
                <w:color w:val="auto"/>
              </w:rPr>
            </w:pPr>
          </w:p>
        </w:tc>
        <w:tc>
          <w:tcPr>
            <w:tcW w:w="1440" w:type="dxa"/>
            <w:vAlign w:val="bottom"/>
            <w:tcBorders>
              <w:bottom w:val="single" w:sz="8" w:color="8C8272"/>
            </w:tcBorders>
            <w:gridSpan w:val="2"/>
          </w:tcPr>
          <w:p>
            <w:pPr>
              <w:ind w:left="820"/>
              <w:spacing w:after="0"/>
              <w:rPr>
                <w:sz w:val="20"/>
                <w:szCs w:val="20"/>
                <w:color w:val="auto"/>
              </w:rPr>
            </w:pPr>
            <w:r>
              <w:rPr>
                <w:rFonts w:ascii="Arial" w:cs="Arial" w:eastAsia="Arial" w:hAnsi="Arial"/>
                <w:sz w:val="14"/>
                <w:szCs w:val="14"/>
                <w:b w:val="1"/>
                <w:bCs w:val="1"/>
                <w:color w:val="auto"/>
              </w:rPr>
              <w:t>CECONY</w:t>
            </w:r>
          </w:p>
        </w:tc>
        <w:tc>
          <w:tcPr>
            <w:tcW w:w="440" w:type="dxa"/>
            <w:vAlign w:val="bottom"/>
            <w:tcBorders>
              <w:bottom w:val="single" w:sz="8" w:color="8C8272"/>
            </w:tcBorders>
          </w:tcPr>
          <w:p>
            <w:pPr>
              <w:spacing w:after="0"/>
              <w:rPr>
                <w:sz w:val="15"/>
                <w:szCs w:val="15"/>
                <w:color w:val="auto"/>
              </w:rPr>
            </w:pPr>
          </w:p>
        </w:tc>
      </w:tr>
      <w:tr>
        <w:trPr>
          <w:trHeight w:val="183"/>
        </w:trPr>
        <w:tc>
          <w:tcPr>
            <w:tcW w:w="288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920" w:type="dxa"/>
            <w:vAlign w:val="bottom"/>
            <w:tcBorders>
              <w:bottom w:val="single" w:sz="8" w:color="8C8272"/>
            </w:tcBorders>
          </w:tcPr>
          <w:p>
            <w:pPr>
              <w:ind w:left="60"/>
              <w:spacing w:after="0"/>
              <w:rPr>
                <w:sz w:val="20"/>
                <w:szCs w:val="20"/>
                <w:color w:val="auto"/>
              </w:rPr>
            </w:pPr>
            <w:r>
              <w:rPr>
                <w:rFonts w:ascii="Arial" w:cs="Arial" w:eastAsia="Arial" w:hAnsi="Arial"/>
                <w:sz w:val="14"/>
                <w:szCs w:val="14"/>
                <w:b w:val="1"/>
                <w:bCs w:val="1"/>
                <w:color w:val="auto"/>
              </w:rPr>
              <w:t>Balance Sheet Location</w:t>
            </w:r>
          </w:p>
        </w:tc>
        <w:tc>
          <w:tcPr>
            <w:tcW w:w="12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8C8272"/>
            </w:tcBorders>
          </w:tcPr>
          <w:p>
            <w:pPr>
              <w:spacing w:after="0"/>
              <w:rPr>
                <w:sz w:val="15"/>
                <w:szCs w:val="15"/>
                <w:color w:val="auto"/>
              </w:rPr>
            </w:pPr>
          </w:p>
        </w:tc>
        <w:tc>
          <w:tcPr>
            <w:tcW w:w="940" w:type="dxa"/>
            <w:vAlign w:val="bottom"/>
            <w:tcBorders>
              <w:bottom w:val="single" w:sz="8" w:color="8C8272"/>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8C8272"/>
            </w:tcBorders>
          </w:tcPr>
          <w:p>
            <w:pPr>
              <w:spacing w:after="0"/>
              <w:rPr>
                <w:sz w:val="15"/>
                <w:szCs w:val="15"/>
                <w:color w:val="auto"/>
              </w:rPr>
            </w:pPr>
          </w:p>
        </w:tc>
        <w:tc>
          <w:tcPr>
            <w:tcW w:w="4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68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Pre-tax gains/(losses) deferred in accordance with accounting rules for regulated operations:</w:t>
            </w:r>
          </w:p>
        </w:tc>
        <w:tc>
          <w:tcPr>
            <w:tcW w:w="122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r>
      <w:tr>
        <w:trPr>
          <w:trHeight w:val="189"/>
        </w:trPr>
        <w:tc>
          <w:tcPr>
            <w:tcW w:w="2880" w:type="dxa"/>
            <w:vAlign w:val="bottom"/>
          </w:tcPr>
          <w:p>
            <w:pPr>
              <w:ind w:left="140"/>
              <w:spacing w:after="0"/>
              <w:rPr>
                <w:sz w:val="20"/>
                <w:szCs w:val="20"/>
                <w:color w:val="auto"/>
              </w:rPr>
            </w:pPr>
            <w:r>
              <w:rPr>
                <w:rFonts w:ascii="Arial" w:cs="Arial" w:eastAsia="Arial" w:hAnsi="Arial"/>
                <w:sz w:val="14"/>
                <w:szCs w:val="14"/>
                <w:color w:val="auto"/>
              </w:rPr>
              <w:t>Current</w:t>
            </w:r>
          </w:p>
        </w:tc>
        <w:tc>
          <w:tcPr>
            <w:tcW w:w="3920" w:type="dxa"/>
            <w:vAlign w:val="bottom"/>
          </w:tcPr>
          <w:p>
            <w:pPr>
              <w:ind w:left="60"/>
              <w:spacing w:after="0"/>
              <w:rPr>
                <w:sz w:val="20"/>
                <w:szCs w:val="20"/>
                <w:color w:val="auto"/>
              </w:rPr>
            </w:pPr>
            <w:r>
              <w:rPr>
                <w:rFonts w:ascii="Arial" w:cs="Arial" w:eastAsia="Arial" w:hAnsi="Arial"/>
                <w:sz w:val="14"/>
                <w:szCs w:val="14"/>
                <w:color w:val="auto"/>
              </w:rPr>
              <w:t>Deferred derivative gains</w:t>
            </w:r>
          </w:p>
        </w:tc>
        <w:tc>
          <w:tcPr>
            <w:tcW w:w="1220" w:type="dxa"/>
            <w:vAlign w:val="bottom"/>
          </w:tcPr>
          <w:p>
            <w:pPr>
              <w:jc w:val="right"/>
              <w:spacing w:after="0"/>
              <w:rPr>
                <w:sz w:val="20"/>
                <w:szCs w:val="20"/>
                <w:color w:val="auto"/>
              </w:rPr>
            </w:pPr>
            <w:r>
              <w:rPr>
                <w:rFonts w:ascii="Arial" w:cs="Arial" w:eastAsia="Arial" w:hAnsi="Arial"/>
                <w:sz w:val="14"/>
                <w:szCs w:val="14"/>
                <w:color w:val="auto"/>
              </w:rPr>
              <w:t>$147</w:t>
            </w: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$136</w:t>
            </w:r>
          </w:p>
        </w:tc>
        <w:tc>
          <w:tcPr>
            <w:tcW w:w="5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288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Noncurrent</w:t>
            </w:r>
          </w:p>
        </w:tc>
        <w:tc>
          <w:tcPr>
            <w:tcW w:w="3920" w:type="dxa"/>
            <w:vAlign w:val="bottom"/>
            <w:tcBorders>
              <w:bottom w:val="single" w:sz="8" w:color="8C8272"/>
            </w:tcBorders>
            <w:shd w:val="clear" w:color="auto" w:fill="E5E5E5"/>
          </w:tcPr>
          <w:p>
            <w:pPr>
              <w:ind w:left="60"/>
              <w:spacing w:after="0"/>
              <w:rPr>
                <w:sz w:val="20"/>
                <w:szCs w:val="20"/>
                <w:color w:val="auto"/>
              </w:rPr>
            </w:pPr>
            <w:r>
              <w:rPr>
                <w:rFonts w:ascii="Arial" w:cs="Arial" w:eastAsia="Arial" w:hAnsi="Arial"/>
                <w:sz w:val="14"/>
                <w:szCs w:val="14"/>
                <w:color w:val="auto"/>
              </w:rPr>
              <w:t>Deferred derivative gains</w:t>
            </w:r>
          </w:p>
        </w:tc>
        <w:tc>
          <w:tcPr>
            <w:tcW w:w="12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35</w:t>
            </w:r>
          </w:p>
        </w:tc>
        <w:tc>
          <w:tcPr>
            <w:tcW w:w="9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340" w:type="dxa"/>
            <w:vAlign w:val="bottom"/>
            <w:tcBorders>
              <w:bottom w:val="single" w:sz="8" w:color="8C8272"/>
            </w:tcBorders>
            <w:shd w:val="clear" w:color="auto" w:fill="E5E5E5"/>
          </w:tcPr>
          <w:p>
            <w:pPr>
              <w:spacing w:after="0"/>
              <w:rPr>
                <w:sz w:val="16"/>
                <w:szCs w:val="16"/>
                <w:color w:val="auto"/>
              </w:rPr>
            </w:pPr>
          </w:p>
        </w:tc>
        <w:tc>
          <w:tcPr>
            <w:tcW w:w="940" w:type="dxa"/>
            <w:vAlign w:val="bottom"/>
            <w:tcBorders>
              <w:bottom w:val="single" w:sz="8" w:color="8C8272"/>
            </w:tcBorders>
            <w:gridSpan w:val="2"/>
            <w:shd w:val="clear" w:color="auto" w:fill="E5E5E5"/>
          </w:tcPr>
          <w:p>
            <w:pPr>
              <w:jc w:val="right"/>
              <w:spacing w:after="0"/>
              <w:rPr>
                <w:sz w:val="20"/>
                <w:szCs w:val="20"/>
                <w:color w:val="auto"/>
              </w:rPr>
            </w:pPr>
            <w:r>
              <w:rPr>
                <w:rFonts w:ascii="Arial" w:cs="Arial" w:eastAsia="Arial" w:hAnsi="Arial"/>
                <w:sz w:val="14"/>
                <w:szCs w:val="14"/>
                <w:color w:val="auto"/>
              </w:rPr>
              <w:t>32</w:t>
            </w:r>
          </w:p>
        </w:tc>
        <w:tc>
          <w:tcPr>
            <w:tcW w:w="520" w:type="dxa"/>
            <w:vAlign w:val="bottom"/>
            <w:tcBorders>
              <w:bottom w:val="single" w:sz="8" w:color="8C8272"/>
            </w:tcBorders>
            <w:shd w:val="clear" w:color="auto" w:fill="E5E5E5"/>
          </w:tcPr>
          <w:p>
            <w:pPr>
              <w:spacing w:after="0"/>
              <w:rPr>
                <w:sz w:val="16"/>
                <w:szCs w:val="16"/>
                <w:color w:val="auto"/>
              </w:rPr>
            </w:pPr>
          </w:p>
        </w:tc>
        <w:tc>
          <w:tcPr>
            <w:tcW w:w="4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w:t>
            </w:r>
          </w:p>
        </w:tc>
      </w:tr>
      <w:tr>
        <w:trPr>
          <w:trHeight w:val="183"/>
        </w:trPr>
        <w:tc>
          <w:tcPr>
            <w:tcW w:w="2880" w:type="dxa"/>
            <w:vAlign w:val="bottom"/>
            <w:tcBorders>
              <w:bottom w:val="single" w:sz="8" w:color="8C8272"/>
            </w:tcBorders>
          </w:tcPr>
          <w:p>
            <w:pPr>
              <w:ind w:left="220"/>
              <w:spacing w:after="0"/>
              <w:rPr>
                <w:sz w:val="20"/>
                <w:szCs w:val="20"/>
                <w:color w:val="auto"/>
              </w:rPr>
            </w:pPr>
            <w:r>
              <w:rPr>
                <w:rFonts w:ascii="Arial" w:cs="Arial" w:eastAsia="Arial" w:hAnsi="Arial"/>
                <w:sz w:val="14"/>
                <w:szCs w:val="14"/>
                <w:color w:val="auto"/>
              </w:rPr>
              <w:t>Total deferred gains/(losses)</w:t>
            </w:r>
          </w:p>
        </w:tc>
        <w:tc>
          <w:tcPr>
            <w:tcW w:w="3920" w:type="dxa"/>
            <w:vAlign w:val="bottom"/>
            <w:tcBorders>
              <w:bottom w:val="single" w:sz="8" w:color="8C8272"/>
            </w:tcBorders>
          </w:tcPr>
          <w:p>
            <w:pPr>
              <w:spacing w:after="0"/>
              <w:rPr>
                <w:sz w:val="15"/>
                <w:szCs w:val="15"/>
                <w:color w:val="auto"/>
              </w:rPr>
            </w:pPr>
          </w:p>
        </w:tc>
        <w:tc>
          <w:tcPr>
            <w:tcW w:w="12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$182</w:t>
            </w:r>
          </w:p>
        </w:tc>
        <w:tc>
          <w:tcPr>
            <w:tcW w:w="9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$(6)</w:t>
            </w:r>
          </w:p>
        </w:tc>
        <w:tc>
          <w:tcPr>
            <w:tcW w:w="340" w:type="dxa"/>
            <w:vAlign w:val="bottom"/>
            <w:tcBorders>
              <w:bottom w:val="single" w:sz="8" w:color="8C8272"/>
            </w:tcBorders>
          </w:tcPr>
          <w:p>
            <w:pPr>
              <w:spacing w:after="0"/>
              <w:rPr>
                <w:sz w:val="15"/>
                <w:szCs w:val="15"/>
                <w:color w:val="auto"/>
              </w:rPr>
            </w:pPr>
          </w:p>
        </w:tc>
        <w:tc>
          <w:tcPr>
            <w:tcW w:w="940" w:type="dxa"/>
            <w:vAlign w:val="bottom"/>
            <w:tcBorders>
              <w:bottom w:val="single" w:sz="8" w:color="8C8272"/>
            </w:tcBorders>
            <w:gridSpan w:val="2"/>
          </w:tcPr>
          <w:p>
            <w:pPr>
              <w:jc w:val="right"/>
              <w:spacing w:after="0"/>
              <w:rPr>
                <w:sz w:val="20"/>
                <w:szCs w:val="20"/>
                <w:color w:val="auto"/>
              </w:rPr>
            </w:pPr>
            <w:r>
              <w:rPr>
                <w:rFonts w:ascii="Arial" w:cs="Arial" w:eastAsia="Arial" w:hAnsi="Arial"/>
                <w:sz w:val="14"/>
                <w:szCs w:val="14"/>
                <w:color w:val="auto"/>
              </w:rPr>
              <w:t>$168</w:t>
            </w:r>
          </w:p>
        </w:tc>
        <w:tc>
          <w:tcPr>
            <w:tcW w:w="520" w:type="dxa"/>
            <w:vAlign w:val="bottom"/>
            <w:tcBorders>
              <w:bottom w:val="single" w:sz="8" w:color="8C8272"/>
            </w:tcBorders>
          </w:tcPr>
          <w:p>
            <w:pPr>
              <w:spacing w:after="0"/>
              <w:rPr>
                <w:sz w:val="15"/>
                <w:szCs w:val="15"/>
                <w:color w:val="auto"/>
              </w:rPr>
            </w:pPr>
          </w:p>
        </w:tc>
        <w:tc>
          <w:tcPr>
            <w:tcW w:w="4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$(6)</w:t>
            </w:r>
          </w:p>
        </w:tc>
      </w:tr>
      <w:tr>
        <w:trPr>
          <w:trHeight w:val="183"/>
        </w:trPr>
        <w:tc>
          <w:tcPr>
            <w:tcW w:w="2880" w:type="dxa"/>
            <w:vAlign w:val="bottom"/>
            <w:shd w:val="clear" w:color="auto" w:fill="E5E5E5"/>
          </w:tcPr>
          <w:p>
            <w:pPr>
              <w:ind w:left="140"/>
              <w:spacing w:after="0"/>
              <w:rPr>
                <w:sz w:val="20"/>
                <w:szCs w:val="20"/>
                <w:color w:val="auto"/>
              </w:rPr>
            </w:pPr>
            <w:r>
              <w:rPr>
                <w:rFonts w:ascii="Arial" w:cs="Arial" w:eastAsia="Arial" w:hAnsi="Arial"/>
                <w:sz w:val="14"/>
                <w:szCs w:val="14"/>
                <w:color w:val="auto"/>
              </w:rPr>
              <w:t>Current</w:t>
            </w:r>
          </w:p>
        </w:tc>
        <w:tc>
          <w:tcPr>
            <w:tcW w:w="3920" w:type="dxa"/>
            <w:vAlign w:val="bottom"/>
            <w:shd w:val="clear" w:color="auto" w:fill="E5E5E5"/>
          </w:tcPr>
          <w:p>
            <w:pPr>
              <w:ind w:left="60"/>
              <w:spacing w:after="0"/>
              <w:rPr>
                <w:sz w:val="20"/>
                <w:szCs w:val="20"/>
                <w:color w:val="auto"/>
              </w:rPr>
            </w:pPr>
            <w:r>
              <w:rPr>
                <w:rFonts w:ascii="Arial" w:cs="Arial" w:eastAsia="Arial" w:hAnsi="Arial"/>
                <w:sz w:val="14"/>
                <w:szCs w:val="14"/>
                <w:color w:val="auto"/>
              </w:rPr>
              <w:t>Deferred derivative losses</w:t>
            </w: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w:t>
            </w:r>
          </w:p>
        </w:tc>
        <w:tc>
          <w:tcPr>
            <w:tcW w:w="340" w:type="dxa"/>
            <w:vAlign w:val="bottom"/>
            <w:shd w:val="clear" w:color="auto" w:fill="E5E5E5"/>
          </w:tcPr>
          <w:p>
            <w:pPr>
              <w:spacing w:after="0"/>
              <w:rPr>
                <w:sz w:val="15"/>
                <w:szCs w:val="15"/>
                <w:color w:val="auto"/>
              </w:rPr>
            </w:pPr>
          </w:p>
        </w:tc>
        <w:tc>
          <w:tcPr>
            <w:tcW w:w="9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$25</w:t>
            </w:r>
          </w:p>
        </w:tc>
        <w:tc>
          <w:tcPr>
            <w:tcW w:w="520" w:type="dxa"/>
            <w:vAlign w:val="bottom"/>
            <w:shd w:val="clear" w:color="auto" w:fill="E5E5E5"/>
          </w:tcPr>
          <w:p>
            <w:pPr>
              <w:spacing w:after="0"/>
              <w:rPr>
                <w:sz w:val="15"/>
                <w:szCs w:val="15"/>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2880" w:type="dxa"/>
            <w:vAlign w:val="bottom"/>
          </w:tcPr>
          <w:p>
            <w:pPr>
              <w:ind w:left="140"/>
              <w:spacing w:after="0"/>
              <w:rPr>
                <w:sz w:val="20"/>
                <w:szCs w:val="20"/>
                <w:color w:val="auto"/>
              </w:rPr>
            </w:pPr>
            <w:r>
              <w:rPr>
                <w:rFonts w:ascii="Arial" w:cs="Arial" w:eastAsia="Arial" w:hAnsi="Arial"/>
                <w:sz w:val="14"/>
                <w:szCs w:val="14"/>
                <w:color w:val="auto"/>
              </w:rPr>
              <w:t>Current</w:t>
            </w:r>
          </w:p>
        </w:tc>
        <w:tc>
          <w:tcPr>
            <w:tcW w:w="3920" w:type="dxa"/>
            <w:vAlign w:val="bottom"/>
          </w:tcPr>
          <w:p>
            <w:pPr>
              <w:ind w:left="60"/>
              <w:spacing w:after="0"/>
              <w:rPr>
                <w:sz w:val="20"/>
                <w:szCs w:val="20"/>
                <w:color w:val="auto"/>
              </w:rPr>
            </w:pPr>
            <w:r>
              <w:rPr>
                <w:rFonts w:ascii="Arial" w:cs="Arial" w:eastAsia="Arial" w:hAnsi="Arial"/>
                <w:sz w:val="14"/>
                <w:szCs w:val="14"/>
                <w:color w:val="auto"/>
              </w:rPr>
              <w:t>Recoverable energy costs</w:t>
            </w:r>
          </w:p>
        </w:tc>
        <w:tc>
          <w:tcPr>
            <w:tcW w:w="1220" w:type="dxa"/>
            <w:vAlign w:val="bottom"/>
          </w:tcPr>
          <w:p>
            <w:pPr>
              <w:jc w:val="right"/>
              <w:spacing w:after="0"/>
              <w:rPr>
                <w:sz w:val="20"/>
                <w:szCs w:val="20"/>
                <w:color w:val="auto"/>
              </w:rPr>
            </w:pPr>
            <w:r>
              <w:rPr>
                <w:rFonts w:ascii="Arial" w:cs="Arial" w:eastAsia="Arial" w:hAnsi="Arial"/>
                <w:sz w:val="14"/>
                <w:szCs w:val="14"/>
                <w:color w:val="auto"/>
              </w:rPr>
              <w:t>(47)</w:t>
            </w:r>
          </w:p>
        </w:tc>
        <w:tc>
          <w:tcPr>
            <w:tcW w:w="960" w:type="dxa"/>
            <w:vAlign w:val="bottom"/>
          </w:tcPr>
          <w:p>
            <w:pPr>
              <w:jc w:val="right"/>
              <w:spacing w:after="0"/>
              <w:rPr>
                <w:sz w:val="20"/>
                <w:szCs w:val="20"/>
                <w:color w:val="auto"/>
              </w:rPr>
            </w:pPr>
            <w:r>
              <w:rPr>
                <w:rFonts w:ascii="Arial" w:cs="Arial" w:eastAsia="Arial" w:hAnsi="Arial"/>
                <w:sz w:val="14"/>
                <w:szCs w:val="14"/>
                <w:color w:val="auto"/>
              </w:rPr>
              <w:t>(140)</w:t>
            </w:r>
          </w:p>
        </w:tc>
        <w:tc>
          <w:tcPr>
            <w:tcW w:w="3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5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189"/>
        </w:trPr>
        <w:tc>
          <w:tcPr>
            <w:tcW w:w="288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Noncurrent</w:t>
            </w:r>
          </w:p>
        </w:tc>
        <w:tc>
          <w:tcPr>
            <w:tcW w:w="3920" w:type="dxa"/>
            <w:vAlign w:val="bottom"/>
            <w:tcBorders>
              <w:bottom w:val="single" w:sz="8" w:color="8C8272"/>
            </w:tcBorders>
            <w:shd w:val="clear" w:color="auto" w:fill="E5E5E5"/>
          </w:tcPr>
          <w:p>
            <w:pPr>
              <w:ind w:left="60"/>
              <w:spacing w:after="0"/>
              <w:rPr>
                <w:sz w:val="20"/>
                <w:szCs w:val="20"/>
                <w:color w:val="auto"/>
              </w:rPr>
            </w:pPr>
            <w:r>
              <w:rPr>
                <w:rFonts w:ascii="Arial" w:cs="Arial" w:eastAsia="Arial" w:hAnsi="Arial"/>
                <w:sz w:val="14"/>
                <w:szCs w:val="14"/>
                <w:color w:val="auto"/>
              </w:rPr>
              <w:t>Deferred derivative losses</w:t>
            </w:r>
          </w:p>
        </w:tc>
        <w:tc>
          <w:tcPr>
            <w:tcW w:w="12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45</w:t>
            </w:r>
          </w:p>
        </w:tc>
        <w:tc>
          <w:tcPr>
            <w:tcW w:w="9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(58)</w:t>
            </w:r>
          </w:p>
        </w:tc>
        <w:tc>
          <w:tcPr>
            <w:tcW w:w="340" w:type="dxa"/>
            <w:vAlign w:val="bottom"/>
            <w:tcBorders>
              <w:bottom w:val="single" w:sz="8" w:color="8C8272"/>
            </w:tcBorders>
            <w:shd w:val="clear" w:color="auto" w:fill="E5E5E5"/>
          </w:tcPr>
          <w:p>
            <w:pPr>
              <w:spacing w:after="0"/>
              <w:rPr>
                <w:sz w:val="16"/>
                <w:szCs w:val="16"/>
                <w:color w:val="auto"/>
              </w:rPr>
            </w:pPr>
          </w:p>
        </w:tc>
        <w:tc>
          <w:tcPr>
            <w:tcW w:w="940" w:type="dxa"/>
            <w:vAlign w:val="bottom"/>
            <w:tcBorders>
              <w:bottom w:val="single" w:sz="8" w:color="8C8272"/>
            </w:tcBorders>
            <w:gridSpan w:val="2"/>
            <w:shd w:val="clear" w:color="auto" w:fill="E5E5E5"/>
          </w:tcPr>
          <w:p>
            <w:pPr>
              <w:jc w:val="right"/>
              <w:spacing w:after="0"/>
              <w:rPr>
                <w:sz w:val="20"/>
                <w:szCs w:val="20"/>
                <w:color w:val="auto"/>
              </w:rPr>
            </w:pPr>
            <w:r>
              <w:rPr>
                <w:rFonts w:ascii="Arial" w:cs="Arial" w:eastAsia="Arial" w:hAnsi="Arial"/>
                <w:sz w:val="14"/>
                <w:szCs w:val="14"/>
                <w:color w:val="auto"/>
              </w:rPr>
              <w:t>42</w:t>
            </w:r>
          </w:p>
        </w:tc>
        <w:tc>
          <w:tcPr>
            <w:tcW w:w="520" w:type="dxa"/>
            <w:vAlign w:val="bottom"/>
            <w:tcBorders>
              <w:bottom w:val="single" w:sz="8" w:color="8C8272"/>
            </w:tcBorders>
            <w:shd w:val="clear" w:color="auto" w:fill="E5E5E5"/>
          </w:tcPr>
          <w:p>
            <w:pPr>
              <w:spacing w:after="0"/>
              <w:rPr>
                <w:sz w:val="16"/>
                <w:szCs w:val="16"/>
                <w:color w:val="auto"/>
              </w:rPr>
            </w:pPr>
          </w:p>
        </w:tc>
        <w:tc>
          <w:tcPr>
            <w:tcW w:w="4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(58)</w:t>
            </w:r>
          </w:p>
        </w:tc>
      </w:tr>
      <w:tr>
        <w:trPr>
          <w:trHeight w:val="183"/>
        </w:trPr>
        <w:tc>
          <w:tcPr>
            <w:tcW w:w="2880" w:type="dxa"/>
            <w:vAlign w:val="bottom"/>
            <w:tcBorders>
              <w:bottom w:val="single" w:sz="8" w:color="8C8272"/>
            </w:tcBorders>
          </w:tcPr>
          <w:p>
            <w:pPr>
              <w:ind w:left="220"/>
              <w:spacing w:after="0"/>
              <w:rPr>
                <w:sz w:val="20"/>
                <w:szCs w:val="20"/>
                <w:color w:val="auto"/>
              </w:rPr>
            </w:pPr>
            <w:r>
              <w:rPr>
                <w:rFonts w:ascii="Arial" w:cs="Arial" w:eastAsia="Arial" w:hAnsi="Arial"/>
                <w:sz w:val="14"/>
                <w:szCs w:val="14"/>
                <w:color w:val="auto"/>
              </w:rPr>
              <w:t>Total deferred gains/(losses)</w:t>
            </w:r>
          </w:p>
        </w:tc>
        <w:tc>
          <w:tcPr>
            <w:tcW w:w="3920" w:type="dxa"/>
            <w:vAlign w:val="bottom"/>
            <w:tcBorders>
              <w:bottom w:val="single" w:sz="8" w:color="8C8272"/>
            </w:tcBorders>
          </w:tcPr>
          <w:p>
            <w:pPr>
              <w:spacing w:after="0"/>
              <w:rPr>
                <w:sz w:val="15"/>
                <w:szCs w:val="15"/>
                <w:color w:val="auto"/>
              </w:rPr>
            </w:pPr>
          </w:p>
        </w:tc>
        <w:tc>
          <w:tcPr>
            <w:tcW w:w="12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$27</w:t>
            </w:r>
          </w:p>
        </w:tc>
        <w:tc>
          <w:tcPr>
            <w:tcW w:w="9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$(176)</w:t>
            </w:r>
          </w:p>
        </w:tc>
        <w:tc>
          <w:tcPr>
            <w:tcW w:w="340" w:type="dxa"/>
            <w:vAlign w:val="bottom"/>
            <w:tcBorders>
              <w:bottom w:val="single" w:sz="8" w:color="8C8272"/>
            </w:tcBorders>
          </w:tcPr>
          <w:p>
            <w:pPr>
              <w:spacing w:after="0"/>
              <w:rPr>
                <w:sz w:val="15"/>
                <w:szCs w:val="15"/>
                <w:color w:val="auto"/>
              </w:rPr>
            </w:pPr>
          </w:p>
        </w:tc>
        <w:tc>
          <w:tcPr>
            <w:tcW w:w="940" w:type="dxa"/>
            <w:vAlign w:val="bottom"/>
            <w:tcBorders>
              <w:bottom w:val="single" w:sz="8" w:color="8C8272"/>
            </w:tcBorders>
            <w:gridSpan w:val="2"/>
          </w:tcPr>
          <w:p>
            <w:pPr>
              <w:jc w:val="right"/>
              <w:spacing w:after="0"/>
              <w:rPr>
                <w:sz w:val="20"/>
                <w:szCs w:val="20"/>
                <w:color w:val="auto"/>
              </w:rPr>
            </w:pPr>
            <w:r>
              <w:rPr>
                <w:rFonts w:ascii="Arial" w:cs="Arial" w:eastAsia="Arial" w:hAnsi="Arial"/>
                <w:sz w:val="14"/>
                <w:szCs w:val="14"/>
                <w:color w:val="auto"/>
              </w:rPr>
              <w:t>$24</w:t>
            </w:r>
          </w:p>
        </w:tc>
        <w:tc>
          <w:tcPr>
            <w:tcW w:w="520" w:type="dxa"/>
            <w:vAlign w:val="bottom"/>
            <w:tcBorders>
              <w:bottom w:val="single" w:sz="8" w:color="8C8272"/>
            </w:tcBorders>
          </w:tcPr>
          <w:p>
            <w:pPr>
              <w:spacing w:after="0"/>
              <w:rPr>
                <w:sz w:val="15"/>
                <w:szCs w:val="15"/>
                <w:color w:val="auto"/>
              </w:rPr>
            </w:pPr>
          </w:p>
        </w:tc>
        <w:tc>
          <w:tcPr>
            <w:tcW w:w="4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w w:val="98"/>
              </w:rPr>
              <w:t>$(164)</w:t>
            </w:r>
          </w:p>
        </w:tc>
      </w:tr>
      <w:tr>
        <w:trPr>
          <w:trHeight w:val="183"/>
        </w:trPr>
        <w:tc>
          <w:tcPr>
            <w:tcW w:w="2880" w:type="dxa"/>
            <w:vAlign w:val="bottom"/>
            <w:tcBorders>
              <w:bottom w:val="single" w:sz="8" w:color="8C8272"/>
            </w:tcBorders>
            <w:shd w:val="clear" w:color="auto" w:fill="E5E5E5"/>
          </w:tcPr>
          <w:p>
            <w:pPr>
              <w:ind w:left="360"/>
              <w:spacing w:after="0"/>
              <w:rPr>
                <w:sz w:val="20"/>
                <w:szCs w:val="20"/>
                <w:color w:val="auto"/>
              </w:rPr>
            </w:pPr>
            <w:r>
              <w:rPr>
                <w:rFonts w:ascii="Arial" w:cs="Arial" w:eastAsia="Arial" w:hAnsi="Arial"/>
                <w:sz w:val="14"/>
                <w:szCs w:val="14"/>
                <w:color w:val="auto"/>
              </w:rPr>
              <w:t>Net deferred gains/(losses)</w:t>
            </w:r>
          </w:p>
        </w:tc>
        <w:tc>
          <w:tcPr>
            <w:tcW w:w="3920" w:type="dxa"/>
            <w:vAlign w:val="bottom"/>
            <w:tcBorders>
              <w:bottom w:val="single" w:sz="8" w:color="8C8272"/>
            </w:tcBorders>
            <w:shd w:val="clear" w:color="auto" w:fill="E5E5E5"/>
          </w:tcPr>
          <w:p>
            <w:pPr>
              <w:spacing w:after="0"/>
              <w:rPr>
                <w:sz w:val="15"/>
                <w:szCs w:val="15"/>
                <w:color w:val="auto"/>
              </w:rPr>
            </w:pPr>
          </w:p>
        </w:tc>
        <w:tc>
          <w:tcPr>
            <w:tcW w:w="12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$209</w:t>
            </w:r>
          </w:p>
        </w:tc>
        <w:tc>
          <w:tcPr>
            <w:tcW w:w="9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$(182)</w:t>
            </w:r>
          </w:p>
        </w:tc>
        <w:tc>
          <w:tcPr>
            <w:tcW w:w="340" w:type="dxa"/>
            <w:vAlign w:val="bottom"/>
            <w:tcBorders>
              <w:bottom w:val="single" w:sz="8" w:color="8C8272"/>
            </w:tcBorders>
            <w:shd w:val="clear" w:color="auto" w:fill="E5E5E5"/>
          </w:tcPr>
          <w:p>
            <w:pPr>
              <w:spacing w:after="0"/>
              <w:rPr>
                <w:sz w:val="15"/>
                <w:szCs w:val="15"/>
                <w:color w:val="auto"/>
              </w:rPr>
            </w:pPr>
          </w:p>
        </w:tc>
        <w:tc>
          <w:tcPr>
            <w:tcW w:w="940" w:type="dxa"/>
            <w:vAlign w:val="bottom"/>
            <w:tcBorders>
              <w:bottom w:val="single" w:sz="8" w:color="8C8272"/>
            </w:tcBorders>
            <w:gridSpan w:val="2"/>
            <w:shd w:val="clear" w:color="auto" w:fill="E5E5E5"/>
          </w:tcPr>
          <w:p>
            <w:pPr>
              <w:jc w:val="right"/>
              <w:spacing w:after="0"/>
              <w:rPr>
                <w:sz w:val="20"/>
                <w:szCs w:val="20"/>
                <w:color w:val="auto"/>
              </w:rPr>
            </w:pPr>
            <w:r>
              <w:rPr>
                <w:rFonts w:ascii="Arial" w:cs="Arial" w:eastAsia="Arial" w:hAnsi="Arial"/>
                <w:sz w:val="14"/>
                <w:szCs w:val="14"/>
                <w:color w:val="auto"/>
              </w:rPr>
              <w:t>$192</w:t>
            </w:r>
          </w:p>
        </w:tc>
        <w:tc>
          <w:tcPr>
            <w:tcW w:w="520" w:type="dxa"/>
            <w:vAlign w:val="bottom"/>
            <w:tcBorders>
              <w:bottom w:val="single" w:sz="8" w:color="8C8272"/>
            </w:tcBorders>
            <w:shd w:val="clear" w:color="auto" w:fill="E5E5E5"/>
          </w:tcPr>
          <w:p>
            <w:pPr>
              <w:spacing w:after="0"/>
              <w:rPr>
                <w:sz w:val="15"/>
                <w:szCs w:val="15"/>
                <w:color w:val="auto"/>
              </w:rPr>
            </w:pPr>
          </w:p>
        </w:tc>
        <w:tc>
          <w:tcPr>
            <w:tcW w:w="4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w w:val="98"/>
              </w:rPr>
              <w:t>$(170)</w:t>
            </w:r>
          </w:p>
        </w:tc>
      </w:tr>
      <w:tr>
        <w:trPr>
          <w:trHeight w:val="183"/>
        </w:trPr>
        <w:tc>
          <w:tcPr>
            <w:tcW w:w="2880" w:type="dxa"/>
            <w:vAlign w:val="bottom"/>
            <w:tcBorders>
              <w:bottom w:val="single" w:sz="8" w:color="8C8272"/>
            </w:tcBorders>
          </w:tcPr>
          <w:p>
            <w:pPr>
              <w:spacing w:after="0"/>
              <w:rPr>
                <w:sz w:val="15"/>
                <w:szCs w:val="15"/>
                <w:color w:val="auto"/>
              </w:rPr>
            </w:pPr>
          </w:p>
        </w:tc>
        <w:tc>
          <w:tcPr>
            <w:tcW w:w="3920" w:type="dxa"/>
            <w:vAlign w:val="bottom"/>
            <w:tcBorders>
              <w:bottom w:val="single" w:sz="8" w:color="8C8272"/>
            </w:tcBorders>
          </w:tcPr>
          <w:p>
            <w:pPr>
              <w:ind w:left="60"/>
              <w:spacing w:after="0"/>
              <w:rPr>
                <w:sz w:val="20"/>
                <w:szCs w:val="20"/>
                <w:color w:val="auto"/>
              </w:rPr>
            </w:pPr>
            <w:r>
              <w:rPr>
                <w:rFonts w:ascii="Arial" w:cs="Arial" w:eastAsia="Arial" w:hAnsi="Arial"/>
                <w:sz w:val="14"/>
                <w:szCs w:val="14"/>
                <w:b w:val="1"/>
                <w:bCs w:val="1"/>
                <w:color w:val="auto"/>
              </w:rPr>
              <w:t>Income Statement Location</w:t>
            </w:r>
          </w:p>
        </w:tc>
        <w:tc>
          <w:tcPr>
            <w:tcW w:w="1220" w:type="dxa"/>
            <w:vAlign w:val="bottom"/>
            <w:tcBorders>
              <w:bottom w:val="single" w:sz="8" w:color="8C8272"/>
            </w:tcBorders>
          </w:tcPr>
          <w:p>
            <w:pPr>
              <w:spacing w:after="0"/>
              <w:rPr>
                <w:sz w:val="15"/>
                <w:szCs w:val="15"/>
                <w:color w:val="auto"/>
              </w:rPr>
            </w:pPr>
          </w:p>
        </w:tc>
        <w:tc>
          <w:tcPr>
            <w:tcW w:w="960" w:type="dxa"/>
            <w:vAlign w:val="bottom"/>
            <w:tcBorders>
              <w:bottom w:val="single" w:sz="8" w:color="8C8272"/>
            </w:tcBorders>
          </w:tcPr>
          <w:p>
            <w:pPr>
              <w:spacing w:after="0"/>
              <w:rPr>
                <w:sz w:val="15"/>
                <w:szCs w:val="15"/>
                <w:color w:val="auto"/>
              </w:rPr>
            </w:pPr>
          </w:p>
        </w:tc>
        <w:tc>
          <w:tcPr>
            <w:tcW w:w="340" w:type="dxa"/>
            <w:vAlign w:val="bottom"/>
            <w:tcBorders>
              <w:bottom w:val="single" w:sz="8" w:color="8C8272"/>
            </w:tcBorders>
          </w:tcPr>
          <w:p>
            <w:pPr>
              <w:spacing w:after="0"/>
              <w:rPr>
                <w:sz w:val="15"/>
                <w:szCs w:val="15"/>
                <w:color w:val="auto"/>
              </w:rPr>
            </w:pPr>
          </w:p>
        </w:tc>
        <w:tc>
          <w:tcPr>
            <w:tcW w:w="20" w:type="dxa"/>
            <w:vAlign w:val="bottom"/>
            <w:tcBorders>
              <w:bottom w:val="single" w:sz="8" w:color="8C8272"/>
            </w:tcBorders>
          </w:tcPr>
          <w:p>
            <w:pPr>
              <w:spacing w:after="0"/>
              <w:rPr>
                <w:sz w:val="15"/>
                <w:szCs w:val="15"/>
                <w:color w:val="auto"/>
              </w:rPr>
            </w:pPr>
          </w:p>
        </w:tc>
        <w:tc>
          <w:tcPr>
            <w:tcW w:w="920" w:type="dxa"/>
            <w:vAlign w:val="bottom"/>
            <w:tcBorders>
              <w:bottom w:val="single" w:sz="8" w:color="8C8272"/>
            </w:tcBorders>
          </w:tcPr>
          <w:p>
            <w:pPr>
              <w:spacing w:after="0"/>
              <w:rPr>
                <w:sz w:val="15"/>
                <w:szCs w:val="15"/>
                <w:color w:val="auto"/>
              </w:rPr>
            </w:pPr>
          </w:p>
        </w:tc>
        <w:tc>
          <w:tcPr>
            <w:tcW w:w="520" w:type="dxa"/>
            <w:vAlign w:val="bottom"/>
            <w:tcBorders>
              <w:bottom w:val="single" w:sz="8" w:color="8C8272"/>
            </w:tcBorders>
          </w:tcPr>
          <w:p>
            <w:pPr>
              <w:spacing w:after="0"/>
              <w:rPr>
                <w:sz w:val="15"/>
                <w:szCs w:val="15"/>
                <w:color w:val="auto"/>
              </w:rPr>
            </w:pPr>
          </w:p>
        </w:tc>
        <w:tc>
          <w:tcPr>
            <w:tcW w:w="440" w:type="dxa"/>
            <w:vAlign w:val="bottom"/>
            <w:tcBorders>
              <w:bottom w:val="single" w:sz="8" w:color="8C8272"/>
            </w:tcBorders>
          </w:tcPr>
          <w:p>
            <w:pPr>
              <w:spacing w:after="0"/>
              <w:rPr>
                <w:sz w:val="15"/>
                <w:szCs w:val="15"/>
                <w:color w:val="auto"/>
              </w:rPr>
            </w:pPr>
          </w:p>
        </w:tc>
      </w:tr>
      <w:tr>
        <w:trPr>
          <w:trHeight w:val="183"/>
        </w:trPr>
        <w:tc>
          <w:tcPr>
            <w:tcW w:w="2880" w:type="dxa"/>
            <w:vAlign w:val="bottom"/>
            <w:shd w:val="clear" w:color="auto" w:fill="E5E5E5"/>
          </w:tcPr>
          <w:p>
            <w:pPr>
              <w:ind w:left="20"/>
              <w:spacing w:after="0"/>
              <w:rPr>
                <w:sz w:val="20"/>
                <w:szCs w:val="20"/>
                <w:color w:val="auto"/>
              </w:rPr>
            </w:pPr>
            <w:r>
              <w:rPr>
                <w:rFonts w:ascii="Arial" w:cs="Arial" w:eastAsia="Arial" w:hAnsi="Arial"/>
                <w:sz w:val="14"/>
                <w:szCs w:val="14"/>
                <w:color w:val="auto"/>
              </w:rPr>
              <w:t>Pre-tax gains/(losses) recognized in income</w:t>
            </w:r>
          </w:p>
        </w:tc>
        <w:tc>
          <w:tcPr>
            <w:tcW w:w="3920" w:type="dxa"/>
            <w:vAlign w:val="bottom"/>
            <w:shd w:val="clear" w:color="auto" w:fill="E5E5E5"/>
          </w:tcPr>
          <w:p>
            <w:pPr>
              <w:spacing w:after="0"/>
              <w:rPr>
                <w:sz w:val="15"/>
                <w:szCs w:val="15"/>
                <w:color w:val="auto"/>
              </w:rPr>
            </w:pPr>
          </w:p>
        </w:tc>
        <w:tc>
          <w:tcPr>
            <w:tcW w:w="122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r>
      <w:tr>
        <w:trPr>
          <w:trHeight w:val="189"/>
        </w:trPr>
        <w:tc>
          <w:tcPr>
            <w:tcW w:w="2880" w:type="dxa"/>
            <w:vAlign w:val="bottom"/>
          </w:tcPr>
          <w:p>
            <w:pPr>
              <w:spacing w:after="0"/>
              <w:rPr>
                <w:sz w:val="16"/>
                <w:szCs w:val="16"/>
                <w:color w:val="auto"/>
              </w:rPr>
            </w:pPr>
          </w:p>
        </w:tc>
        <w:tc>
          <w:tcPr>
            <w:tcW w:w="3920" w:type="dxa"/>
            <w:vAlign w:val="bottom"/>
          </w:tcPr>
          <w:p>
            <w:pPr>
              <w:ind w:left="60"/>
              <w:spacing w:after="0"/>
              <w:rPr>
                <w:sz w:val="20"/>
                <w:szCs w:val="20"/>
                <w:color w:val="auto"/>
              </w:rPr>
            </w:pPr>
            <w:r>
              <w:rPr>
                <w:rFonts w:ascii="Arial" w:cs="Arial" w:eastAsia="Arial" w:hAnsi="Arial"/>
                <w:sz w:val="14"/>
                <w:szCs w:val="14"/>
                <w:color w:val="auto"/>
              </w:rPr>
              <w:t>Gas purchased for resale</w:t>
            </w:r>
          </w:p>
        </w:tc>
        <w:tc>
          <w:tcPr>
            <w:tcW w:w="1220" w:type="dxa"/>
            <w:vAlign w:val="bottom"/>
          </w:tcPr>
          <w:p>
            <w:pPr>
              <w:jc w:val="right"/>
              <w:spacing w:after="0"/>
              <w:rPr>
                <w:sz w:val="20"/>
                <w:szCs w:val="20"/>
                <w:color w:val="auto"/>
              </w:rPr>
            </w:pPr>
            <w:r>
              <w:rPr>
                <w:rFonts w:ascii="Arial" w:cs="Arial" w:eastAsia="Arial" w:hAnsi="Arial"/>
                <w:sz w:val="14"/>
                <w:szCs w:val="14"/>
                <w:color w:val="auto"/>
              </w:rPr>
              <w:t>$2</w:t>
            </w: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2880" w:type="dxa"/>
            <w:vAlign w:val="bottom"/>
            <w:shd w:val="clear" w:color="auto" w:fill="E5E5E5"/>
          </w:tcPr>
          <w:p>
            <w:pPr>
              <w:spacing w:after="0"/>
              <w:rPr>
                <w:sz w:val="17"/>
                <w:szCs w:val="17"/>
                <w:color w:val="auto"/>
              </w:rPr>
            </w:pPr>
          </w:p>
        </w:tc>
        <w:tc>
          <w:tcPr>
            <w:tcW w:w="3920" w:type="dxa"/>
            <w:vAlign w:val="bottom"/>
            <w:shd w:val="clear" w:color="auto" w:fill="E5E5E5"/>
          </w:tcPr>
          <w:p>
            <w:pPr>
              <w:ind w:left="60"/>
              <w:spacing w:after="0"/>
              <w:rPr>
                <w:sz w:val="20"/>
                <w:szCs w:val="20"/>
                <w:color w:val="auto"/>
              </w:rPr>
            </w:pPr>
            <w:r>
              <w:rPr>
                <w:rFonts w:ascii="Arial" w:cs="Arial" w:eastAsia="Arial" w:hAnsi="Arial"/>
                <w:sz w:val="14"/>
                <w:szCs w:val="14"/>
                <w:color w:val="auto"/>
              </w:rPr>
              <w:t>Non-utility revenue</w:t>
            </w: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440" w:type="dxa"/>
            <w:vAlign w:val="bottom"/>
            <w:gridSpan w:val="2"/>
            <w:shd w:val="clear" w:color="auto" w:fill="E5E5E5"/>
          </w:tcPr>
          <w:p>
            <w:pPr>
              <w:jc w:val="right"/>
              <w:ind w:right="580"/>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2880" w:type="dxa"/>
            <w:vAlign w:val="bottom"/>
          </w:tcPr>
          <w:p>
            <w:pPr>
              <w:spacing w:after="0"/>
              <w:rPr>
                <w:sz w:val="16"/>
                <w:szCs w:val="16"/>
                <w:color w:val="auto"/>
              </w:rPr>
            </w:pPr>
          </w:p>
        </w:tc>
        <w:tc>
          <w:tcPr>
            <w:tcW w:w="3920" w:type="dxa"/>
            <w:vAlign w:val="bottom"/>
          </w:tcPr>
          <w:p>
            <w:pPr>
              <w:ind w:left="60"/>
              <w:spacing w:after="0"/>
              <w:rPr>
                <w:sz w:val="20"/>
                <w:szCs w:val="20"/>
                <w:color w:val="auto"/>
              </w:rPr>
            </w:pPr>
            <w:r>
              <w:rPr>
                <w:rFonts w:ascii="Arial" w:cs="Arial" w:eastAsia="Arial" w:hAnsi="Arial"/>
                <w:sz w:val="14"/>
                <w:szCs w:val="14"/>
                <w:color w:val="auto"/>
              </w:rPr>
              <w:t>Other operations and maintenance expense</w:t>
            </w: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9"/>
        </w:trPr>
        <w:tc>
          <w:tcPr>
            <w:tcW w:w="2880" w:type="dxa"/>
            <w:vAlign w:val="bottom"/>
            <w:tcBorders>
              <w:bottom w:val="single" w:sz="8" w:color="8C8272"/>
            </w:tcBorders>
            <w:shd w:val="clear" w:color="auto" w:fill="E5E5E5"/>
          </w:tcPr>
          <w:p>
            <w:pPr>
              <w:spacing w:after="0"/>
              <w:rPr>
                <w:sz w:val="16"/>
                <w:szCs w:val="16"/>
                <w:color w:val="auto"/>
              </w:rPr>
            </w:pPr>
          </w:p>
        </w:tc>
        <w:tc>
          <w:tcPr>
            <w:tcW w:w="3920" w:type="dxa"/>
            <w:vAlign w:val="bottom"/>
            <w:tcBorders>
              <w:bottom w:val="single" w:sz="8" w:color="8C8272"/>
            </w:tcBorders>
            <w:shd w:val="clear" w:color="auto" w:fill="E5E5E5"/>
          </w:tcPr>
          <w:p>
            <w:pPr>
              <w:ind w:left="60"/>
              <w:spacing w:after="0"/>
              <w:rPr>
                <w:sz w:val="20"/>
                <w:szCs w:val="20"/>
                <w:color w:val="auto"/>
              </w:rPr>
            </w:pPr>
            <w:r>
              <w:rPr>
                <w:rFonts w:ascii="Arial" w:cs="Arial" w:eastAsia="Arial" w:hAnsi="Arial"/>
                <w:sz w:val="14"/>
                <w:szCs w:val="14"/>
                <w:color w:val="auto"/>
              </w:rPr>
              <w:t>Other interest expense</w:t>
            </w:r>
          </w:p>
        </w:tc>
        <w:tc>
          <w:tcPr>
            <w:tcW w:w="12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34</w:t>
            </w:r>
          </w:p>
        </w:tc>
        <w:tc>
          <w:tcPr>
            <w:tcW w:w="96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(89)</w:t>
            </w:r>
          </w:p>
        </w:tc>
        <w:tc>
          <w:tcPr>
            <w:tcW w:w="340" w:type="dxa"/>
            <w:vAlign w:val="bottom"/>
            <w:tcBorders>
              <w:bottom w:val="single" w:sz="8" w:color="8C8272"/>
            </w:tcBorders>
            <w:shd w:val="clear" w:color="auto" w:fill="E5E5E5"/>
          </w:tcPr>
          <w:p>
            <w:pPr>
              <w:spacing w:after="0"/>
              <w:rPr>
                <w:sz w:val="16"/>
                <w:szCs w:val="16"/>
                <w:color w:val="auto"/>
              </w:rPr>
            </w:pPr>
          </w:p>
        </w:tc>
        <w:tc>
          <w:tcPr>
            <w:tcW w:w="20" w:type="dxa"/>
            <w:vAlign w:val="bottom"/>
            <w:tcBorders>
              <w:bottom w:val="single" w:sz="8" w:color="8C8272"/>
            </w:tcBorders>
            <w:shd w:val="clear" w:color="auto" w:fill="E5E5E5"/>
          </w:tcPr>
          <w:p>
            <w:pPr>
              <w:spacing w:after="0"/>
              <w:rPr>
                <w:sz w:val="16"/>
                <w:szCs w:val="16"/>
                <w:color w:val="auto"/>
              </w:rPr>
            </w:pPr>
          </w:p>
        </w:tc>
        <w:tc>
          <w:tcPr>
            <w:tcW w:w="92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8C8272"/>
            </w:tcBorders>
            <w:shd w:val="clear" w:color="auto" w:fill="E5E5E5"/>
          </w:tcPr>
          <w:p>
            <w:pPr>
              <w:spacing w:after="0"/>
              <w:rPr>
                <w:sz w:val="16"/>
                <w:szCs w:val="16"/>
                <w:color w:val="auto"/>
              </w:rPr>
            </w:pPr>
          </w:p>
        </w:tc>
        <w:tc>
          <w:tcPr>
            <w:tcW w:w="44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183"/>
        </w:trPr>
        <w:tc>
          <w:tcPr>
            <w:tcW w:w="6800" w:type="dxa"/>
            <w:vAlign w:val="bottom"/>
            <w:tcBorders>
              <w:bottom w:val="single" w:sz="8" w:color="8C8272"/>
            </w:tcBorders>
            <w:gridSpan w:val="2"/>
          </w:tcPr>
          <w:p>
            <w:pPr>
              <w:ind w:left="140"/>
              <w:spacing w:after="0"/>
              <w:rPr>
                <w:sz w:val="20"/>
                <w:szCs w:val="20"/>
                <w:color w:val="auto"/>
              </w:rPr>
            </w:pPr>
            <w:r>
              <w:rPr>
                <w:rFonts w:ascii="Arial" w:cs="Arial" w:eastAsia="Arial" w:hAnsi="Arial"/>
                <w:sz w:val="14"/>
                <w:szCs w:val="14"/>
                <w:color w:val="auto"/>
              </w:rPr>
              <w:t>Total pre-tax gains/(losses) recognized in income</w:t>
            </w:r>
          </w:p>
        </w:tc>
        <w:tc>
          <w:tcPr>
            <w:tcW w:w="12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$41</w:t>
            </w:r>
          </w:p>
        </w:tc>
        <w:tc>
          <w:tcPr>
            <w:tcW w:w="9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$(92)</w:t>
            </w:r>
          </w:p>
        </w:tc>
        <w:tc>
          <w:tcPr>
            <w:tcW w:w="340" w:type="dxa"/>
            <w:vAlign w:val="bottom"/>
            <w:tcBorders>
              <w:bottom w:val="single" w:sz="8" w:color="8C8272"/>
            </w:tcBorders>
          </w:tcPr>
          <w:p>
            <w:pPr>
              <w:spacing w:after="0"/>
              <w:rPr>
                <w:sz w:val="15"/>
                <w:szCs w:val="15"/>
                <w:color w:val="auto"/>
              </w:rPr>
            </w:pPr>
          </w:p>
        </w:tc>
        <w:tc>
          <w:tcPr>
            <w:tcW w:w="940" w:type="dxa"/>
            <w:vAlign w:val="bottom"/>
            <w:tcBorders>
              <w:bottom w:val="single" w:sz="8" w:color="8C8272"/>
            </w:tcBorders>
            <w:gridSpan w:val="2"/>
          </w:tcPr>
          <w:p>
            <w:pPr>
              <w:jc w:val="right"/>
              <w:spacing w:after="0"/>
              <w:rPr>
                <w:sz w:val="20"/>
                <w:szCs w:val="20"/>
                <w:color w:val="auto"/>
              </w:rPr>
            </w:pPr>
            <w:r>
              <w:rPr>
                <w:rFonts w:ascii="Arial" w:cs="Arial" w:eastAsia="Arial" w:hAnsi="Arial"/>
                <w:sz w:val="14"/>
                <w:szCs w:val="14"/>
                <w:color w:val="auto"/>
              </w:rPr>
              <w:t>$4</w:t>
            </w:r>
          </w:p>
        </w:tc>
        <w:tc>
          <w:tcPr>
            <w:tcW w:w="520" w:type="dxa"/>
            <w:vAlign w:val="bottom"/>
            <w:tcBorders>
              <w:bottom w:val="single" w:sz="8" w:color="8C8272"/>
            </w:tcBorders>
          </w:tcPr>
          <w:p>
            <w:pPr>
              <w:spacing w:after="0"/>
              <w:rPr>
                <w:sz w:val="15"/>
                <w:szCs w:val="15"/>
                <w:color w:val="auto"/>
              </w:rPr>
            </w:pPr>
          </w:p>
        </w:tc>
        <w:tc>
          <w:tcPr>
            <w:tcW w:w="4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-2887980</wp:posOffset>
            </wp:positionV>
            <wp:extent cx="8890" cy="1714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-2862580</wp:posOffset>
            </wp:positionV>
            <wp:extent cx="889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-2845435</wp:posOffset>
            </wp:positionV>
            <wp:extent cx="889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-2828290</wp:posOffset>
            </wp:positionV>
            <wp:extent cx="889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-2811145</wp:posOffset>
            </wp:positionV>
            <wp:extent cx="889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-2794000</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-2776855</wp:posOffset>
            </wp:positionV>
            <wp:extent cx="889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-2991485</wp:posOffset>
            </wp:positionV>
            <wp:extent cx="889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-2973705</wp:posOffset>
            </wp:positionV>
            <wp:extent cx="889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-2957195</wp:posOffset>
            </wp:positionV>
            <wp:extent cx="889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-2939415</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-2922270</wp:posOffset>
            </wp:positionV>
            <wp:extent cx="889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-2905760</wp:posOffset>
            </wp:positionV>
            <wp:extent cx="889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-3110865</wp:posOffset>
            </wp:positionV>
            <wp:extent cx="889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-3093720</wp:posOffset>
            </wp:positionV>
            <wp:extent cx="889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-3077210</wp:posOffset>
            </wp:positionV>
            <wp:extent cx="889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-3059430</wp:posOffset>
            </wp:positionV>
            <wp:extent cx="88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-3042920</wp:posOffset>
            </wp:positionV>
            <wp:extent cx="889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-3025140</wp:posOffset>
            </wp:positionV>
            <wp:extent cx="8890" cy="2540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-4885690</wp:posOffset>
            </wp:positionV>
            <wp:extent cx="600075" cy="176593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600075" cy="176593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-128270</wp:posOffset>
            </wp:positionV>
            <wp:extent cx="8890" cy="1714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-102235</wp:posOffset>
            </wp:positionV>
            <wp:extent cx="889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-85090</wp:posOffset>
            </wp:positionV>
            <wp:extent cx="889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-67945</wp:posOffset>
            </wp:positionV>
            <wp:extent cx="889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-50800</wp:posOffset>
            </wp:positionV>
            <wp:extent cx="889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-33655</wp:posOffset>
            </wp:positionV>
            <wp:extent cx="889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-16510</wp:posOffset>
            </wp:positionV>
            <wp:extent cx="889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-231140</wp:posOffset>
            </wp:positionV>
            <wp:extent cx="889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-213995</wp:posOffset>
            </wp:positionV>
            <wp:extent cx="889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-196850</wp:posOffset>
            </wp:positionV>
            <wp:extent cx="889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-179705</wp:posOffset>
            </wp:positionV>
            <wp:extent cx="889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-162560</wp:posOffset>
            </wp:positionV>
            <wp:extent cx="889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-145415</wp:posOffset>
            </wp:positionV>
            <wp:extent cx="889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-351155</wp:posOffset>
            </wp:positionV>
            <wp:extent cx="889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-334010</wp:posOffset>
            </wp:positionV>
            <wp:extent cx="889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-316865</wp:posOffset>
            </wp:positionV>
            <wp:extent cx="889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-299720</wp:posOffset>
            </wp:positionV>
            <wp:extent cx="889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-281940</wp:posOffset>
            </wp:positionV>
            <wp:extent cx="889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-265430</wp:posOffset>
            </wp:positionV>
            <wp:extent cx="8890" cy="2540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-2125345</wp:posOffset>
            </wp:positionV>
            <wp:extent cx="600075" cy="176593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600075" cy="17659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hedged volume of Con Edison’s and CECONY’s commodity derivative transactions at June 30,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800" w:type="dxa"/>
            <w:vAlign w:val="bottom"/>
          </w:tcPr>
          <w:p>
            <w:pPr>
              <w:jc w:val="right"/>
              <w:ind w:right="248"/>
              <w:spacing w:after="0"/>
              <w:rPr>
                <w:sz w:val="20"/>
                <w:szCs w:val="20"/>
                <w:color w:val="auto"/>
              </w:rPr>
            </w:pPr>
            <w:r>
              <w:rPr>
                <w:rFonts w:ascii="Arial" w:cs="Arial" w:eastAsia="Arial" w:hAnsi="Arial"/>
                <w:sz w:val="14"/>
                <w:szCs w:val="14"/>
                <w:b w:val="1"/>
                <w:bCs w:val="1"/>
                <w:color w:val="auto"/>
              </w:rPr>
              <w:t>Electric Energy</w:t>
            </w:r>
          </w:p>
        </w:tc>
        <w:tc>
          <w:tcPr>
            <w:tcW w:w="16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Capacity (MW) (a)</w:t>
            </w:r>
          </w:p>
        </w:tc>
        <w:tc>
          <w:tcPr>
            <w:tcW w:w="1200" w:type="dxa"/>
            <w:vAlign w:val="bottom"/>
          </w:tcPr>
          <w:p>
            <w:pPr>
              <w:jc w:val="right"/>
              <w:ind w:right="188"/>
              <w:spacing w:after="0"/>
              <w:rPr>
                <w:sz w:val="20"/>
                <w:szCs w:val="20"/>
                <w:color w:val="auto"/>
              </w:rPr>
            </w:pPr>
            <w:r>
              <w:rPr>
                <w:rFonts w:ascii="Arial" w:cs="Arial" w:eastAsia="Arial" w:hAnsi="Arial"/>
                <w:sz w:val="14"/>
                <w:szCs w:val="14"/>
                <w:b w:val="1"/>
                <w:bCs w:val="1"/>
                <w:color w:val="auto"/>
              </w:rPr>
              <w:t>Natural Gas</w:t>
            </w: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auto"/>
              </w:rPr>
              <w:t>Refined Fuels</w:t>
            </w:r>
          </w:p>
        </w:tc>
        <w:tc>
          <w:tcPr>
            <w:tcW w:w="0" w:type="dxa"/>
            <w:vAlign w:val="bottom"/>
          </w:tcPr>
          <w:p>
            <w:pPr>
              <w:spacing w:after="0"/>
              <w:rPr>
                <w:sz w:val="1"/>
                <w:szCs w:val="1"/>
                <w:color w:val="auto"/>
              </w:rPr>
            </w:pPr>
          </w:p>
        </w:tc>
      </w:tr>
      <w:tr>
        <w:trPr>
          <w:trHeight w:val="175"/>
        </w:trPr>
        <w:tc>
          <w:tcPr>
            <w:tcW w:w="3220" w:type="dxa"/>
            <w:vAlign w:val="bottom"/>
            <w:tcBorders>
              <w:bottom w:val="single" w:sz="8" w:color="8C8272"/>
            </w:tcBorders>
          </w:tcPr>
          <w:p>
            <w:pPr>
              <w:spacing w:after="0"/>
              <w:rPr>
                <w:sz w:val="15"/>
                <w:szCs w:val="15"/>
                <w:color w:val="auto"/>
              </w:rPr>
            </w:pPr>
          </w:p>
        </w:tc>
        <w:tc>
          <w:tcPr>
            <w:tcW w:w="3800" w:type="dxa"/>
            <w:vAlign w:val="bottom"/>
            <w:tcBorders>
              <w:bottom w:val="single" w:sz="8" w:color="8C8272"/>
            </w:tcBorders>
          </w:tcPr>
          <w:p>
            <w:pPr>
              <w:jc w:val="right"/>
              <w:ind w:right="348"/>
              <w:spacing w:after="0"/>
              <w:rPr>
                <w:sz w:val="20"/>
                <w:szCs w:val="20"/>
                <w:color w:val="auto"/>
              </w:rPr>
            </w:pPr>
            <w:r>
              <w:rPr>
                <w:rFonts w:ascii="Arial" w:cs="Arial" w:eastAsia="Arial" w:hAnsi="Arial"/>
                <w:sz w:val="14"/>
                <w:szCs w:val="14"/>
                <w:b w:val="1"/>
                <w:bCs w:val="1"/>
                <w:color w:val="auto"/>
              </w:rPr>
              <w:t>(MWh) (a)(b)</w:t>
            </w:r>
          </w:p>
        </w:tc>
        <w:tc>
          <w:tcPr>
            <w:tcW w:w="1680" w:type="dxa"/>
            <w:vAlign w:val="bottom"/>
            <w:tcBorders>
              <w:bottom w:val="single" w:sz="8" w:color="8C8272"/>
            </w:tcBorders>
            <w:vMerge w:val="continue"/>
          </w:tcPr>
          <w:p>
            <w:pPr>
              <w:spacing w:after="0"/>
              <w:rPr>
                <w:sz w:val="15"/>
                <w:szCs w:val="15"/>
                <w:color w:val="auto"/>
              </w:rPr>
            </w:pPr>
          </w:p>
        </w:tc>
        <w:tc>
          <w:tcPr>
            <w:tcW w:w="1200" w:type="dxa"/>
            <w:vAlign w:val="bottom"/>
            <w:tcBorders>
              <w:bottom w:val="single" w:sz="8" w:color="8C8272"/>
            </w:tcBorders>
          </w:tcPr>
          <w:p>
            <w:pPr>
              <w:jc w:val="right"/>
              <w:ind w:right="268"/>
              <w:spacing w:after="0"/>
              <w:rPr>
                <w:sz w:val="20"/>
                <w:szCs w:val="20"/>
                <w:color w:val="auto"/>
              </w:rPr>
            </w:pPr>
            <w:r>
              <w:rPr>
                <w:rFonts w:ascii="Arial" w:cs="Arial" w:eastAsia="Arial" w:hAnsi="Arial"/>
                <w:sz w:val="14"/>
                <w:szCs w:val="14"/>
                <w:b w:val="1"/>
                <w:bCs w:val="1"/>
                <w:color w:val="auto"/>
              </w:rPr>
              <w:t>(Dt) (a)(b)</w:t>
            </w:r>
          </w:p>
        </w:tc>
        <w:tc>
          <w:tcPr>
            <w:tcW w:w="1300" w:type="dxa"/>
            <w:vAlign w:val="bottom"/>
            <w:tcBorders>
              <w:bottom w:val="single" w:sz="8" w:color="8C8272"/>
            </w:tcBorders>
          </w:tcPr>
          <w:p>
            <w:pPr>
              <w:jc w:val="right"/>
              <w:ind w:right="308"/>
              <w:spacing w:after="0"/>
              <w:rPr>
                <w:sz w:val="20"/>
                <w:szCs w:val="20"/>
                <w:color w:val="auto"/>
              </w:rPr>
            </w:pPr>
            <w:r>
              <w:rPr>
                <w:rFonts w:ascii="Arial" w:cs="Arial" w:eastAsia="Arial" w:hAnsi="Arial"/>
                <w:sz w:val="14"/>
                <w:szCs w:val="14"/>
                <w:b w:val="1"/>
                <w:bCs w:val="1"/>
                <w:color w:val="auto"/>
              </w:rPr>
              <w:t>(gallons)</w:t>
            </w:r>
          </w:p>
        </w:tc>
        <w:tc>
          <w:tcPr>
            <w:tcW w:w="0" w:type="dxa"/>
            <w:vAlign w:val="bottom"/>
          </w:tcPr>
          <w:p>
            <w:pPr>
              <w:spacing w:after="0"/>
              <w:rPr>
                <w:sz w:val="1"/>
                <w:szCs w:val="1"/>
                <w:color w:val="auto"/>
              </w:rPr>
            </w:pPr>
          </w:p>
        </w:tc>
      </w:tr>
      <w:tr>
        <w:trPr>
          <w:trHeight w:val="183"/>
        </w:trPr>
        <w:tc>
          <w:tcPr>
            <w:tcW w:w="322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Con Edison</w:t>
            </w:r>
          </w:p>
        </w:tc>
        <w:tc>
          <w:tcPr>
            <w:tcW w:w="38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24,666,400</w:t>
            </w:r>
          </w:p>
        </w:tc>
        <w:tc>
          <w:tcPr>
            <w:tcW w:w="16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43,283</w:t>
            </w:r>
          </w:p>
        </w:tc>
        <w:tc>
          <w:tcPr>
            <w:tcW w:w="12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272,683,743</w:t>
            </w:r>
          </w:p>
        </w:tc>
        <w:tc>
          <w:tcPr>
            <w:tcW w:w="1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5,712,000</w:t>
            </w:r>
          </w:p>
        </w:tc>
        <w:tc>
          <w:tcPr>
            <w:tcW w:w="0" w:type="dxa"/>
            <w:vAlign w:val="bottom"/>
          </w:tcPr>
          <w:p>
            <w:pPr>
              <w:spacing w:after="0"/>
              <w:rPr>
                <w:sz w:val="1"/>
                <w:szCs w:val="1"/>
                <w:color w:val="auto"/>
              </w:rPr>
            </w:pPr>
          </w:p>
        </w:tc>
      </w:tr>
      <w:tr>
        <w:trPr>
          <w:trHeight w:val="189"/>
        </w:trPr>
        <w:tc>
          <w:tcPr>
            <w:tcW w:w="32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CECONY</w:t>
            </w:r>
          </w:p>
        </w:tc>
        <w:tc>
          <w:tcPr>
            <w:tcW w:w="3800" w:type="dxa"/>
            <w:vAlign w:val="bottom"/>
            <w:tcBorders>
              <w:bottom w:val="single" w:sz="8" w:color="8C8272"/>
            </w:tcBorders>
          </w:tcPr>
          <w:p>
            <w:pPr>
              <w:jc w:val="right"/>
              <w:ind w:right="88"/>
              <w:spacing w:after="0"/>
              <w:rPr>
                <w:sz w:val="20"/>
                <w:szCs w:val="20"/>
                <w:color w:val="auto"/>
              </w:rPr>
            </w:pPr>
            <w:r>
              <w:rPr>
                <w:rFonts w:ascii="Arial" w:cs="Arial" w:eastAsia="Arial" w:hAnsi="Arial"/>
                <w:sz w:val="14"/>
                <w:szCs w:val="14"/>
                <w:color w:val="auto"/>
              </w:rPr>
              <w:t>22,011,350</w:t>
            </w:r>
          </w:p>
        </w:tc>
        <w:tc>
          <w:tcPr>
            <w:tcW w:w="168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30,600</w:t>
            </w:r>
          </w:p>
        </w:tc>
        <w:tc>
          <w:tcPr>
            <w:tcW w:w="120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252,800,000</w:t>
            </w:r>
          </w:p>
        </w:tc>
        <w:tc>
          <w:tcPr>
            <w:tcW w:w="13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5,172,000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Volumes are reported net of long and short positions, except natural gas collars where the volumes of long positions are reported.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electric congestion and gas basis swap contracts, which are associated with electric and gas contracts and hedged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5" w:name="page46"/>
    <w:bookmarkEnd w:id="45"/>
    <w:p>
      <w:pPr>
        <w:ind w:right="40"/>
        <w:spacing w:after="0" w:line="252" w:lineRule="auto"/>
        <w:rPr>
          <w:sz w:val="20"/>
          <w:szCs w:val="20"/>
          <w:color w:val="auto"/>
        </w:rPr>
      </w:pPr>
      <w:r>
        <w:rPr>
          <w:rFonts w:ascii="Arial" w:cs="Arial" w:eastAsia="Arial" w:hAnsi="Arial"/>
          <w:sz w:val="18"/>
          <w:szCs w:val="18"/>
          <w:color w:val="auto"/>
        </w:rPr>
        <w:t>The Companies are exposed to credit risk related to transactions entered into primarily for the various energy supply and hedging activities by the Utilities and the Clean Energy Businesses. Credit risk relates to the loss that may result from a counterparty’s nonperformance. The Companies use credit policies to manage this risk, including an established credit approval process, monitoring of counterparty limits, netting provisions within agreements, collateral or prepayment arrangements, credit insurance and credit default swaps. The Companies measure credit risk exposure as the replacement cost for open energy commodity and derivative positions plus amounts owed from counterparties for settled transactions. The replacement cost of open positions represents unrealized gains, net of any unrealized losses where the Companies have a legally enforceable right to offset.</w:t>
      </w:r>
    </w:p>
    <w:p>
      <w:pPr>
        <w:spacing w:after="0" w:line="1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June 30, 2021, Con Edison and CECONY had $ 378 million and $153 million of credit exposure in connection with open energy supply net receivables and hedging activities, net of collateral, respectively. Con Edison’s net credit exposure consisted of $105 million with independent system operators, $81 million with non-investment grade/non-rated counterparties, $65 million with commodity exchange brokers, and $ 127 million with investment-grade counterparties. CECONY’s net credit exposure consisted of $52 million with commodity exchange brokers and $101 million with investment-grade counterparties.</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collateral requirements associated with, and settlement of, derivative transactions are included in net cash flows from operating activities in the Companies’ consolidated statement of cash flows. Most derivative instrument contracts contain provisions that may require a party to provide collateral on its derivative instruments that are in a net liability position. The amount of collateral to be provided will depend on the fair value of the derivative instruments and the party’s credit ratings.</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 presents the aggregate fair value of the Companies’ derivative instruments with credit-risk-related contingent features that are in a net liability position, the collateral posted for such positions and the additional collateral that would have been required to be posted had the lowest applicable credit rating been reduced one level and to below investment grade at June 30,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248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Con Edison (a)</w:t>
            </w:r>
          </w:p>
        </w:tc>
        <w:tc>
          <w:tcPr>
            <w:tcW w:w="360" w:type="dxa"/>
            <w:vAlign w:val="bottom"/>
            <w:tcBorders>
              <w:bottom w:val="single" w:sz="8" w:color="828282"/>
            </w:tcBorders>
          </w:tcPr>
          <w:p>
            <w:pPr>
              <w:spacing w:after="0"/>
              <w:rPr>
                <w:sz w:val="16"/>
                <w:szCs w:val="16"/>
                <w:color w:val="auto"/>
              </w:rPr>
            </w:pPr>
          </w:p>
        </w:tc>
        <w:tc>
          <w:tcPr>
            <w:tcW w:w="1420" w:type="dxa"/>
            <w:vAlign w:val="bottom"/>
            <w:tcBorders>
              <w:bottom w:val="single" w:sz="8" w:color="8C8272"/>
            </w:tcBorders>
          </w:tcPr>
          <w:p>
            <w:pPr>
              <w:jc w:val="right"/>
              <w:ind w:right="228"/>
              <w:spacing w:after="0"/>
              <w:rPr>
                <w:sz w:val="20"/>
                <w:szCs w:val="20"/>
                <w:color w:val="auto"/>
              </w:rPr>
            </w:pPr>
            <w:r>
              <w:rPr>
                <w:rFonts w:ascii="Arial" w:cs="Arial" w:eastAsia="Arial" w:hAnsi="Arial"/>
                <w:sz w:val="14"/>
                <w:szCs w:val="14"/>
                <w:b w:val="1"/>
                <w:bCs w:val="1"/>
                <w:color w:val="auto"/>
              </w:rPr>
              <w:t>CECONY (a)</w:t>
            </w:r>
          </w:p>
        </w:tc>
        <w:tc>
          <w:tcPr>
            <w:tcW w:w="360" w:type="dxa"/>
            <w:vAlign w:val="bottom"/>
            <w:tcBorders>
              <w:bottom w:val="single" w:sz="8" w:color="8C8272"/>
            </w:tcBorders>
          </w:tcPr>
          <w:p>
            <w:pPr>
              <w:spacing w:after="0"/>
              <w:rPr>
                <w:sz w:val="16"/>
                <w:szCs w:val="16"/>
                <w:color w:val="auto"/>
              </w:rPr>
            </w:pPr>
          </w:p>
        </w:tc>
      </w:tr>
      <w:tr>
        <w:trPr>
          <w:trHeight w:val="183"/>
        </w:trPr>
        <w:tc>
          <w:tcPr>
            <w:tcW w:w="6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Aggregate fair value – net liabilities</w:t>
            </w:r>
          </w:p>
        </w:tc>
        <w:tc>
          <w:tcPr>
            <w:tcW w:w="2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$183</w:t>
            </w:r>
          </w:p>
        </w:tc>
        <w:tc>
          <w:tcPr>
            <w:tcW w:w="360" w:type="dxa"/>
            <w:vAlign w:val="bottom"/>
            <w:shd w:val="clear" w:color="auto" w:fill="E5E5E5"/>
          </w:tcPr>
          <w:p>
            <w:pPr>
              <w:spacing w:after="0"/>
              <w:rPr>
                <w:sz w:val="15"/>
                <w:szCs w:val="15"/>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$175</w:t>
            </w:r>
          </w:p>
        </w:tc>
        <w:tc>
          <w:tcPr>
            <w:tcW w:w="360" w:type="dxa"/>
            <w:vAlign w:val="bottom"/>
            <w:shd w:val="clear" w:color="auto" w:fill="E5E5E5"/>
          </w:tcPr>
          <w:p>
            <w:pPr>
              <w:spacing w:after="0"/>
              <w:rPr>
                <w:sz w:val="15"/>
                <w:szCs w:val="15"/>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4"/>
                <w:szCs w:val="14"/>
                <w:color w:val="auto"/>
              </w:rPr>
              <w:t>Collateral posted</w:t>
            </w:r>
          </w:p>
        </w:tc>
        <w:tc>
          <w:tcPr>
            <w:tcW w:w="2480" w:type="dxa"/>
            <w:vAlign w:val="bottom"/>
          </w:tcPr>
          <w:p>
            <w:pPr>
              <w:jc w:val="right"/>
              <w:spacing w:after="0"/>
              <w:rPr>
                <w:sz w:val="20"/>
                <w:szCs w:val="20"/>
                <w:color w:val="auto"/>
              </w:rPr>
            </w:pPr>
            <w:r>
              <w:rPr>
                <w:rFonts w:ascii="Arial" w:cs="Arial" w:eastAsia="Arial" w:hAnsi="Arial"/>
                <w:sz w:val="14"/>
                <w:szCs w:val="14"/>
                <w:color w:val="auto"/>
              </w:rPr>
              <w:t>173</w:t>
            </w:r>
          </w:p>
        </w:tc>
        <w:tc>
          <w:tcPr>
            <w:tcW w:w="3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168</w:t>
            </w:r>
          </w:p>
        </w:tc>
        <w:tc>
          <w:tcPr>
            <w:tcW w:w="360" w:type="dxa"/>
            <w:vAlign w:val="bottom"/>
          </w:tcPr>
          <w:p>
            <w:pPr>
              <w:spacing w:after="0"/>
              <w:rPr>
                <w:sz w:val="16"/>
                <w:szCs w:val="16"/>
                <w:color w:val="auto"/>
              </w:rPr>
            </w:pPr>
          </w:p>
        </w:tc>
      </w:tr>
      <w:tr>
        <w:trPr>
          <w:trHeight w:val="189"/>
        </w:trPr>
        <w:tc>
          <w:tcPr>
            <w:tcW w:w="6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Additional collateral (b) (downgrade one level from current ratings)</w:t>
            </w:r>
          </w:p>
        </w:tc>
        <w:tc>
          <w:tcPr>
            <w:tcW w:w="2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w:t>
            </w:r>
          </w:p>
        </w:tc>
        <w:tc>
          <w:tcPr>
            <w:tcW w:w="360" w:type="dxa"/>
            <w:vAlign w:val="bottom"/>
            <w:shd w:val="clear" w:color="auto" w:fill="E5E5E5"/>
          </w:tcPr>
          <w:p>
            <w:pPr>
              <w:spacing w:after="0"/>
              <w:rPr>
                <w:sz w:val="16"/>
                <w:szCs w:val="16"/>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360" w:type="dxa"/>
            <w:vAlign w:val="bottom"/>
            <w:shd w:val="clear" w:color="auto" w:fill="E5E5E5"/>
          </w:tcPr>
          <w:p>
            <w:pPr>
              <w:spacing w:after="0"/>
              <w:rPr>
                <w:sz w:val="16"/>
                <w:szCs w:val="16"/>
                <w:color w:val="auto"/>
              </w:rPr>
            </w:pPr>
          </w:p>
        </w:tc>
      </w:tr>
      <w:tr>
        <w:trPr>
          <w:trHeight w:val="189"/>
        </w:trPr>
        <w:tc>
          <w:tcPr>
            <w:tcW w:w="660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Additional collateral (b) (downgrade to below investment grade from current ratings)</w:t>
            </w:r>
          </w:p>
        </w:tc>
        <w:tc>
          <w:tcPr>
            <w:tcW w:w="24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65</w:t>
            </w:r>
          </w:p>
        </w:tc>
        <w:tc>
          <w:tcPr>
            <w:tcW w:w="3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(c)</w:t>
            </w:r>
          </w:p>
        </w:tc>
        <w:tc>
          <w:tcPr>
            <w:tcW w:w="14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49</w:t>
            </w:r>
          </w:p>
        </w:tc>
        <w:tc>
          <w:tcPr>
            <w:tcW w:w="3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(c)</w:t>
            </w:r>
          </w:p>
        </w:tc>
      </w:tr>
    </w:tbl>
    <w:p>
      <w:pPr>
        <w:spacing w:after="0" w:line="99" w:lineRule="exact"/>
        <w:rPr>
          <w:sz w:val="20"/>
          <w:szCs w:val="20"/>
          <w:color w:val="auto"/>
        </w:rPr>
      </w:pPr>
    </w:p>
    <w:p>
      <w:pPr>
        <w:ind w:left="340" w:right="20" w:hanging="332"/>
        <w:spacing w:after="0" w:line="241" w:lineRule="auto"/>
        <w:tabs>
          <w:tab w:leader="none" w:pos="3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Non-derivative transactions for the purchase and sale of electricity and gas and qualifying derivative instruments, which have been designated as normal purchases or normal sales, are excluded from the table. These transactions primarily include purchases of electricity from independent system operators. In the event the Utilities and the Clean Energy Businesses were no longer extended unsecured credit for such purchases, the Companies would be required to post $14 million of additional collateral at June 30, 2021. For certain other such non-derivative transactions, the Companies could be required to post collateral under certain circumstances, including in the event counterparties had reasonable grounds for insecurity.</w:t>
      </w:r>
    </w:p>
    <w:p>
      <w:pPr>
        <w:spacing w:after="0" w:line="1" w:lineRule="exact"/>
        <w:rPr>
          <w:rFonts w:ascii="Arial" w:cs="Arial" w:eastAsia="Arial" w:hAnsi="Arial"/>
          <w:sz w:val="14"/>
          <w:szCs w:val="14"/>
          <w:color w:val="auto"/>
        </w:rPr>
      </w:pPr>
    </w:p>
    <w:p>
      <w:pPr>
        <w:ind w:left="340" w:right="100" w:hanging="332"/>
        <w:spacing w:after="0" w:line="241" w:lineRule="auto"/>
        <w:tabs>
          <w:tab w:leader="none" w:pos="3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Companies measure the collateral requirements by taking into consideration the fair value amounts of derivative instruments that contain credit-risk-related contingent features that are in a net liability position plus amounts owed to counterparties for settled transactions and amounts required by counterparties for minimum financial security. The fair value amounts represent unrealized losses, net of any unrealized gains where the Companies have a legally enforceable right to offset.</w:t>
      </w:r>
    </w:p>
    <w:p>
      <w:pPr>
        <w:spacing w:after="0" w:line="1" w:lineRule="exact"/>
        <w:rPr>
          <w:rFonts w:ascii="Arial" w:cs="Arial" w:eastAsia="Arial" w:hAnsi="Arial"/>
          <w:sz w:val="14"/>
          <w:szCs w:val="14"/>
          <w:color w:val="auto"/>
        </w:rPr>
      </w:pPr>
    </w:p>
    <w:p>
      <w:pPr>
        <w:ind w:left="340" w:right="160" w:hanging="332"/>
        <w:spacing w:after="0" w:line="258"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Derivative instruments that are net assets have been excluded from the table. At June 30, 2021, if Con Edison had been downgraded to below investment grade, it would have been required to post additional collateral for such derivative instruments of $68 million.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Note O – Fair Value Measurements</w:t>
      </w:r>
    </w:p>
    <w:p>
      <w:pPr>
        <w:spacing w:after="0" w:line="7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accounting rules for fair value measurements and disclosures define fair value as the price that would be received to sell an asset or paid to transfer a liability in an orderly transaction between market participants at the measurement date in a principal or most advantageous market. Fair value is a market-based measurement that is determined based on inputs, which refer broadly to assumptions that market participants use in pricing assets or liabilities. These inputs can be readily observable, market corroborated, or generally unobservable firm inputs. The Companies often make certain assumptions that market participants would use in pricing the asset or liability, including assumptions about risk, and the risks inherent in the inputs to valuation techniques. The Companies use valuation techniques that maximize the use of observable inputs and minimize the use of unobservable inputs.</w:t>
      </w:r>
    </w:p>
    <w:p>
      <w:pPr>
        <w:spacing w:after="0" w:line="1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accounting rules for fair value measurements and disclosures established a fair value hierarchy, which prioritizes the inputs to valuation techniques used to measure fair value in three broad levels. The rules require that assets and liabilities be classified in their entirety based on the level of input that is significant to the fair value measurement. Assessing the significance of a particular input may require judgment considering factors specific to the asset or liability and may affect the valuation of the asset or liability and their placement within the fair value</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6" w:name="page47"/>
    <w:bookmarkEnd w:id="46"/>
    <w:p>
      <w:pPr>
        <w:ind w:right="700"/>
        <w:spacing w:after="0" w:line="261" w:lineRule="auto"/>
        <w:rPr>
          <w:sz w:val="20"/>
          <w:szCs w:val="20"/>
          <w:color w:val="auto"/>
        </w:rPr>
      </w:pPr>
      <w:r>
        <w:rPr>
          <w:rFonts w:ascii="Arial" w:cs="Arial" w:eastAsia="Arial" w:hAnsi="Arial"/>
          <w:sz w:val="18"/>
          <w:szCs w:val="18"/>
          <w:color w:val="auto"/>
        </w:rPr>
        <w:t>hierarchy. The Companies classify fair value balances based on the fair value hierarchy defined by the accounting rules for fair value measurements and disclosures as follows:</w:t>
      </w:r>
    </w:p>
    <w:p>
      <w:pPr>
        <w:spacing w:after="0" w:line="90" w:lineRule="exact"/>
        <w:rPr>
          <w:sz w:val="20"/>
          <w:szCs w:val="20"/>
          <w:color w:val="auto"/>
        </w:rPr>
      </w:pPr>
    </w:p>
    <w:p>
      <w:pPr>
        <w:ind w:left="660" w:right="280" w:hanging="328"/>
        <w:spacing w:after="0" w:line="254" w:lineRule="auto"/>
        <w:tabs>
          <w:tab w:leader="none" w:pos="655" w:val="left"/>
        </w:tabs>
        <w:numPr>
          <w:ilvl w:val="0"/>
          <w:numId w:val="13"/>
        </w:numPr>
        <w:rPr>
          <w:rFonts w:ascii="Arial" w:cs="Arial" w:eastAsia="Arial" w:hAnsi="Arial"/>
          <w:sz w:val="18"/>
          <w:szCs w:val="18"/>
          <w:color w:val="828282"/>
        </w:rPr>
      </w:pPr>
      <w:r>
        <w:rPr>
          <w:rFonts w:ascii="Arial" w:cs="Arial" w:eastAsia="Arial" w:hAnsi="Arial"/>
          <w:sz w:val="18"/>
          <w:szCs w:val="18"/>
          <w:color w:val="auto"/>
        </w:rPr>
        <w:t>Level 1 – Consists of assets or liabilities whose value is based on unadjusted quoted prices in active markets at the measurement date. An active market is one in which transactions for assets or liabilities occur with sufficient frequency and volume to provide pricing information on an ongoing basis. This category includes contracts traded on active exchange markets valued using unadjusted prices quoted directly from the exchange.</w:t>
      </w:r>
    </w:p>
    <w:p>
      <w:pPr>
        <w:spacing w:after="0" w:line="95" w:lineRule="exact"/>
        <w:rPr>
          <w:rFonts w:ascii="Arial" w:cs="Arial" w:eastAsia="Arial" w:hAnsi="Arial"/>
          <w:sz w:val="18"/>
          <w:szCs w:val="18"/>
          <w:color w:val="828282"/>
        </w:rPr>
      </w:pPr>
    </w:p>
    <w:p>
      <w:pPr>
        <w:ind w:left="660" w:right="60" w:hanging="328"/>
        <w:spacing w:after="0" w:line="253" w:lineRule="auto"/>
        <w:tabs>
          <w:tab w:leader="none" w:pos="655" w:val="left"/>
        </w:tabs>
        <w:numPr>
          <w:ilvl w:val="0"/>
          <w:numId w:val="13"/>
        </w:numPr>
        <w:rPr>
          <w:rFonts w:ascii="Arial" w:cs="Arial" w:eastAsia="Arial" w:hAnsi="Arial"/>
          <w:sz w:val="18"/>
          <w:szCs w:val="18"/>
          <w:color w:val="828282"/>
        </w:rPr>
      </w:pPr>
      <w:r>
        <w:rPr>
          <w:rFonts w:ascii="Arial" w:cs="Arial" w:eastAsia="Arial" w:hAnsi="Arial"/>
          <w:sz w:val="18"/>
          <w:szCs w:val="18"/>
          <w:color w:val="auto"/>
        </w:rPr>
        <w:t>Level 2 – Consists of assets or liabilities valued using industry standard models and based on prices, other than quoted prices within Level 1, that are either directly or indirectly observable as of the measurement date. The industry standard models consider observable assumptions including time value, volatility factors and current market and contractual prices for the underlying commodities, in addition to other economic measures. This category includes contracts traded on active exchanges or in over-the-counter markets priced with industry standard models.</w:t>
      </w:r>
    </w:p>
    <w:p>
      <w:pPr>
        <w:spacing w:after="0" w:line="97" w:lineRule="exact"/>
        <w:rPr>
          <w:rFonts w:ascii="Arial" w:cs="Arial" w:eastAsia="Arial" w:hAnsi="Arial"/>
          <w:sz w:val="18"/>
          <w:szCs w:val="18"/>
          <w:color w:val="828282"/>
        </w:rPr>
      </w:pPr>
    </w:p>
    <w:p>
      <w:pPr>
        <w:ind w:left="660" w:right="60" w:hanging="328"/>
        <w:spacing w:after="0" w:line="252" w:lineRule="auto"/>
        <w:tabs>
          <w:tab w:leader="none" w:pos="655" w:val="left"/>
        </w:tabs>
        <w:numPr>
          <w:ilvl w:val="0"/>
          <w:numId w:val="13"/>
        </w:numPr>
        <w:rPr>
          <w:rFonts w:ascii="Arial" w:cs="Arial" w:eastAsia="Arial" w:hAnsi="Arial"/>
          <w:sz w:val="18"/>
          <w:szCs w:val="18"/>
          <w:color w:val="828282"/>
        </w:rPr>
      </w:pPr>
      <w:r>
        <w:rPr>
          <w:rFonts w:ascii="Arial" w:cs="Arial" w:eastAsia="Arial" w:hAnsi="Arial"/>
          <w:sz w:val="18"/>
          <w:szCs w:val="18"/>
          <w:color w:val="auto"/>
        </w:rPr>
        <w:t>Level 3 – Consists of assets or liabilities whose fair value is estimated based on internally developed models or methodologies using inputs that are generally less readily observable and supported by little, if any, market activity at the measurement date. Unobservable inputs are developed based on the best available information and subject to cost benefit constraints. This category includes contracts priced using models that are internally developed and contracts placed in illiquid markets. It also includes contracts that expire after the period of time for which quoted prices are available and internal models are used to determine a significant portion of the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as of June 30, 2021 and December 31, 2020 are summarized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Borders>
              <w:bottom w:val="single" w:sz="8" w:color="8C8272"/>
            </w:tcBorders>
          </w:tcPr>
          <w:p>
            <w:pPr>
              <w:spacing w:after="0"/>
              <w:rPr>
                <w:sz w:val="16"/>
                <w:szCs w:val="16"/>
                <w:color w:val="auto"/>
              </w:rPr>
            </w:pPr>
          </w:p>
        </w:tc>
        <w:tc>
          <w:tcPr>
            <w:tcW w:w="800" w:type="dxa"/>
            <w:vAlign w:val="bottom"/>
            <w:tcBorders>
              <w:bottom w:val="single" w:sz="8" w:color="8C8272"/>
            </w:tcBorders>
          </w:tcPr>
          <w:p>
            <w:pPr>
              <w:spacing w:after="0"/>
              <w:rPr>
                <w:sz w:val="16"/>
                <w:szCs w:val="16"/>
                <w:color w:val="auto"/>
              </w:rPr>
            </w:pPr>
          </w:p>
        </w:tc>
        <w:tc>
          <w:tcPr>
            <w:tcW w:w="680" w:type="dxa"/>
            <w:vAlign w:val="bottom"/>
            <w:tcBorders>
              <w:bottom w:val="single" w:sz="8" w:color="8C8272"/>
            </w:tcBorders>
          </w:tcPr>
          <w:p>
            <w:pPr>
              <w:spacing w:after="0"/>
              <w:rPr>
                <w:sz w:val="16"/>
                <w:szCs w:val="16"/>
                <w:color w:val="auto"/>
              </w:rPr>
            </w:pPr>
          </w:p>
        </w:tc>
        <w:tc>
          <w:tcPr>
            <w:tcW w:w="860" w:type="dxa"/>
            <w:vAlign w:val="bottom"/>
            <w:tcBorders>
              <w:bottom w:val="single" w:sz="8" w:color="8C8272"/>
            </w:tcBorders>
            <w:gridSpan w:val="2"/>
          </w:tcPr>
          <w:p>
            <w:pPr>
              <w:ind w:left="500"/>
              <w:spacing w:after="0"/>
              <w:rPr>
                <w:sz w:val="20"/>
                <w:szCs w:val="20"/>
                <w:color w:val="auto"/>
              </w:rPr>
            </w:pPr>
            <w:r>
              <w:rPr>
                <w:rFonts w:ascii="Arial" w:cs="Arial" w:eastAsia="Arial" w:hAnsi="Arial"/>
                <w:sz w:val="14"/>
                <w:szCs w:val="14"/>
                <w:b w:val="1"/>
                <w:bCs w:val="1"/>
                <w:color w:val="auto"/>
              </w:rPr>
              <w:t>2021</w:t>
            </w:r>
          </w:p>
        </w:tc>
        <w:tc>
          <w:tcPr>
            <w:tcW w:w="1240" w:type="dxa"/>
            <w:vAlign w:val="bottom"/>
            <w:tcBorders>
              <w:bottom w:val="single" w:sz="8" w:color="8C8272"/>
            </w:tcBorders>
          </w:tcPr>
          <w:p>
            <w:pPr>
              <w:spacing w:after="0"/>
              <w:rPr>
                <w:sz w:val="16"/>
                <w:szCs w:val="16"/>
                <w:color w:val="auto"/>
              </w:rPr>
            </w:pPr>
          </w:p>
        </w:tc>
        <w:tc>
          <w:tcPr>
            <w:tcW w:w="760" w:type="dxa"/>
            <w:vAlign w:val="bottom"/>
            <w:tcBorders>
              <w:bottom w:val="single" w:sz="8" w:color="8C8272"/>
            </w:tcBorders>
          </w:tcPr>
          <w:p>
            <w:pPr>
              <w:spacing w:after="0"/>
              <w:rPr>
                <w:sz w:val="16"/>
                <w:szCs w:val="16"/>
                <w:color w:val="auto"/>
              </w:rPr>
            </w:pPr>
          </w:p>
        </w:tc>
        <w:tc>
          <w:tcPr>
            <w:tcW w:w="680" w:type="dxa"/>
            <w:vAlign w:val="bottom"/>
            <w:tcBorders>
              <w:bottom w:val="single" w:sz="8" w:color="8C8272"/>
            </w:tcBorders>
          </w:tcPr>
          <w:p>
            <w:pPr>
              <w:spacing w:after="0"/>
              <w:rPr>
                <w:sz w:val="16"/>
                <w:szCs w:val="16"/>
                <w:color w:val="auto"/>
              </w:rPr>
            </w:pPr>
          </w:p>
        </w:tc>
        <w:tc>
          <w:tcPr>
            <w:tcW w:w="800" w:type="dxa"/>
            <w:vAlign w:val="bottom"/>
            <w:tcBorders>
              <w:bottom w:val="single" w:sz="8" w:color="8C8272"/>
            </w:tcBorders>
          </w:tcPr>
          <w:p>
            <w:pPr>
              <w:spacing w:after="0"/>
              <w:rPr>
                <w:sz w:val="16"/>
                <w:szCs w:val="16"/>
                <w:color w:val="auto"/>
              </w:rPr>
            </w:pPr>
          </w:p>
        </w:tc>
        <w:tc>
          <w:tcPr>
            <w:tcW w:w="8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1320" w:type="dxa"/>
            <w:vAlign w:val="bottom"/>
            <w:tcBorders>
              <w:bottom w:val="single" w:sz="8" w:color="8C8272"/>
            </w:tcBorders>
          </w:tcPr>
          <w:p>
            <w:pPr>
              <w:spacing w:after="0"/>
              <w:rPr>
                <w:sz w:val="16"/>
                <w:szCs w:val="16"/>
                <w:color w:val="auto"/>
              </w:rPr>
            </w:pPr>
          </w:p>
        </w:tc>
        <w:tc>
          <w:tcPr>
            <w:tcW w:w="640" w:type="dxa"/>
            <w:vAlign w:val="bottom"/>
            <w:tcBorders>
              <w:bottom w:val="single" w:sz="8" w:color="8C8272"/>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Level 1</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Level 2</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124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Netting</w:t>
            </w: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Level 1</w:t>
            </w: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Level 2</w:t>
            </w:r>
          </w:p>
        </w:tc>
        <w:tc>
          <w:tcPr>
            <w:tcW w:w="8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Level 3</w:t>
            </w:r>
          </w:p>
        </w:tc>
        <w:tc>
          <w:tcPr>
            <w:tcW w:w="1320" w:type="dxa"/>
            <w:vAlign w:val="bottom"/>
          </w:tcPr>
          <w:p>
            <w:pPr>
              <w:jc w:val="right"/>
              <w:ind w:right="468"/>
              <w:spacing w:after="0" w:line="142" w:lineRule="exact"/>
              <w:rPr>
                <w:sz w:val="20"/>
                <w:szCs w:val="20"/>
                <w:color w:val="auto"/>
              </w:rPr>
            </w:pPr>
            <w:r>
              <w:rPr>
                <w:rFonts w:ascii="Arial" w:cs="Arial" w:eastAsia="Arial" w:hAnsi="Arial"/>
                <w:sz w:val="14"/>
                <w:szCs w:val="14"/>
                <w:b w:val="1"/>
                <w:bCs w:val="1"/>
                <w:color w:val="auto"/>
              </w:rPr>
              <w:t>Netting</w:t>
            </w:r>
          </w:p>
        </w:tc>
        <w:tc>
          <w:tcPr>
            <w:tcW w:w="6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620" w:type="dxa"/>
            <w:vAlign w:val="bottom"/>
            <w:tcBorders>
              <w:bottom w:val="single" w:sz="8" w:color="8C8272"/>
            </w:tcBorders>
            <w:vMerge w:val="continue"/>
          </w:tcPr>
          <w:p>
            <w:pPr>
              <w:spacing w:after="0"/>
              <w:rPr>
                <w:sz w:val="15"/>
                <w:szCs w:val="15"/>
                <w:color w:val="auto"/>
              </w:rPr>
            </w:pPr>
          </w:p>
        </w:tc>
        <w:tc>
          <w:tcPr>
            <w:tcW w:w="800" w:type="dxa"/>
            <w:vAlign w:val="bottom"/>
            <w:tcBorders>
              <w:bottom w:val="single" w:sz="8" w:color="8C8272"/>
            </w:tcBorders>
            <w:vMerge w:val="continue"/>
          </w:tcPr>
          <w:p>
            <w:pPr>
              <w:spacing w:after="0"/>
              <w:rPr>
                <w:sz w:val="15"/>
                <w:szCs w:val="15"/>
                <w:color w:val="auto"/>
              </w:rPr>
            </w:pPr>
          </w:p>
        </w:tc>
        <w:tc>
          <w:tcPr>
            <w:tcW w:w="680" w:type="dxa"/>
            <w:vAlign w:val="bottom"/>
            <w:tcBorders>
              <w:bottom w:val="single" w:sz="8" w:color="8C8272"/>
            </w:tcBorders>
            <w:vMerge w:val="continue"/>
          </w:tcPr>
          <w:p>
            <w:pPr>
              <w:spacing w:after="0"/>
              <w:rPr>
                <w:sz w:val="15"/>
                <w:szCs w:val="15"/>
                <w:color w:val="auto"/>
              </w:rPr>
            </w:pPr>
          </w:p>
        </w:tc>
        <w:tc>
          <w:tcPr>
            <w:tcW w:w="860" w:type="dxa"/>
            <w:vAlign w:val="bottom"/>
            <w:tcBorders>
              <w:bottom w:val="single" w:sz="8" w:color="8C8272"/>
            </w:tcBorders>
            <w:gridSpan w:val="2"/>
            <w:vMerge w:val="continue"/>
          </w:tcPr>
          <w:p>
            <w:pPr>
              <w:spacing w:after="0"/>
              <w:rPr>
                <w:sz w:val="15"/>
                <w:szCs w:val="15"/>
                <w:color w:val="auto"/>
              </w:rPr>
            </w:pPr>
          </w:p>
        </w:tc>
        <w:tc>
          <w:tcPr>
            <w:tcW w:w="124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b w:val="1"/>
                <w:bCs w:val="1"/>
                <w:color w:val="auto"/>
              </w:rPr>
              <w:t>Adjustment (e)</w:t>
            </w:r>
          </w:p>
        </w:tc>
        <w:tc>
          <w:tcPr>
            <w:tcW w:w="760" w:type="dxa"/>
            <w:vAlign w:val="bottom"/>
            <w:tcBorders>
              <w:bottom w:val="single" w:sz="8" w:color="8C8272"/>
            </w:tcBorders>
            <w:vMerge w:val="continue"/>
          </w:tcPr>
          <w:p>
            <w:pPr>
              <w:spacing w:after="0"/>
              <w:rPr>
                <w:sz w:val="15"/>
                <w:szCs w:val="15"/>
                <w:color w:val="auto"/>
              </w:rPr>
            </w:pPr>
          </w:p>
        </w:tc>
        <w:tc>
          <w:tcPr>
            <w:tcW w:w="680" w:type="dxa"/>
            <w:vAlign w:val="bottom"/>
            <w:tcBorders>
              <w:bottom w:val="single" w:sz="8" w:color="8C8272"/>
            </w:tcBorders>
            <w:vMerge w:val="continue"/>
          </w:tcPr>
          <w:p>
            <w:pPr>
              <w:spacing w:after="0"/>
              <w:rPr>
                <w:sz w:val="15"/>
                <w:szCs w:val="15"/>
                <w:color w:val="auto"/>
              </w:rPr>
            </w:pPr>
          </w:p>
        </w:tc>
        <w:tc>
          <w:tcPr>
            <w:tcW w:w="800" w:type="dxa"/>
            <w:vAlign w:val="bottom"/>
            <w:tcBorders>
              <w:bottom w:val="single" w:sz="8" w:color="8C8272"/>
            </w:tcBorders>
            <w:vMerge w:val="continue"/>
          </w:tcPr>
          <w:p>
            <w:pPr>
              <w:spacing w:after="0"/>
              <w:rPr>
                <w:sz w:val="15"/>
                <w:szCs w:val="15"/>
                <w:color w:val="auto"/>
              </w:rPr>
            </w:pPr>
          </w:p>
        </w:tc>
        <w:tc>
          <w:tcPr>
            <w:tcW w:w="840" w:type="dxa"/>
            <w:vAlign w:val="bottom"/>
            <w:tcBorders>
              <w:bottom w:val="single" w:sz="8" w:color="8C8272"/>
            </w:tcBorders>
            <w:vMerge w:val="continue"/>
          </w:tcPr>
          <w:p>
            <w:pPr>
              <w:spacing w:after="0"/>
              <w:rPr>
                <w:sz w:val="15"/>
                <w:szCs w:val="15"/>
                <w:color w:val="auto"/>
              </w:rPr>
            </w:pPr>
          </w:p>
        </w:tc>
        <w:tc>
          <w:tcPr>
            <w:tcW w:w="1320" w:type="dxa"/>
            <w:vAlign w:val="bottom"/>
            <w:tcBorders>
              <w:bottom w:val="single" w:sz="8" w:color="8C8272"/>
            </w:tcBorders>
          </w:tcPr>
          <w:p>
            <w:pPr>
              <w:jc w:val="right"/>
              <w:ind w:right="208"/>
              <w:spacing w:after="0"/>
              <w:rPr>
                <w:sz w:val="20"/>
                <w:szCs w:val="20"/>
                <w:color w:val="auto"/>
              </w:rPr>
            </w:pPr>
            <w:r>
              <w:rPr>
                <w:rFonts w:ascii="Arial" w:cs="Arial" w:eastAsia="Arial" w:hAnsi="Arial"/>
                <w:sz w:val="14"/>
                <w:szCs w:val="14"/>
                <w:b w:val="1"/>
                <w:bCs w:val="1"/>
                <w:color w:val="auto"/>
              </w:rPr>
              <w:t>Adjustment (e)</w:t>
            </w:r>
          </w:p>
        </w:tc>
        <w:tc>
          <w:tcPr>
            <w:tcW w:w="640" w:type="dxa"/>
            <w:vAlign w:val="bottom"/>
            <w:tcBorders>
              <w:bottom w:val="single" w:sz="8" w:color="8C8272"/>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Con Edison</w:t>
            </w:r>
          </w:p>
        </w:tc>
        <w:tc>
          <w:tcPr>
            <w:tcW w:w="800" w:type="dxa"/>
            <w:vAlign w:val="bottom"/>
            <w:shd w:val="clear" w:color="auto" w:fill="E5E5E5"/>
          </w:tcPr>
          <w:p>
            <w:pPr>
              <w:spacing w:after="0"/>
              <w:rPr>
                <w:sz w:val="15"/>
                <w:szCs w:val="15"/>
                <w:color w:val="auto"/>
              </w:rPr>
            </w:pPr>
          </w:p>
        </w:tc>
        <w:tc>
          <w:tcPr>
            <w:tcW w:w="68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24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68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32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Arial" w:cs="Arial" w:eastAsia="Arial" w:hAnsi="Arial"/>
                <w:sz w:val="14"/>
                <w:szCs w:val="14"/>
                <w:color w:val="auto"/>
              </w:rPr>
              <w:t>Derivative assets:</w:t>
            </w: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Commodity (a)(b)(c)</w:t>
            </w:r>
          </w:p>
        </w:tc>
        <w:tc>
          <w:tcPr>
            <w:tcW w:w="8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$71</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$183</w:t>
            </w: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E5E5E5"/>
          </w:tcPr>
          <w:p>
            <w:pPr>
              <w:spacing w:after="0"/>
              <w:rPr>
                <w:sz w:val="16"/>
                <w:szCs w:val="16"/>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w:t>
            </w:r>
          </w:p>
        </w:tc>
        <w:tc>
          <w:tcPr>
            <w:tcW w:w="7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$221</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w:t>
            </w:r>
          </w:p>
        </w:tc>
        <w:tc>
          <w:tcPr>
            <w:tcW w:w="84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$4</w:t>
            </w:r>
          </w:p>
        </w:tc>
        <w:tc>
          <w:tcPr>
            <w:tcW w:w="1320" w:type="dxa"/>
            <w:vAlign w:val="bottom"/>
            <w:shd w:val="clear" w:color="auto" w:fill="E5E5E5"/>
          </w:tcPr>
          <w:p>
            <w:pPr>
              <w:jc w:val="center"/>
              <w:ind w:left="768"/>
              <w:spacing w:after="0"/>
              <w:rPr>
                <w:sz w:val="20"/>
                <w:szCs w:val="20"/>
                <w:color w:val="auto"/>
              </w:rPr>
            </w:pPr>
            <w:r>
              <w:rPr>
                <w:rFonts w:ascii="Arial" w:cs="Arial" w:eastAsia="Arial" w:hAnsi="Arial"/>
                <w:sz w:val="14"/>
                <w:szCs w:val="14"/>
                <w:color w:val="auto"/>
              </w:rPr>
              <w:t>$53</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89"/>
        </w:trPr>
        <w:tc>
          <w:tcPr>
            <w:tcW w:w="2620" w:type="dxa"/>
            <w:vAlign w:val="bottom"/>
          </w:tcPr>
          <w:p>
            <w:pPr>
              <w:ind w:left="140"/>
              <w:spacing w:after="0"/>
              <w:rPr>
                <w:sz w:val="20"/>
                <w:szCs w:val="20"/>
                <w:color w:val="auto"/>
              </w:rPr>
            </w:pPr>
            <w:r>
              <w:rPr>
                <w:rFonts w:ascii="Arial" w:cs="Arial" w:eastAsia="Arial" w:hAnsi="Arial"/>
                <w:sz w:val="14"/>
                <w:szCs w:val="14"/>
                <w:color w:val="auto"/>
              </w:rPr>
              <w:t>Interest rate swaps (a)(b)(c)</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ind w:left="7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2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Other (a)(b)(d)</w:t>
            </w:r>
          </w:p>
        </w:tc>
        <w:tc>
          <w:tcPr>
            <w:tcW w:w="80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480</w:t>
            </w:r>
          </w:p>
        </w:tc>
        <w:tc>
          <w:tcPr>
            <w:tcW w:w="6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131</w:t>
            </w:r>
          </w:p>
        </w:tc>
        <w:tc>
          <w:tcPr>
            <w:tcW w:w="860" w:type="dxa"/>
            <w:vAlign w:val="bottom"/>
            <w:tcBorders>
              <w:bottom w:val="single" w:sz="8" w:color="8C8272"/>
            </w:tcBorders>
            <w:gridSpan w:val="2"/>
            <w:shd w:val="clear" w:color="auto" w:fill="E5E5E5"/>
          </w:tcPr>
          <w:p>
            <w:pPr>
              <w:ind w:left="54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611</w:t>
            </w:r>
          </w:p>
        </w:tc>
        <w:tc>
          <w:tcPr>
            <w:tcW w:w="6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431</w:t>
            </w:r>
          </w:p>
        </w:tc>
        <w:tc>
          <w:tcPr>
            <w:tcW w:w="8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126</w:t>
            </w:r>
          </w:p>
        </w:tc>
        <w:tc>
          <w:tcPr>
            <w:tcW w:w="840" w:type="dxa"/>
            <w:vAlign w:val="bottom"/>
            <w:tcBorders>
              <w:bottom w:val="single" w:sz="8" w:color="8C8272"/>
            </w:tcBorders>
            <w:shd w:val="clear" w:color="auto" w:fill="E5E5E5"/>
          </w:tcPr>
          <w:p>
            <w:pPr>
              <w:jc w:val="center"/>
              <w:ind w:left="18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8C8272"/>
            </w:tcBorders>
            <w:shd w:val="clear" w:color="auto" w:fill="E5E5E5"/>
          </w:tcPr>
          <w:p>
            <w:pPr>
              <w:jc w:val="center"/>
              <w:ind w:left="7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83"/>
        </w:trPr>
        <w:tc>
          <w:tcPr>
            <w:tcW w:w="26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Total assets</w:t>
            </w:r>
          </w:p>
        </w:tc>
        <w:tc>
          <w:tcPr>
            <w:tcW w:w="80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color w:val="auto"/>
              </w:rPr>
              <w:t>$551</w:t>
            </w:r>
          </w:p>
        </w:tc>
        <w:tc>
          <w:tcPr>
            <w:tcW w:w="6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$317</w:t>
            </w:r>
          </w:p>
        </w:tc>
        <w:tc>
          <w:tcPr>
            <w:tcW w:w="7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8C8272"/>
            </w:tcBorders>
          </w:tcPr>
          <w:p>
            <w:pPr>
              <w:spacing w:after="0"/>
              <w:rPr>
                <w:sz w:val="15"/>
                <w:szCs w:val="15"/>
                <w:color w:val="auto"/>
              </w:rPr>
            </w:pPr>
          </w:p>
        </w:tc>
        <w:tc>
          <w:tcPr>
            <w:tcW w:w="12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$(40)</w:t>
            </w:r>
          </w:p>
        </w:tc>
        <w:tc>
          <w:tcPr>
            <w:tcW w:w="76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color w:val="auto"/>
              </w:rPr>
              <w:t>$835</w:t>
            </w:r>
          </w:p>
        </w:tc>
        <w:tc>
          <w:tcPr>
            <w:tcW w:w="6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$450</w:t>
            </w:r>
          </w:p>
        </w:tc>
        <w:tc>
          <w:tcPr>
            <w:tcW w:w="8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$168</w:t>
            </w:r>
          </w:p>
        </w:tc>
        <w:tc>
          <w:tcPr>
            <w:tcW w:w="840" w:type="dxa"/>
            <w:vAlign w:val="bottom"/>
            <w:tcBorders>
              <w:bottom w:val="single" w:sz="8" w:color="8C8272"/>
            </w:tcBorders>
          </w:tcPr>
          <w:p>
            <w:pPr>
              <w:jc w:val="right"/>
              <w:ind w:right="88"/>
              <w:spacing w:after="0"/>
              <w:rPr>
                <w:sz w:val="20"/>
                <w:szCs w:val="20"/>
                <w:color w:val="auto"/>
              </w:rPr>
            </w:pPr>
            <w:r>
              <w:rPr>
                <w:rFonts w:ascii="Arial" w:cs="Arial" w:eastAsia="Arial" w:hAnsi="Arial"/>
                <w:sz w:val="14"/>
                <w:szCs w:val="14"/>
                <w:color w:val="auto"/>
              </w:rPr>
              <w:t>$4</w:t>
            </w:r>
          </w:p>
        </w:tc>
        <w:tc>
          <w:tcPr>
            <w:tcW w:w="1320" w:type="dxa"/>
            <w:vAlign w:val="bottom"/>
            <w:tcBorders>
              <w:bottom w:val="single" w:sz="8" w:color="8C8272"/>
            </w:tcBorders>
          </w:tcPr>
          <w:p>
            <w:pPr>
              <w:jc w:val="center"/>
              <w:ind w:left="768"/>
              <w:spacing w:after="0"/>
              <w:rPr>
                <w:sz w:val="20"/>
                <w:szCs w:val="20"/>
                <w:color w:val="auto"/>
              </w:rPr>
            </w:pPr>
            <w:r>
              <w:rPr>
                <w:rFonts w:ascii="Arial" w:cs="Arial" w:eastAsia="Arial" w:hAnsi="Arial"/>
                <w:sz w:val="14"/>
                <w:szCs w:val="14"/>
                <w:color w:val="auto"/>
              </w:rPr>
              <w:t>$53</w:t>
            </w:r>
          </w:p>
        </w:tc>
        <w:tc>
          <w:tcPr>
            <w:tcW w:w="6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83"/>
        </w:trPr>
        <w:tc>
          <w:tcPr>
            <w:tcW w:w="2620" w:type="dxa"/>
            <w:vAlign w:val="bottom"/>
            <w:shd w:val="clear" w:color="auto" w:fill="E5E5E5"/>
          </w:tcPr>
          <w:p>
            <w:pPr>
              <w:ind w:left="20"/>
              <w:spacing w:after="0"/>
              <w:rPr>
                <w:sz w:val="20"/>
                <w:szCs w:val="20"/>
                <w:color w:val="auto"/>
              </w:rPr>
            </w:pPr>
            <w:r>
              <w:rPr>
                <w:rFonts w:ascii="Arial" w:cs="Arial" w:eastAsia="Arial" w:hAnsi="Arial"/>
                <w:sz w:val="14"/>
                <w:szCs w:val="14"/>
                <w:color w:val="auto"/>
              </w:rPr>
              <w:t>Derivative liabilities:</w:t>
            </w:r>
          </w:p>
        </w:tc>
        <w:tc>
          <w:tcPr>
            <w:tcW w:w="800" w:type="dxa"/>
            <w:vAlign w:val="bottom"/>
            <w:shd w:val="clear" w:color="auto" w:fill="E5E5E5"/>
          </w:tcPr>
          <w:p>
            <w:pPr>
              <w:spacing w:after="0"/>
              <w:rPr>
                <w:sz w:val="15"/>
                <w:szCs w:val="15"/>
                <w:color w:val="auto"/>
              </w:rPr>
            </w:pPr>
          </w:p>
        </w:tc>
        <w:tc>
          <w:tcPr>
            <w:tcW w:w="68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24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68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32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ind w:left="140"/>
              <w:spacing w:after="0"/>
              <w:rPr>
                <w:sz w:val="20"/>
                <w:szCs w:val="20"/>
                <w:color w:val="auto"/>
              </w:rPr>
            </w:pPr>
            <w:r>
              <w:rPr>
                <w:rFonts w:ascii="Arial" w:cs="Arial" w:eastAsia="Arial" w:hAnsi="Arial"/>
                <w:sz w:val="14"/>
                <w:szCs w:val="14"/>
                <w:color w:val="auto"/>
              </w:rPr>
              <w:t>Commodity (a)(b)(c)</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680" w:type="dxa"/>
            <w:vAlign w:val="bottom"/>
          </w:tcPr>
          <w:p>
            <w:pPr>
              <w:jc w:val="right"/>
              <w:spacing w:after="0"/>
              <w:rPr>
                <w:sz w:val="20"/>
                <w:szCs w:val="20"/>
                <w:color w:val="auto"/>
              </w:rPr>
            </w:pPr>
            <w:r>
              <w:rPr>
                <w:rFonts w:ascii="Arial" w:cs="Arial" w:eastAsia="Arial" w:hAnsi="Arial"/>
                <w:sz w:val="14"/>
                <w:szCs w:val="14"/>
                <w:color w:val="auto"/>
              </w:rPr>
              <w:t>$242</w:t>
            </w: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$230</w:t>
            </w:r>
          </w:p>
        </w:tc>
        <w:tc>
          <w:tcPr>
            <w:tcW w:w="680" w:type="dxa"/>
            <w:vAlign w:val="bottom"/>
          </w:tcPr>
          <w:p>
            <w:pPr>
              <w:jc w:val="right"/>
              <w:spacing w:after="0"/>
              <w:rPr>
                <w:sz w:val="20"/>
                <w:szCs w:val="20"/>
                <w:color w:val="auto"/>
              </w:rPr>
            </w:pPr>
            <w:r>
              <w:rPr>
                <w:rFonts w:ascii="Arial" w:cs="Arial" w:eastAsia="Arial" w:hAnsi="Arial"/>
                <w:sz w:val="14"/>
                <w:szCs w:val="14"/>
                <w:color w:val="auto"/>
              </w:rPr>
              <w:t>$7</w:t>
            </w:r>
          </w:p>
        </w:tc>
        <w:tc>
          <w:tcPr>
            <w:tcW w:w="800" w:type="dxa"/>
            <w:vAlign w:val="bottom"/>
          </w:tcPr>
          <w:p>
            <w:pPr>
              <w:jc w:val="right"/>
              <w:spacing w:after="0"/>
              <w:rPr>
                <w:sz w:val="20"/>
                <w:szCs w:val="20"/>
                <w:color w:val="auto"/>
              </w:rPr>
            </w:pPr>
            <w:r>
              <w:rPr>
                <w:rFonts w:ascii="Arial" w:cs="Arial" w:eastAsia="Arial" w:hAnsi="Arial"/>
                <w:sz w:val="14"/>
                <w:szCs w:val="14"/>
                <w:color w:val="auto"/>
              </w:rPr>
              <w:t>$296</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rPr>
              <w:t>$23</w:t>
            </w:r>
          </w:p>
        </w:tc>
        <w:tc>
          <w:tcPr>
            <w:tcW w:w="1320" w:type="dxa"/>
            <w:vAlign w:val="bottom"/>
          </w:tcPr>
          <w:p>
            <w:pPr>
              <w:jc w:val="center"/>
              <w:ind w:left="768"/>
              <w:spacing w:after="0"/>
              <w:rPr>
                <w:sz w:val="20"/>
                <w:szCs w:val="20"/>
                <w:color w:val="auto"/>
              </w:rPr>
            </w:pPr>
            <w:r>
              <w:rPr>
                <w:rFonts w:ascii="Arial" w:cs="Arial" w:eastAsia="Arial" w:hAnsi="Arial"/>
                <w:sz w:val="14"/>
                <w:szCs w:val="14"/>
                <w:color w:val="auto"/>
              </w:rPr>
              <w:t>$46</w:t>
            </w:r>
          </w:p>
        </w:tc>
        <w:tc>
          <w:tcPr>
            <w:tcW w:w="640" w:type="dxa"/>
            <w:vAlign w:val="bottom"/>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89"/>
        </w:trPr>
        <w:tc>
          <w:tcPr>
            <w:tcW w:w="262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Interest rate swaps (a)(b)(c)</w:t>
            </w:r>
          </w:p>
        </w:tc>
        <w:tc>
          <w:tcPr>
            <w:tcW w:w="800" w:type="dxa"/>
            <w:vAlign w:val="bottom"/>
            <w:tcBorders>
              <w:bottom w:val="single" w:sz="8" w:color="828282"/>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74</w:t>
            </w:r>
          </w:p>
        </w:tc>
        <w:tc>
          <w:tcPr>
            <w:tcW w:w="860" w:type="dxa"/>
            <w:vAlign w:val="bottom"/>
            <w:tcBorders>
              <w:bottom w:val="single" w:sz="8" w:color="828282"/>
            </w:tcBorders>
            <w:gridSpan w:val="2"/>
            <w:shd w:val="clear" w:color="auto" w:fill="E5E5E5"/>
          </w:tcPr>
          <w:p>
            <w:pPr>
              <w:ind w:left="54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828282"/>
            </w:tcBorders>
            <w:shd w:val="clear" w:color="auto" w:fill="E5E5E5"/>
          </w:tcPr>
          <w:p>
            <w:pPr>
              <w:jc w:val="right"/>
              <w:ind w:right="8"/>
              <w:spacing w:after="0"/>
              <w:rPr>
                <w:sz w:val="20"/>
                <w:szCs w:val="20"/>
                <w:color w:val="auto"/>
              </w:rPr>
            </w:pPr>
            <w:r>
              <w:rPr>
                <w:rFonts w:ascii="Arial" w:cs="Arial" w:eastAsia="Arial" w:hAnsi="Arial"/>
                <w:sz w:val="14"/>
                <w:szCs w:val="14"/>
                <w:color w:val="auto"/>
              </w:rPr>
              <w:t>74</w:t>
            </w:r>
          </w:p>
        </w:tc>
        <w:tc>
          <w:tcPr>
            <w:tcW w:w="68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106</w:t>
            </w:r>
          </w:p>
        </w:tc>
        <w:tc>
          <w:tcPr>
            <w:tcW w:w="840" w:type="dxa"/>
            <w:vAlign w:val="bottom"/>
            <w:tcBorders>
              <w:bottom w:val="single" w:sz="8" w:color="828282"/>
            </w:tcBorders>
            <w:shd w:val="clear" w:color="auto" w:fill="E5E5E5"/>
          </w:tcPr>
          <w:p>
            <w:pPr>
              <w:jc w:val="center"/>
              <w:ind w:left="18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828282"/>
            </w:tcBorders>
            <w:shd w:val="clear" w:color="auto" w:fill="E5E5E5"/>
          </w:tcPr>
          <w:p>
            <w:pPr>
              <w:jc w:val="center"/>
              <w:ind w:left="7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3"/>
        </w:trPr>
        <w:tc>
          <w:tcPr>
            <w:tcW w:w="26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Total liabilities</w:t>
            </w:r>
          </w:p>
        </w:tc>
        <w:tc>
          <w:tcPr>
            <w:tcW w:w="800" w:type="dxa"/>
            <w:vAlign w:val="bottom"/>
            <w:tcBorders>
              <w:bottom w:val="single" w:sz="8" w:color="828282"/>
            </w:tcBorders>
          </w:tcPr>
          <w:p>
            <w:pPr>
              <w:jc w:val="right"/>
              <w:ind w:right="8"/>
              <w:spacing w:after="0"/>
              <w:rPr>
                <w:sz w:val="20"/>
                <w:szCs w:val="20"/>
                <w:color w:val="auto"/>
              </w:rPr>
            </w:pPr>
            <w:r>
              <w:rPr>
                <w:rFonts w:ascii="Arial" w:cs="Arial" w:eastAsia="Arial" w:hAnsi="Arial"/>
                <w:sz w:val="14"/>
                <w:szCs w:val="14"/>
                <w:color w:val="auto"/>
              </w:rPr>
              <w:t>$13</w:t>
            </w:r>
          </w:p>
        </w:tc>
        <w:tc>
          <w:tcPr>
            <w:tcW w:w="68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$316</w:t>
            </w: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828282"/>
            </w:tcBorders>
          </w:tcPr>
          <w:p>
            <w:pPr>
              <w:spacing w:after="0"/>
              <w:rPr>
                <w:sz w:val="15"/>
                <w:szCs w:val="15"/>
                <w:color w:val="auto"/>
              </w:rPr>
            </w:pPr>
          </w:p>
        </w:tc>
        <w:tc>
          <w:tcPr>
            <w:tcW w:w="124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$(41)</w:t>
            </w:r>
          </w:p>
        </w:tc>
        <w:tc>
          <w:tcPr>
            <w:tcW w:w="76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color w:val="auto"/>
              </w:rPr>
              <w:t>$304</w:t>
            </w:r>
          </w:p>
        </w:tc>
        <w:tc>
          <w:tcPr>
            <w:tcW w:w="6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$7</w:t>
            </w:r>
          </w:p>
        </w:tc>
        <w:tc>
          <w:tcPr>
            <w:tcW w:w="80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$402</w:t>
            </w:r>
          </w:p>
        </w:tc>
        <w:tc>
          <w:tcPr>
            <w:tcW w:w="840" w:type="dxa"/>
            <w:vAlign w:val="bottom"/>
            <w:tcBorders>
              <w:bottom w:val="single" w:sz="8" w:color="828282"/>
            </w:tcBorders>
          </w:tcPr>
          <w:p>
            <w:pPr>
              <w:jc w:val="center"/>
              <w:ind w:left="208"/>
              <w:spacing w:after="0"/>
              <w:rPr>
                <w:sz w:val="20"/>
                <w:szCs w:val="20"/>
                <w:color w:val="auto"/>
              </w:rPr>
            </w:pPr>
            <w:r>
              <w:rPr>
                <w:rFonts w:ascii="Arial" w:cs="Arial" w:eastAsia="Arial" w:hAnsi="Arial"/>
                <w:sz w:val="14"/>
                <w:szCs w:val="14"/>
                <w:color w:val="auto"/>
              </w:rPr>
              <w:t>$23</w:t>
            </w:r>
          </w:p>
        </w:tc>
        <w:tc>
          <w:tcPr>
            <w:tcW w:w="1320" w:type="dxa"/>
            <w:vAlign w:val="bottom"/>
            <w:tcBorders>
              <w:bottom w:val="single" w:sz="8" w:color="828282"/>
            </w:tcBorders>
          </w:tcPr>
          <w:p>
            <w:pPr>
              <w:jc w:val="center"/>
              <w:ind w:left="768"/>
              <w:spacing w:after="0"/>
              <w:rPr>
                <w:sz w:val="20"/>
                <w:szCs w:val="20"/>
                <w:color w:val="auto"/>
              </w:rPr>
            </w:pPr>
            <w:r>
              <w:rPr>
                <w:rFonts w:ascii="Arial" w:cs="Arial" w:eastAsia="Arial" w:hAnsi="Arial"/>
                <w:sz w:val="14"/>
                <w:szCs w:val="14"/>
                <w:color w:val="auto"/>
              </w:rPr>
              <w:t>$46</w:t>
            </w:r>
          </w:p>
        </w:tc>
        <w:tc>
          <w:tcPr>
            <w:tcW w:w="64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83"/>
        </w:trPr>
        <w:tc>
          <w:tcPr>
            <w:tcW w:w="2620" w:type="dxa"/>
            <w:vAlign w:val="bottom"/>
            <w:shd w:val="clear" w:color="auto" w:fill="E5E5E5"/>
          </w:tcPr>
          <w:p>
            <w:pPr>
              <w:ind w:left="20"/>
              <w:spacing w:after="0"/>
              <w:rPr>
                <w:sz w:val="20"/>
                <w:szCs w:val="20"/>
                <w:color w:val="auto"/>
              </w:rPr>
            </w:pPr>
            <w:r>
              <w:rPr>
                <w:rFonts w:ascii="Arial" w:cs="Arial" w:eastAsia="Arial" w:hAnsi="Arial"/>
                <w:sz w:val="14"/>
                <w:szCs w:val="14"/>
                <w:color w:val="auto"/>
              </w:rPr>
              <w:t>CECONY</w:t>
            </w:r>
          </w:p>
        </w:tc>
        <w:tc>
          <w:tcPr>
            <w:tcW w:w="800" w:type="dxa"/>
            <w:vAlign w:val="bottom"/>
            <w:shd w:val="clear" w:color="auto" w:fill="E5E5E5"/>
          </w:tcPr>
          <w:p>
            <w:pPr>
              <w:spacing w:after="0"/>
              <w:rPr>
                <w:sz w:val="15"/>
                <w:szCs w:val="15"/>
                <w:color w:val="auto"/>
              </w:rPr>
            </w:pPr>
          </w:p>
        </w:tc>
        <w:tc>
          <w:tcPr>
            <w:tcW w:w="68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24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68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32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Arial" w:cs="Arial" w:eastAsia="Arial" w:hAnsi="Arial"/>
                <w:sz w:val="14"/>
                <w:szCs w:val="14"/>
                <w:color w:val="auto"/>
              </w:rPr>
              <w:t>Derivative assets:</w:t>
            </w: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Commodity (a)(b)(c)</w:t>
            </w:r>
          </w:p>
        </w:tc>
        <w:tc>
          <w:tcPr>
            <w:tcW w:w="8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$55</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$136</w:t>
            </w:r>
          </w:p>
        </w:tc>
        <w:tc>
          <w:tcPr>
            <w:tcW w:w="860" w:type="dxa"/>
            <w:vAlign w:val="bottom"/>
            <w:gridSpan w:val="2"/>
            <w:shd w:val="clear" w:color="auto" w:fill="E5E5E5"/>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$(38)</w:t>
            </w:r>
          </w:p>
        </w:tc>
        <w:tc>
          <w:tcPr>
            <w:tcW w:w="7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$153</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w:t>
            </w:r>
          </w:p>
        </w:tc>
        <w:tc>
          <w:tcPr>
            <w:tcW w:w="8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$(16)</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9"/>
        </w:trPr>
        <w:tc>
          <w:tcPr>
            <w:tcW w:w="26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Other (a)(b)(d)</w:t>
            </w:r>
          </w:p>
        </w:tc>
        <w:tc>
          <w:tcPr>
            <w:tcW w:w="80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color w:val="auto"/>
              </w:rPr>
              <w:t>461</w:t>
            </w:r>
          </w:p>
        </w:tc>
        <w:tc>
          <w:tcPr>
            <w:tcW w:w="6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124</w:t>
            </w:r>
          </w:p>
        </w:tc>
        <w:tc>
          <w:tcPr>
            <w:tcW w:w="740" w:type="dxa"/>
            <w:vAlign w:val="bottom"/>
            <w:tcBorders>
              <w:bottom w:val="single" w:sz="8" w:color="929292"/>
            </w:tcBorders>
          </w:tcPr>
          <w:p>
            <w:pPr>
              <w:ind w:left="5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C8272"/>
            </w:tcBorders>
          </w:tcPr>
          <w:p>
            <w:pPr>
              <w:spacing w:after="0"/>
              <w:rPr>
                <w:sz w:val="16"/>
                <w:szCs w:val="16"/>
                <w:color w:val="auto"/>
              </w:rPr>
            </w:pPr>
          </w:p>
        </w:tc>
        <w:tc>
          <w:tcPr>
            <w:tcW w:w="12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color w:val="auto"/>
              </w:rPr>
              <w:t>585</w:t>
            </w:r>
          </w:p>
        </w:tc>
        <w:tc>
          <w:tcPr>
            <w:tcW w:w="6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411</w:t>
            </w:r>
          </w:p>
        </w:tc>
        <w:tc>
          <w:tcPr>
            <w:tcW w:w="8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120</w:t>
            </w:r>
          </w:p>
        </w:tc>
        <w:tc>
          <w:tcPr>
            <w:tcW w:w="840" w:type="dxa"/>
            <w:vAlign w:val="bottom"/>
            <w:tcBorders>
              <w:bottom w:val="single" w:sz="8" w:color="8C8272"/>
            </w:tcBorders>
          </w:tcPr>
          <w:p>
            <w:pPr>
              <w:jc w:val="center"/>
              <w:ind w:left="18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8C8272"/>
            </w:tcBorders>
          </w:tcPr>
          <w:p>
            <w:pPr>
              <w:jc w:val="center"/>
              <w:ind w:left="7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83"/>
        </w:trPr>
        <w:tc>
          <w:tcPr>
            <w:tcW w:w="262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Total assets</w:t>
            </w:r>
          </w:p>
        </w:tc>
        <w:tc>
          <w:tcPr>
            <w:tcW w:w="80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$516</w:t>
            </w:r>
          </w:p>
        </w:tc>
        <w:tc>
          <w:tcPr>
            <w:tcW w:w="6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$260</w:t>
            </w:r>
          </w:p>
        </w:tc>
        <w:tc>
          <w:tcPr>
            <w:tcW w:w="860" w:type="dxa"/>
            <w:vAlign w:val="bottom"/>
            <w:tcBorders>
              <w:bottom w:val="single" w:sz="8" w:color="8C8272"/>
            </w:tcBorders>
            <w:gridSpan w:val="2"/>
            <w:shd w:val="clear" w:color="auto" w:fill="E5E5E5"/>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$(38)</w:t>
            </w:r>
          </w:p>
        </w:tc>
        <w:tc>
          <w:tcPr>
            <w:tcW w:w="76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$738</w:t>
            </w:r>
          </w:p>
        </w:tc>
        <w:tc>
          <w:tcPr>
            <w:tcW w:w="6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$426</w:t>
            </w:r>
          </w:p>
        </w:tc>
        <w:tc>
          <w:tcPr>
            <w:tcW w:w="8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$140</w:t>
            </w:r>
          </w:p>
        </w:tc>
        <w:tc>
          <w:tcPr>
            <w:tcW w:w="840" w:type="dxa"/>
            <w:vAlign w:val="bottom"/>
            <w:tcBorders>
              <w:bottom w:val="single" w:sz="8" w:color="8C8272"/>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color w:val="auto"/>
              </w:rPr>
              <w:t>$(16)</w:t>
            </w:r>
          </w:p>
        </w:tc>
        <w:tc>
          <w:tcPr>
            <w:tcW w:w="6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83"/>
        </w:trPr>
        <w:tc>
          <w:tcPr>
            <w:tcW w:w="262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color w:val="auto"/>
              </w:rPr>
              <w:t>Commodity (a)(b)(c)</w:t>
            </w:r>
          </w:p>
        </w:tc>
        <w:tc>
          <w:tcPr>
            <w:tcW w:w="80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$210</w:t>
            </w:r>
          </w:p>
        </w:tc>
        <w:tc>
          <w:tcPr>
            <w:tcW w:w="7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8C8272"/>
            </w:tcBorders>
            <w:shd w:val="clear" w:color="auto" w:fill="E5E5E5"/>
          </w:tcPr>
          <w:p>
            <w:pPr>
              <w:spacing w:after="0"/>
              <w:rPr>
                <w:sz w:val="16"/>
                <w:szCs w:val="16"/>
                <w:color w:val="auto"/>
              </w:rPr>
            </w:pPr>
          </w:p>
        </w:tc>
        <w:tc>
          <w:tcPr>
            <w:tcW w:w="12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$(33)</w:t>
            </w:r>
          </w:p>
        </w:tc>
        <w:tc>
          <w:tcPr>
            <w:tcW w:w="76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$184</w:t>
            </w:r>
          </w:p>
        </w:tc>
        <w:tc>
          <w:tcPr>
            <w:tcW w:w="6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8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$274</w:t>
            </w:r>
          </w:p>
        </w:tc>
        <w:tc>
          <w:tcPr>
            <w:tcW w:w="840" w:type="dxa"/>
            <w:vAlign w:val="bottom"/>
            <w:tcBorders>
              <w:bottom w:val="single" w:sz="8" w:color="8C8272"/>
            </w:tcBorders>
            <w:shd w:val="clear" w:color="auto" w:fill="E5E5E5"/>
          </w:tcPr>
          <w:p>
            <w:pPr>
              <w:jc w:val="center"/>
              <w:ind w:left="208"/>
              <w:spacing w:after="0"/>
              <w:rPr>
                <w:sz w:val="20"/>
                <w:szCs w:val="20"/>
                <w:color w:val="auto"/>
              </w:rPr>
            </w:pPr>
            <w:r>
              <w:rPr>
                <w:rFonts w:ascii="Arial" w:cs="Arial" w:eastAsia="Arial" w:hAnsi="Arial"/>
                <w:sz w:val="14"/>
                <w:szCs w:val="14"/>
                <w:color w:val="auto"/>
              </w:rPr>
              <w:t>$10</w:t>
            </w:r>
          </w:p>
        </w:tc>
        <w:tc>
          <w:tcPr>
            <w:tcW w:w="132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color w:val="auto"/>
              </w:rPr>
              <w:t>$(19)</w:t>
            </w:r>
          </w:p>
        </w:tc>
        <w:tc>
          <w:tcPr>
            <w:tcW w:w="6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-102235</wp:posOffset>
            </wp:positionV>
            <wp:extent cx="889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-85090</wp:posOffset>
            </wp:positionV>
            <wp:extent cx="889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-67945</wp:posOffset>
            </wp:positionV>
            <wp:extent cx="889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-50800</wp:posOffset>
            </wp:positionV>
            <wp:extent cx="88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-33655</wp:posOffset>
            </wp:positionV>
            <wp:extent cx="889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-16510</wp:posOffset>
            </wp:positionV>
            <wp:extent cx="889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-248285</wp:posOffset>
            </wp:positionV>
            <wp:extent cx="8890" cy="1714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-222250</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-205105</wp:posOffset>
            </wp:positionV>
            <wp:extent cx="889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-187960</wp:posOffset>
            </wp:positionV>
            <wp:extent cx="889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-170815</wp:posOffset>
            </wp:positionV>
            <wp:extent cx="889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-153670</wp:posOffset>
            </wp:positionV>
            <wp:extent cx="889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-136525</wp:posOffset>
            </wp:positionV>
            <wp:extent cx="8890" cy="2540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-376555</wp:posOffset>
            </wp:positionV>
            <wp:extent cx="8890" cy="1714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-350520</wp:posOffset>
            </wp:positionV>
            <wp:extent cx="889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-334010</wp:posOffset>
            </wp:positionV>
            <wp:extent cx="889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-316865</wp:posOffset>
            </wp:positionV>
            <wp:extent cx="889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-299720</wp:posOffset>
            </wp:positionV>
            <wp:extent cx="889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-281940</wp:posOffset>
            </wp:positionV>
            <wp:extent cx="889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-264795</wp:posOffset>
            </wp:positionV>
            <wp:extent cx="889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-479425</wp:posOffset>
            </wp:positionV>
            <wp:extent cx="8890"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-462280</wp:posOffset>
            </wp:positionV>
            <wp:extent cx="8890"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-445135</wp:posOffset>
            </wp:positionV>
            <wp:extent cx="889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-427990</wp:posOffset>
            </wp:positionV>
            <wp:extent cx="8890"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-410845</wp:posOffset>
            </wp:positionV>
            <wp:extent cx="889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-393700</wp:posOffset>
            </wp:positionV>
            <wp:extent cx="8890"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-599440</wp:posOffset>
            </wp:positionV>
            <wp:extent cx="889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-582295</wp:posOffset>
            </wp:positionV>
            <wp:extent cx="889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-565150</wp:posOffset>
            </wp:positionV>
            <wp:extent cx="889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-548005</wp:posOffset>
            </wp:positionV>
            <wp:extent cx="8890"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-530860</wp:posOffset>
            </wp:positionV>
            <wp:extent cx="889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-513715</wp:posOffset>
            </wp:positionV>
            <wp:extent cx="8890" cy="2540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-719455</wp:posOffset>
            </wp:positionV>
            <wp:extent cx="889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-702310</wp:posOffset>
            </wp:positionV>
            <wp:extent cx="889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-685165</wp:posOffset>
            </wp:positionV>
            <wp:extent cx="889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-668020</wp:posOffset>
            </wp:positionV>
            <wp:extent cx="8890"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-650875</wp:posOffset>
            </wp:positionV>
            <wp:extent cx="889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-633730</wp:posOffset>
            </wp:positionV>
            <wp:extent cx="8890" cy="2540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-864870</wp:posOffset>
            </wp:positionV>
            <wp:extent cx="8890" cy="1714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-839470</wp:posOffset>
            </wp:positionV>
            <wp:extent cx="8890"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-822325</wp:posOffset>
            </wp:positionV>
            <wp:extent cx="8890"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-805180</wp:posOffset>
            </wp:positionV>
            <wp:extent cx="889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-788035</wp:posOffset>
            </wp:positionV>
            <wp:extent cx="889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-770890</wp:posOffset>
            </wp:positionV>
            <wp:extent cx="889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-753745</wp:posOffset>
            </wp:positionV>
            <wp:extent cx="8890" cy="2540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-993775</wp:posOffset>
            </wp:positionV>
            <wp:extent cx="8890" cy="1714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-967740</wp:posOffset>
            </wp:positionV>
            <wp:extent cx="8890"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-950595</wp:posOffset>
            </wp:positionV>
            <wp:extent cx="889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-933450</wp:posOffset>
            </wp:positionV>
            <wp:extent cx="8890"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-916940</wp:posOffset>
            </wp:positionV>
            <wp:extent cx="889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-899795</wp:posOffset>
            </wp:positionV>
            <wp:extent cx="889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-882015</wp:posOffset>
            </wp:positionV>
            <wp:extent cx="889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-1096645</wp:posOffset>
            </wp:positionV>
            <wp:extent cx="8890"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-1079500</wp:posOffset>
            </wp:positionV>
            <wp:extent cx="889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-1062355</wp:posOffset>
            </wp:positionV>
            <wp:extent cx="8890"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-1045210</wp:posOffset>
            </wp:positionV>
            <wp:extent cx="889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-1028065</wp:posOffset>
            </wp:positionV>
            <wp:extent cx="889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-1010920</wp:posOffset>
            </wp:positionV>
            <wp:extent cx="889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-1216660</wp:posOffset>
            </wp:positionV>
            <wp:extent cx="889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-1199515</wp:posOffset>
            </wp:positionV>
            <wp:extent cx="889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-1182370</wp:posOffset>
            </wp:positionV>
            <wp:extent cx="889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-1165225</wp:posOffset>
            </wp:positionV>
            <wp:extent cx="8890"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-1148080</wp:posOffset>
            </wp:positionV>
            <wp:extent cx="889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-1130935</wp:posOffset>
            </wp:positionV>
            <wp:extent cx="8890" cy="2540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-1362075</wp:posOffset>
            </wp:positionV>
            <wp:extent cx="8890" cy="1714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-1336675</wp:posOffset>
            </wp:positionV>
            <wp:extent cx="8890"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-1319530</wp:posOffset>
            </wp:positionV>
            <wp:extent cx="8890"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-1302385</wp:posOffset>
            </wp:positionV>
            <wp:extent cx="889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-1285240</wp:posOffset>
            </wp:positionV>
            <wp:extent cx="889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-1268095</wp:posOffset>
            </wp:positionV>
            <wp:extent cx="889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-1250950</wp:posOffset>
            </wp:positionV>
            <wp:extent cx="8890" cy="2540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-1490980</wp:posOffset>
            </wp:positionV>
            <wp:extent cx="8890" cy="1714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-1464945</wp:posOffset>
            </wp:positionV>
            <wp:extent cx="8890"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-1447800</wp:posOffset>
            </wp:positionV>
            <wp:extent cx="889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-1430655</wp:posOffset>
            </wp:positionV>
            <wp:extent cx="8890"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-1414145</wp:posOffset>
            </wp:positionV>
            <wp:extent cx="889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-1396365</wp:posOffset>
            </wp:positionV>
            <wp:extent cx="889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-1379220</wp:posOffset>
            </wp:positionV>
            <wp:extent cx="889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-1593850</wp:posOffset>
            </wp:positionV>
            <wp:extent cx="8890"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-1576705</wp:posOffset>
            </wp:positionV>
            <wp:extent cx="8890"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-1559560</wp:posOffset>
            </wp:positionV>
            <wp:extent cx="889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-1542415</wp:posOffset>
            </wp:positionV>
            <wp:extent cx="889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-1525270</wp:posOffset>
            </wp:positionV>
            <wp:extent cx="889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-1508125</wp:posOffset>
            </wp:positionV>
            <wp:extent cx="889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-1713865</wp:posOffset>
            </wp:positionV>
            <wp:extent cx="889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-1696720</wp:posOffset>
            </wp:positionV>
            <wp:extent cx="889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-1679575</wp:posOffset>
            </wp:positionV>
            <wp:extent cx="8890"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-1662430</wp:posOffset>
            </wp:positionV>
            <wp:extent cx="889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-1645285</wp:posOffset>
            </wp:positionV>
            <wp:extent cx="889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-1628140</wp:posOffset>
            </wp:positionV>
            <wp:extent cx="8890" cy="2603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-1833880</wp:posOffset>
            </wp:positionV>
            <wp:extent cx="8890"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-1816735</wp:posOffset>
            </wp:positionV>
            <wp:extent cx="889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-1799590</wp:posOffset>
            </wp:positionV>
            <wp:extent cx="889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-1782445</wp:posOffset>
            </wp:positionV>
            <wp:extent cx="889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-1765300</wp:posOffset>
            </wp:positionV>
            <wp:extent cx="8890"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-1748155</wp:posOffset>
            </wp:positionV>
            <wp:extent cx="8890" cy="2540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-1953895</wp:posOffset>
            </wp:positionV>
            <wp:extent cx="889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-1936750</wp:posOffset>
            </wp:positionV>
            <wp:extent cx="889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-1919605</wp:posOffset>
            </wp:positionV>
            <wp:extent cx="889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-1902460</wp:posOffset>
            </wp:positionV>
            <wp:extent cx="8890"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-1885315</wp:posOffset>
            </wp:positionV>
            <wp:extent cx="8890"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-1868170</wp:posOffset>
            </wp:positionV>
            <wp:extent cx="8890" cy="2603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-2099310</wp:posOffset>
            </wp:positionV>
            <wp:extent cx="8890" cy="1714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-2073910</wp:posOffset>
            </wp:positionV>
            <wp:extent cx="889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-2056765</wp:posOffset>
            </wp:positionV>
            <wp:extent cx="889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-2039620</wp:posOffset>
            </wp:positionV>
            <wp:extent cx="889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-2022475</wp:posOffset>
            </wp:positionV>
            <wp:extent cx="8890"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-2005330</wp:posOffset>
            </wp:positionV>
            <wp:extent cx="8890"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-1988185</wp:posOffset>
            </wp:positionV>
            <wp:extent cx="8890" cy="2603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-2313940</wp:posOffset>
            </wp:positionV>
            <wp:extent cx="8890" cy="1714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-2288540</wp:posOffset>
            </wp:positionV>
            <wp:extent cx="889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-2270760</wp:posOffset>
            </wp:positionV>
            <wp:extent cx="889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-2253615</wp:posOffset>
            </wp:positionV>
            <wp:extent cx="8890"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-2236470</wp:posOffset>
            </wp:positionV>
            <wp:extent cx="8890"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-2219325</wp:posOffset>
            </wp:positionV>
            <wp:extent cx="889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-2202815</wp:posOffset>
            </wp:positionV>
            <wp:extent cx="889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-2185035</wp:posOffset>
            </wp:positionV>
            <wp:extent cx="8890"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-2167890</wp:posOffset>
            </wp:positionV>
            <wp:extent cx="889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-2150745</wp:posOffset>
            </wp:positionV>
            <wp:extent cx="8890"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-2133600</wp:posOffset>
            </wp:positionV>
            <wp:extent cx="889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-2117090</wp:posOffset>
            </wp:positionV>
            <wp:extent cx="889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79" w:lineRule="exact"/>
        <w:rPr>
          <w:sz w:val="20"/>
          <w:szCs w:val="20"/>
          <w:color w:val="auto"/>
        </w:rPr>
      </w:pPr>
    </w:p>
    <w:p>
      <w:pPr>
        <w:ind w:left="340" w:right="80" w:hanging="332"/>
        <w:spacing w:after="0" w:line="241" w:lineRule="auto"/>
        <w:tabs>
          <w:tab w:leader="none" w:pos="327"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Companies’ policy is to review the fair value hierarchy and recognize transfers into and transfers out of the levels at the end of each reporting period. Con Edison and CECONY had no transfers between levels 1, 2, and 3 during the six months ended June 30, 2021. Con Edison and CECONY had $1 million of commodity derivative liabilities transferred from level 3 to level 2 during the year ended December 31, 2020 because of availability of observable market data due to the decrease in the terms of certain contracts from beyond three years as of September 30, 2020 to less than three years as of December 31, 2020.</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27" w:val="left"/>
        </w:tabs>
        <w:numPr>
          <w:ilvl w:val="0"/>
          <w:numId w:val="14"/>
        </w:numPr>
        <w:rPr>
          <w:rFonts w:ascii="Arial" w:cs="Arial" w:eastAsia="Arial" w:hAnsi="Arial"/>
          <w:sz w:val="14"/>
          <w:szCs w:val="14"/>
          <w:color w:val="auto"/>
        </w:rPr>
      </w:pPr>
      <w:r>
        <w:rPr>
          <w:rFonts w:ascii="Arial" w:cs="Arial" w:eastAsia="Arial" w:hAnsi="Arial"/>
          <w:sz w:val="14"/>
          <w:szCs w:val="14"/>
          <w:color w:val="auto"/>
        </w:rPr>
        <w:t>Level 2 assets and liabilities include investments held in the deferred compensation plan and/or non-qualified retirement plans, exchange-traded contracts where there is insufficient market liquidity to warrant inclusion in Level 1, and certain over-the-counter derivative instruments for electricity, refined products and natural gas. Derivative instruments classified as Level 2 are valued using industry standard models that incorporate corroborated observable inputs, such as pricing services or prices from similar instruments that trade in liquid markets, time value and volatility factors.</w:t>
      </w:r>
    </w:p>
    <w:p>
      <w:pPr>
        <w:spacing w:after="0" w:line="1" w:lineRule="exact"/>
        <w:rPr>
          <w:rFonts w:ascii="Arial" w:cs="Arial" w:eastAsia="Arial" w:hAnsi="Arial"/>
          <w:sz w:val="14"/>
          <w:szCs w:val="14"/>
          <w:color w:val="auto"/>
        </w:rPr>
      </w:pPr>
    </w:p>
    <w:p>
      <w:pPr>
        <w:ind w:left="340" w:right="680" w:hanging="332"/>
        <w:spacing w:after="0" w:line="249" w:lineRule="auto"/>
        <w:tabs>
          <w:tab w:leader="none" w:pos="332"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accounting rules for fair value measurements and disclosures require consideration of the impact of nonperformance risk (including credit risk) from a market participant perspective in the measurement of the fair value of assets and liabilities. At June 30, 2021 and December 31, 2020, the Companies determined that nonperformance risk would have no material impact on their financial position or results of operations.</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7" w:name="page48"/>
    <w:bookmarkEnd w:id="47"/>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Other assets are comprised of assets such as life insurance contracts within the deferred compensation plan and non-qualified retirement plans.</w:t>
      </w:r>
    </w:p>
    <w:p>
      <w:pPr>
        <w:spacing w:after="0" w:line="1" w:lineRule="exact"/>
        <w:rPr>
          <w:rFonts w:ascii="Arial" w:cs="Arial" w:eastAsia="Arial" w:hAnsi="Arial"/>
          <w:sz w:val="14"/>
          <w:szCs w:val="14"/>
          <w:color w:val="auto"/>
        </w:rPr>
      </w:pPr>
    </w:p>
    <w:p>
      <w:pPr>
        <w:ind w:left="340" w:right="100" w:hanging="332"/>
        <w:spacing w:after="0" w:line="258"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Amounts represent the impact of legally-enforceable master netting agreements that allow the Companies to net gain and loss positions and cash collateral held or placed with the same counterparties.</w:t>
      </w:r>
    </w:p>
    <w:p>
      <w:pPr>
        <w:spacing w:after="0" w:line="21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employees in the Companies’ risk management group develop and maintain the Companies’ valuation policies and procedures for, and verify pricing and fair value valuation of, commodity derivatives and interest rate swaps. Under the Companies’ policies and procedures, multiple independent sources of information are obtained for forward price curves used to value commodity derivatives and interest rate swaps. Fair value and changes in fair value of commodity derivatives and interest rate swaps are reported on a monthly basis to the Companies’ risk committees, comprised of officers and employees of the Companies that oversee energy hedging at the Utilities and the Clean Energy Businesses. The risk management group reports to the Companies’ Vice President and Treasurer.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3"/>
                <w:szCs w:val="13"/>
                <w:color w:val="auto"/>
              </w:rPr>
            </w:pPr>
          </w:p>
        </w:tc>
        <w:tc>
          <w:tcPr>
            <w:tcW w:w="1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Fair Value of Level 3 at June</w:t>
            </w:r>
          </w:p>
        </w:tc>
        <w:tc>
          <w:tcPr>
            <w:tcW w:w="15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20" w:type="dxa"/>
            <w:vAlign w:val="bottom"/>
            <w:gridSpan w:val="2"/>
          </w:tcPr>
          <w:p>
            <w:pPr>
              <w:jc w:val="center"/>
              <w:ind w:left="2937"/>
              <w:spacing w:after="0"/>
              <w:rPr>
                <w:sz w:val="20"/>
                <w:szCs w:val="20"/>
                <w:color w:val="auto"/>
              </w:rPr>
            </w:pPr>
            <w:r>
              <w:rPr>
                <w:rFonts w:ascii="Arial" w:cs="Arial" w:eastAsia="Arial" w:hAnsi="Arial"/>
                <w:sz w:val="13"/>
                <w:szCs w:val="13"/>
                <w:b w:val="1"/>
                <w:bCs w:val="1"/>
                <w:color w:val="auto"/>
                <w:w w:val="98"/>
              </w:rPr>
              <w:t>30, 2021</w:t>
            </w:r>
          </w:p>
        </w:tc>
        <w:tc>
          <w:tcPr>
            <w:tcW w:w="260" w:type="dxa"/>
            <w:vAlign w:val="bottom"/>
          </w:tcPr>
          <w:p>
            <w:pPr>
              <w:spacing w:after="0"/>
              <w:rPr>
                <w:sz w:val="15"/>
                <w:szCs w:val="15"/>
                <w:color w:val="auto"/>
              </w:rPr>
            </w:pPr>
          </w:p>
        </w:tc>
        <w:tc>
          <w:tcPr>
            <w:tcW w:w="1560" w:type="dxa"/>
            <w:vAlign w:val="bottom"/>
          </w:tcPr>
          <w:p>
            <w:pPr>
              <w:ind w:left="20"/>
              <w:spacing w:after="0"/>
              <w:rPr>
                <w:sz w:val="20"/>
                <w:szCs w:val="20"/>
                <w:color w:val="auto"/>
              </w:rPr>
            </w:pPr>
            <w:r>
              <w:rPr>
                <w:rFonts w:ascii="Arial" w:cs="Arial" w:eastAsia="Arial" w:hAnsi="Arial"/>
                <w:sz w:val="13"/>
                <w:szCs w:val="13"/>
                <w:b w:val="1"/>
                <w:bCs w:val="1"/>
                <w:color w:val="auto"/>
              </w:rPr>
              <w:t>Valuation</w:t>
            </w:r>
          </w:p>
        </w:tc>
        <w:tc>
          <w:tcPr>
            <w:tcW w:w="282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Unobservable Inputs</w:t>
            </w:r>
          </w:p>
        </w:tc>
        <w:tc>
          <w:tcPr>
            <w:tcW w:w="22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Range</w:t>
            </w:r>
          </w:p>
        </w:tc>
        <w:tc>
          <w:tcPr>
            <w:tcW w:w="0" w:type="dxa"/>
            <w:vAlign w:val="bottom"/>
          </w:tcPr>
          <w:p>
            <w:pPr>
              <w:spacing w:after="0"/>
              <w:rPr>
                <w:sz w:val="1"/>
                <w:szCs w:val="1"/>
                <w:color w:val="auto"/>
              </w:rPr>
            </w:pPr>
          </w:p>
        </w:tc>
      </w:tr>
      <w:tr>
        <w:trPr>
          <w:trHeight w:val="172"/>
        </w:trPr>
        <w:tc>
          <w:tcPr>
            <w:tcW w:w="2720" w:type="dxa"/>
            <w:vAlign w:val="bottom"/>
            <w:tcBorders>
              <w:bottom w:val="single" w:sz="8" w:color="8C8272"/>
            </w:tcBorders>
          </w:tcPr>
          <w:p>
            <w:pPr>
              <w:spacing w:after="0"/>
              <w:rPr>
                <w:sz w:val="14"/>
                <w:szCs w:val="14"/>
                <w:color w:val="auto"/>
              </w:rPr>
            </w:pPr>
          </w:p>
        </w:tc>
        <w:tc>
          <w:tcPr>
            <w:tcW w:w="1500" w:type="dxa"/>
            <w:vAlign w:val="bottom"/>
            <w:tcBorders>
              <w:bottom w:val="single" w:sz="8" w:color="8C8272"/>
            </w:tcBorders>
          </w:tcPr>
          <w:p>
            <w:pPr>
              <w:jc w:val="center"/>
              <w:ind w:left="217"/>
              <w:spacing w:after="0"/>
              <w:rPr>
                <w:sz w:val="20"/>
                <w:szCs w:val="20"/>
                <w:color w:val="auto"/>
              </w:rPr>
            </w:pPr>
            <w:r>
              <w:rPr>
                <w:rFonts w:ascii="Arial" w:cs="Arial" w:eastAsia="Arial" w:hAnsi="Arial"/>
                <w:sz w:val="13"/>
                <w:szCs w:val="13"/>
                <w:b w:val="1"/>
                <w:bCs w:val="1"/>
                <w:i w:val="1"/>
                <w:iCs w:val="1"/>
                <w:color w:val="auto"/>
                <w:w w:val="97"/>
              </w:rPr>
              <w:t>(Millions of Dollars)</w:t>
            </w:r>
          </w:p>
        </w:tc>
        <w:tc>
          <w:tcPr>
            <w:tcW w:w="260" w:type="dxa"/>
            <w:vAlign w:val="bottom"/>
            <w:tcBorders>
              <w:bottom w:val="single" w:sz="8" w:color="8C8272"/>
            </w:tcBorders>
          </w:tcPr>
          <w:p>
            <w:pPr>
              <w:spacing w:after="0"/>
              <w:rPr>
                <w:sz w:val="14"/>
                <w:szCs w:val="14"/>
                <w:color w:val="auto"/>
              </w:rPr>
            </w:pPr>
          </w:p>
        </w:tc>
        <w:tc>
          <w:tcPr>
            <w:tcW w:w="1560" w:type="dxa"/>
            <w:vAlign w:val="bottom"/>
            <w:tcBorders>
              <w:bottom w:val="single" w:sz="8" w:color="828282"/>
            </w:tcBorders>
          </w:tcPr>
          <w:p>
            <w:pPr>
              <w:ind w:left="20"/>
              <w:spacing w:after="0"/>
              <w:rPr>
                <w:sz w:val="20"/>
                <w:szCs w:val="20"/>
                <w:color w:val="auto"/>
              </w:rPr>
            </w:pPr>
            <w:r>
              <w:rPr>
                <w:rFonts w:ascii="Arial" w:cs="Arial" w:eastAsia="Arial" w:hAnsi="Arial"/>
                <w:sz w:val="13"/>
                <w:szCs w:val="13"/>
                <w:b w:val="1"/>
                <w:bCs w:val="1"/>
                <w:color w:val="auto"/>
              </w:rPr>
              <w:t>Techniques</w:t>
            </w:r>
          </w:p>
        </w:tc>
        <w:tc>
          <w:tcPr>
            <w:tcW w:w="2820" w:type="dxa"/>
            <w:vAlign w:val="bottom"/>
            <w:tcBorders>
              <w:bottom w:val="single" w:sz="8" w:color="828282"/>
            </w:tcBorders>
            <w:vMerge w:val="continue"/>
          </w:tcPr>
          <w:p>
            <w:pPr>
              <w:spacing w:after="0"/>
              <w:rPr>
                <w:sz w:val="14"/>
                <w:szCs w:val="14"/>
                <w:color w:val="auto"/>
              </w:rPr>
            </w:pPr>
          </w:p>
        </w:tc>
        <w:tc>
          <w:tcPr>
            <w:tcW w:w="2200" w:type="dxa"/>
            <w:vAlign w:val="bottom"/>
            <w:tcBorders>
              <w:bottom w:val="single" w:sz="8" w:color="828282"/>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2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Con Edison – Commodity</w:t>
            </w:r>
          </w:p>
        </w:tc>
        <w:tc>
          <w:tcPr>
            <w:tcW w:w="260" w:type="dxa"/>
            <w:vAlign w:val="bottom"/>
            <w:shd w:val="clear" w:color="auto" w:fill="E5E5E5"/>
          </w:tcPr>
          <w:p>
            <w:pPr>
              <w:spacing w:after="0"/>
              <w:rPr>
                <w:sz w:val="15"/>
                <w:szCs w:val="15"/>
                <w:color w:val="auto"/>
              </w:rPr>
            </w:pPr>
          </w:p>
        </w:tc>
        <w:tc>
          <w:tcPr>
            <w:tcW w:w="1560" w:type="dxa"/>
            <w:vAlign w:val="bottom"/>
            <w:shd w:val="clear" w:color="auto" w:fill="E5E5E5"/>
          </w:tcPr>
          <w:p>
            <w:pPr>
              <w:spacing w:after="0"/>
              <w:rPr>
                <w:sz w:val="15"/>
                <w:szCs w:val="15"/>
                <w:color w:val="auto"/>
              </w:rPr>
            </w:pPr>
          </w:p>
        </w:tc>
        <w:tc>
          <w:tcPr>
            <w:tcW w:w="2820" w:type="dxa"/>
            <w:vAlign w:val="bottom"/>
            <w:shd w:val="clear" w:color="auto" w:fill="E5E5E5"/>
          </w:tcPr>
          <w:p>
            <w:pPr>
              <w:spacing w:after="0"/>
              <w:rPr>
                <w:sz w:val="15"/>
                <w:szCs w:val="15"/>
                <w:color w:val="auto"/>
              </w:rPr>
            </w:pPr>
          </w:p>
        </w:tc>
        <w:tc>
          <w:tcPr>
            <w:tcW w:w="22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220" w:type="dxa"/>
            <w:vAlign w:val="bottom"/>
            <w:gridSpan w:val="2"/>
          </w:tcPr>
          <w:p>
            <w:pPr>
              <w:ind w:left="140"/>
              <w:spacing w:after="0"/>
              <w:rPr>
                <w:sz w:val="20"/>
                <w:szCs w:val="20"/>
                <w:color w:val="auto"/>
              </w:rPr>
            </w:pPr>
            <w:r>
              <w:rPr>
                <w:rFonts w:ascii="Arial" w:cs="Arial" w:eastAsia="Arial" w:hAnsi="Arial"/>
                <w:sz w:val="13"/>
                <w:szCs w:val="13"/>
                <w:color w:val="auto"/>
              </w:rPr>
              <w:t>Electricity</w:t>
            </w:r>
          </w:p>
        </w:tc>
        <w:tc>
          <w:tcPr>
            <w:tcW w:w="260" w:type="dxa"/>
            <w:vAlign w:val="bottom"/>
          </w:tcPr>
          <w:p>
            <w:pPr>
              <w:jc w:val="right"/>
              <w:spacing w:after="0"/>
              <w:rPr>
                <w:sz w:val="20"/>
                <w:szCs w:val="20"/>
                <w:color w:val="auto"/>
              </w:rPr>
            </w:pPr>
            <w:r>
              <w:rPr>
                <w:rFonts w:ascii="Arial" w:cs="Arial" w:eastAsia="Arial" w:hAnsi="Arial"/>
                <w:sz w:val="13"/>
                <w:szCs w:val="13"/>
                <w:color w:val="auto"/>
              </w:rPr>
              <w:t>$1</w:t>
            </w:r>
          </w:p>
        </w:tc>
        <w:tc>
          <w:tcPr>
            <w:tcW w:w="1560" w:type="dxa"/>
            <w:vAlign w:val="bottom"/>
          </w:tcPr>
          <w:p>
            <w:pPr>
              <w:ind w:left="20"/>
              <w:spacing w:after="0"/>
              <w:rPr>
                <w:sz w:val="20"/>
                <w:szCs w:val="20"/>
                <w:color w:val="auto"/>
              </w:rPr>
            </w:pPr>
            <w:r>
              <w:rPr>
                <w:rFonts w:ascii="Arial" w:cs="Arial" w:eastAsia="Arial" w:hAnsi="Arial"/>
                <w:sz w:val="13"/>
                <w:szCs w:val="13"/>
                <w:color w:val="auto"/>
              </w:rPr>
              <w:t>Discounted Cash Flow</w:t>
            </w:r>
          </w:p>
        </w:tc>
        <w:tc>
          <w:tcPr>
            <w:tcW w:w="2820" w:type="dxa"/>
            <w:vAlign w:val="bottom"/>
          </w:tcPr>
          <w:p>
            <w:pPr>
              <w:ind w:left="300"/>
              <w:spacing w:after="0"/>
              <w:rPr>
                <w:sz w:val="20"/>
                <w:szCs w:val="20"/>
                <w:color w:val="auto"/>
              </w:rPr>
            </w:pPr>
            <w:r>
              <w:rPr>
                <w:rFonts w:ascii="Arial" w:cs="Arial" w:eastAsia="Arial" w:hAnsi="Arial"/>
                <w:sz w:val="13"/>
                <w:szCs w:val="13"/>
                <w:color w:val="auto"/>
              </w:rPr>
              <w:t>Forward energy prices (a)</w:t>
            </w:r>
          </w:p>
        </w:tc>
        <w:tc>
          <w:tcPr>
            <w:tcW w:w="2200" w:type="dxa"/>
            <w:vAlign w:val="bottom"/>
          </w:tcPr>
          <w:p>
            <w:pPr>
              <w:ind w:left="80"/>
              <w:spacing w:after="0"/>
              <w:rPr>
                <w:sz w:val="20"/>
                <w:szCs w:val="20"/>
                <w:color w:val="auto"/>
              </w:rPr>
            </w:pPr>
            <w:r>
              <w:rPr>
                <w:rFonts w:ascii="Arial" w:cs="Arial" w:eastAsia="Arial" w:hAnsi="Arial"/>
                <w:sz w:val="13"/>
                <w:szCs w:val="13"/>
                <w:color w:val="auto"/>
              </w:rPr>
              <w:t>$15.00-$85.27 per MWh</w:t>
            </w:r>
          </w:p>
        </w:tc>
        <w:tc>
          <w:tcPr>
            <w:tcW w:w="0" w:type="dxa"/>
            <w:vAlign w:val="bottom"/>
          </w:tcPr>
          <w:p>
            <w:pPr>
              <w:spacing w:after="0"/>
              <w:rPr>
                <w:sz w:val="1"/>
                <w:szCs w:val="1"/>
                <w:color w:val="auto"/>
              </w:rPr>
            </w:pPr>
          </w:p>
        </w:tc>
      </w:tr>
      <w:tr>
        <w:trPr>
          <w:trHeight w:val="251"/>
        </w:trPr>
        <w:tc>
          <w:tcPr>
            <w:tcW w:w="2720" w:type="dxa"/>
            <w:vAlign w:val="bottom"/>
            <w:shd w:val="clear" w:color="auto" w:fill="E5E5E5"/>
          </w:tcPr>
          <w:p>
            <w:pPr>
              <w:spacing w:after="0"/>
              <w:rPr>
                <w:sz w:val="21"/>
                <w:szCs w:val="21"/>
                <w:color w:val="auto"/>
              </w:rPr>
            </w:pPr>
          </w:p>
        </w:tc>
        <w:tc>
          <w:tcPr>
            <w:tcW w:w="1500" w:type="dxa"/>
            <w:vAlign w:val="bottom"/>
            <w:shd w:val="clear" w:color="auto" w:fill="E5E5E5"/>
          </w:tcPr>
          <w:p>
            <w:pPr>
              <w:spacing w:after="0"/>
              <w:rPr>
                <w:sz w:val="21"/>
                <w:szCs w:val="21"/>
                <w:color w:val="auto"/>
              </w:rPr>
            </w:pPr>
          </w:p>
        </w:tc>
        <w:tc>
          <w:tcPr>
            <w:tcW w:w="2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(11)</w:t>
            </w:r>
          </w:p>
        </w:tc>
        <w:tc>
          <w:tcPr>
            <w:tcW w:w="1560" w:type="dxa"/>
            <w:vAlign w:val="bottom"/>
            <w:shd w:val="clear" w:color="auto" w:fill="E5E5E5"/>
          </w:tcPr>
          <w:p>
            <w:pPr>
              <w:ind w:left="20"/>
              <w:spacing w:after="0"/>
              <w:rPr>
                <w:sz w:val="20"/>
                <w:szCs w:val="20"/>
                <w:color w:val="auto"/>
              </w:rPr>
            </w:pPr>
            <w:r>
              <w:rPr>
                <w:rFonts w:ascii="Arial" w:cs="Arial" w:eastAsia="Arial" w:hAnsi="Arial"/>
                <w:sz w:val="13"/>
                <w:szCs w:val="13"/>
                <w:color w:val="auto"/>
              </w:rPr>
              <w:t>Discounted Cash Flow</w:t>
            </w:r>
          </w:p>
        </w:tc>
        <w:tc>
          <w:tcPr>
            <w:tcW w:w="2820" w:type="dxa"/>
            <w:vAlign w:val="bottom"/>
            <w:shd w:val="clear" w:color="auto" w:fill="E5E5E5"/>
          </w:tcPr>
          <w:p>
            <w:pPr>
              <w:ind w:left="300"/>
              <w:spacing w:after="0"/>
              <w:rPr>
                <w:sz w:val="20"/>
                <w:szCs w:val="20"/>
                <w:color w:val="auto"/>
              </w:rPr>
            </w:pPr>
            <w:r>
              <w:rPr>
                <w:rFonts w:ascii="Arial" w:cs="Arial" w:eastAsia="Arial" w:hAnsi="Arial"/>
                <w:sz w:val="13"/>
                <w:szCs w:val="13"/>
                <w:color w:val="auto"/>
              </w:rPr>
              <w:t>Forward capacity prices (a)</w:t>
            </w:r>
          </w:p>
        </w:tc>
        <w:tc>
          <w:tcPr>
            <w:tcW w:w="2200" w:type="dxa"/>
            <w:vAlign w:val="bottom"/>
            <w:shd w:val="clear" w:color="auto" w:fill="E5E5E5"/>
          </w:tcPr>
          <w:p>
            <w:pPr>
              <w:ind w:left="80"/>
              <w:spacing w:after="0"/>
              <w:rPr>
                <w:sz w:val="20"/>
                <w:szCs w:val="20"/>
                <w:color w:val="auto"/>
              </w:rPr>
            </w:pPr>
            <w:r>
              <w:rPr>
                <w:rFonts w:ascii="Arial" w:cs="Arial" w:eastAsia="Arial" w:hAnsi="Arial"/>
                <w:sz w:val="13"/>
                <w:szCs w:val="13"/>
                <w:color w:val="auto"/>
              </w:rPr>
              <w:t>$0.26-$6.25 per kW-month</w:t>
            </w:r>
          </w:p>
        </w:tc>
        <w:tc>
          <w:tcPr>
            <w:tcW w:w="0" w:type="dxa"/>
            <w:vAlign w:val="bottom"/>
          </w:tcPr>
          <w:p>
            <w:pPr>
              <w:spacing w:after="0"/>
              <w:rPr>
                <w:sz w:val="1"/>
                <w:szCs w:val="1"/>
                <w:color w:val="auto"/>
              </w:rPr>
            </w:pPr>
          </w:p>
        </w:tc>
      </w:tr>
      <w:tr>
        <w:trPr>
          <w:trHeight w:val="129"/>
        </w:trPr>
        <w:tc>
          <w:tcPr>
            <w:tcW w:w="4220" w:type="dxa"/>
            <w:vAlign w:val="bottom"/>
            <w:gridSpan w:val="2"/>
          </w:tcPr>
          <w:p>
            <w:pPr>
              <w:ind w:left="140"/>
              <w:spacing w:after="0" w:line="129" w:lineRule="exact"/>
              <w:rPr>
                <w:sz w:val="20"/>
                <w:szCs w:val="20"/>
                <w:color w:val="auto"/>
              </w:rPr>
            </w:pPr>
            <w:r>
              <w:rPr>
                <w:rFonts w:ascii="Arial" w:cs="Arial" w:eastAsia="Arial" w:hAnsi="Arial"/>
                <w:sz w:val="13"/>
                <w:szCs w:val="13"/>
                <w:color w:val="auto"/>
              </w:rPr>
              <w:t>Transmission Congestion Contracts/Financial</w:t>
            </w: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560" w:type="dxa"/>
            <w:vAlign w:val="bottom"/>
            <w:vMerge w:val="restart"/>
          </w:tcPr>
          <w:p>
            <w:pPr>
              <w:ind w:left="20"/>
              <w:spacing w:after="0"/>
              <w:rPr>
                <w:sz w:val="20"/>
                <w:szCs w:val="20"/>
                <w:color w:val="auto"/>
              </w:rPr>
            </w:pPr>
            <w:r>
              <w:rPr>
                <w:rFonts w:ascii="Arial" w:cs="Arial" w:eastAsia="Arial" w:hAnsi="Arial"/>
                <w:sz w:val="13"/>
                <w:szCs w:val="13"/>
                <w:color w:val="auto"/>
              </w:rPr>
              <w:t>Discounted Cash Flow</w:t>
            </w:r>
          </w:p>
        </w:tc>
        <w:tc>
          <w:tcPr>
            <w:tcW w:w="2820" w:type="dxa"/>
            <w:vAlign w:val="bottom"/>
          </w:tcPr>
          <w:p>
            <w:pPr>
              <w:ind w:left="300"/>
              <w:spacing w:after="0" w:line="129" w:lineRule="exact"/>
              <w:rPr>
                <w:sz w:val="20"/>
                <w:szCs w:val="20"/>
                <w:color w:val="auto"/>
              </w:rPr>
            </w:pPr>
            <w:r>
              <w:rPr>
                <w:rFonts w:ascii="Arial" w:cs="Arial" w:eastAsia="Arial" w:hAnsi="Arial"/>
                <w:sz w:val="13"/>
                <w:szCs w:val="13"/>
                <w:color w:val="auto"/>
                <w:w w:val="98"/>
              </w:rPr>
              <w:t>Inter-zonal forward price curves adjusted for</w:t>
            </w:r>
          </w:p>
        </w:tc>
        <w:tc>
          <w:tcPr>
            <w:tcW w:w="2200" w:type="dxa"/>
            <w:vAlign w:val="bottom"/>
            <w:vMerge w:val="restart"/>
          </w:tcPr>
          <w:p>
            <w:pPr>
              <w:ind w:left="80"/>
              <w:spacing w:after="0"/>
              <w:rPr>
                <w:sz w:val="20"/>
                <w:szCs w:val="20"/>
                <w:color w:val="auto"/>
              </w:rPr>
            </w:pPr>
            <w:r>
              <w:rPr>
                <w:rFonts w:ascii="Arial" w:cs="Arial" w:eastAsia="Arial" w:hAnsi="Arial"/>
                <w:sz w:val="13"/>
                <w:szCs w:val="13"/>
                <w:color w:val="auto"/>
              </w:rPr>
              <w:t>$(8.01)-$12.19 per MWh</w:t>
            </w:r>
          </w:p>
        </w:tc>
        <w:tc>
          <w:tcPr>
            <w:tcW w:w="0" w:type="dxa"/>
            <w:vAlign w:val="bottom"/>
          </w:tcPr>
          <w:p>
            <w:pPr>
              <w:spacing w:after="0"/>
              <w:rPr>
                <w:sz w:val="1"/>
                <w:szCs w:val="1"/>
                <w:color w:val="auto"/>
              </w:rPr>
            </w:pPr>
          </w:p>
        </w:tc>
      </w:tr>
      <w:tr>
        <w:trPr>
          <w:trHeight w:val="161"/>
        </w:trPr>
        <w:tc>
          <w:tcPr>
            <w:tcW w:w="2720" w:type="dxa"/>
            <w:vAlign w:val="bottom"/>
            <w:tcBorders>
              <w:bottom w:val="single" w:sz="8" w:color="6D6D6D"/>
            </w:tcBorders>
          </w:tcPr>
          <w:p>
            <w:pPr>
              <w:ind w:left="140"/>
              <w:spacing w:after="0"/>
              <w:rPr>
                <w:sz w:val="20"/>
                <w:szCs w:val="20"/>
                <w:color w:val="auto"/>
              </w:rPr>
            </w:pPr>
            <w:r>
              <w:rPr>
                <w:rFonts w:ascii="Arial" w:cs="Arial" w:eastAsia="Arial" w:hAnsi="Arial"/>
                <w:sz w:val="13"/>
                <w:szCs w:val="13"/>
                <w:color w:val="auto"/>
              </w:rPr>
              <w:t>Transmission Rights</w:t>
            </w:r>
          </w:p>
        </w:tc>
        <w:tc>
          <w:tcPr>
            <w:tcW w:w="1500" w:type="dxa"/>
            <w:vAlign w:val="bottom"/>
            <w:tcBorders>
              <w:bottom w:val="single" w:sz="8" w:color="828282"/>
            </w:tcBorders>
          </w:tcPr>
          <w:p>
            <w:pPr>
              <w:spacing w:after="0"/>
              <w:rPr>
                <w:sz w:val="14"/>
                <w:szCs w:val="14"/>
                <w:color w:val="auto"/>
              </w:rPr>
            </w:pPr>
          </w:p>
        </w:tc>
        <w:tc>
          <w:tcPr>
            <w:tcW w:w="260" w:type="dxa"/>
            <w:vAlign w:val="bottom"/>
            <w:tcBorders>
              <w:bottom w:val="single" w:sz="8" w:color="828282"/>
            </w:tcBorders>
            <w:vMerge w:val="continue"/>
          </w:tcPr>
          <w:p>
            <w:pPr>
              <w:spacing w:after="0"/>
              <w:rPr>
                <w:sz w:val="14"/>
                <w:szCs w:val="14"/>
                <w:color w:val="auto"/>
              </w:rPr>
            </w:pPr>
          </w:p>
        </w:tc>
        <w:tc>
          <w:tcPr>
            <w:tcW w:w="1560" w:type="dxa"/>
            <w:vAlign w:val="bottom"/>
            <w:tcBorders>
              <w:bottom w:val="single" w:sz="8" w:color="828282"/>
            </w:tcBorders>
            <w:vMerge w:val="continue"/>
          </w:tcPr>
          <w:p>
            <w:pPr>
              <w:spacing w:after="0"/>
              <w:rPr>
                <w:sz w:val="14"/>
                <w:szCs w:val="14"/>
                <w:color w:val="auto"/>
              </w:rPr>
            </w:pPr>
          </w:p>
        </w:tc>
        <w:tc>
          <w:tcPr>
            <w:tcW w:w="2820" w:type="dxa"/>
            <w:vAlign w:val="bottom"/>
            <w:tcBorders>
              <w:bottom w:val="single" w:sz="8" w:color="828282"/>
            </w:tcBorders>
          </w:tcPr>
          <w:p>
            <w:pPr>
              <w:ind w:left="300"/>
              <w:spacing w:after="0"/>
              <w:rPr>
                <w:sz w:val="20"/>
                <w:szCs w:val="20"/>
                <w:color w:val="auto"/>
              </w:rPr>
            </w:pPr>
            <w:r>
              <w:rPr>
                <w:rFonts w:ascii="Arial" w:cs="Arial" w:eastAsia="Arial" w:hAnsi="Arial"/>
                <w:sz w:val="13"/>
                <w:szCs w:val="13"/>
                <w:color w:val="auto"/>
              </w:rPr>
              <w:t>historical zonal losses (b)</w:t>
            </w:r>
          </w:p>
        </w:tc>
        <w:tc>
          <w:tcPr>
            <w:tcW w:w="2200" w:type="dxa"/>
            <w:vAlign w:val="bottom"/>
            <w:tcBorders>
              <w:bottom w:val="single" w:sz="8" w:color="828282"/>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20" w:type="dxa"/>
            <w:vAlign w:val="bottom"/>
            <w:tcBorders>
              <w:bottom w:val="single" w:sz="8" w:color="8C8272"/>
            </w:tcBorders>
            <w:gridSpan w:val="2"/>
            <w:shd w:val="clear" w:color="auto" w:fill="E5E5E5"/>
          </w:tcPr>
          <w:p>
            <w:pPr>
              <w:ind w:left="140"/>
              <w:spacing w:after="0"/>
              <w:rPr>
                <w:sz w:val="20"/>
                <w:szCs w:val="20"/>
                <w:color w:val="auto"/>
              </w:rPr>
            </w:pPr>
            <w:r>
              <w:rPr>
                <w:rFonts w:ascii="Arial" w:cs="Arial" w:eastAsia="Arial" w:hAnsi="Arial"/>
                <w:sz w:val="13"/>
                <w:szCs w:val="13"/>
                <w:color w:val="auto"/>
              </w:rPr>
              <w:t>Total Con Edison—Commodity</w:t>
            </w:r>
          </w:p>
        </w:tc>
        <w:tc>
          <w:tcPr>
            <w:tcW w:w="2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3"/>
                <w:szCs w:val="13"/>
                <w:color w:val="auto"/>
              </w:rPr>
              <w:t>$(9)</w:t>
            </w:r>
          </w:p>
        </w:tc>
        <w:tc>
          <w:tcPr>
            <w:tcW w:w="1560" w:type="dxa"/>
            <w:vAlign w:val="bottom"/>
            <w:tcBorders>
              <w:bottom w:val="single" w:sz="8" w:color="828282"/>
            </w:tcBorders>
            <w:shd w:val="clear" w:color="auto" w:fill="E5E5E5"/>
          </w:tcPr>
          <w:p>
            <w:pPr>
              <w:spacing w:after="0"/>
              <w:rPr>
                <w:sz w:val="14"/>
                <w:szCs w:val="14"/>
                <w:color w:val="auto"/>
              </w:rPr>
            </w:pPr>
          </w:p>
        </w:tc>
        <w:tc>
          <w:tcPr>
            <w:tcW w:w="2820" w:type="dxa"/>
            <w:vAlign w:val="bottom"/>
            <w:tcBorders>
              <w:bottom w:val="single" w:sz="8" w:color="828282"/>
            </w:tcBorders>
            <w:shd w:val="clear" w:color="auto" w:fill="E5E5E5"/>
          </w:tcPr>
          <w:p>
            <w:pPr>
              <w:spacing w:after="0"/>
              <w:rPr>
                <w:sz w:val="14"/>
                <w:szCs w:val="14"/>
                <w:color w:val="auto"/>
              </w:rPr>
            </w:pPr>
          </w:p>
        </w:tc>
        <w:tc>
          <w:tcPr>
            <w:tcW w:w="2200" w:type="dxa"/>
            <w:vAlign w:val="bottom"/>
            <w:tcBorders>
              <w:bottom w:val="single" w:sz="8" w:color="828282"/>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20" w:type="dxa"/>
            <w:vAlign w:val="bottom"/>
            <w:gridSpan w:val="2"/>
          </w:tcPr>
          <w:p>
            <w:pPr>
              <w:ind w:left="20"/>
              <w:spacing w:after="0"/>
              <w:rPr>
                <w:sz w:val="20"/>
                <w:szCs w:val="20"/>
                <w:color w:val="auto"/>
              </w:rPr>
            </w:pPr>
            <w:r>
              <w:rPr>
                <w:rFonts w:ascii="Arial" w:cs="Arial" w:eastAsia="Arial" w:hAnsi="Arial"/>
                <w:sz w:val="13"/>
                <w:szCs w:val="13"/>
                <w:b w:val="1"/>
                <w:bCs w:val="1"/>
                <w:color w:val="auto"/>
              </w:rPr>
              <w:t>CECONY – Commodity</w:t>
            </w: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220" w:type="dxa"/>
            <w:vAlign w:val="bottom"/>
            <w:gridSpan w:val="2"/>
            <w:shd w:val="clear" w:color="auto" w:fill="E5E5E5"/>
          </w:tcPr>
          <w:p>
            <w:pPr>
              <w:ind w:left="140"/>
              <w:spacing w:after="0"/>
              <w:rPr>
                <w:sz w:val="20"/>
                <w:szCs w:val="20"/>
                <w:color w:val="auto"/>
              </w:rPr>
            </w:pPr>
            <w:r>
              <w:rPr>
                <w:rFonts w:ascii="Arial" w:cs="Arial" w:eastAsia="Arial" w:hAnsi="Arial"/>
                <w:sz w:val="13"/>
                <w:szCs w:val="13"/>
                <w:color w:val="auto"/>
              </w:rPr>
              <w:t>Electricity</w:t>
            </w:r>
          </w:p>
        </w:tc>
        <w:tc>
          <w:tcPr>
            <w:tcW w:w="2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$(7)</w:t>
            </w:r>
          </w:p>
        </w:tc>
        <w:tc>
          <w:tcPr>
            <w:tcW w:w="1560" w:type="dxa"/>
            <w:vAlign w:val="bottom"/>
            <w:shd w:val="clear" w:color="auto" w:fill="E5E5E5"/>
          </w:tcPr>
          <w:p>
            <w:pPr>
              <w:ind w:left="20"/>
              <w:spacing w:after="0"/>
              <w:rPr>
                <w:sz w:val="20"/>
                <w:szCs w:val="20"/>
                <w:color w:val="auto"/>
              </w:rPr>
            </w:pPr>
            <w:r>
              <w:rPr>
                <w:rFonts w:ascii="Arial" w:cs="Arial" w:eastAsia="Arial" w:hAnsi="Arial"/>
                <w:sz w:val="13"/>
                <w:szCs w:val="13"/>
                <w:color w:val="auto"/>
              </w:rPr>
              <w:t>Discounted Cash Flow</w:t>
            </w:r>
          </w:p>
        </w:tc>
        <w:tc>
          <w:tcPr>
            <w:tcW w:w="2820" w:type="dxa"/>
            <w:vAlign w:val="bottom"/>
            <w:shd w:val="clear" w:color="auto" w:fill="E5E5E5"/>
          </w:tcPr>
          <w:p>
            <w:pPr>
              <w:ind w:left="300"/>
              <w:spacing w:after="0"/>
              <w:rPr>
                <w:sz w:val="20"/>
                <w:szCs w:val="20"/>
                <w:color w:val="auto"/>
              </w:rPr>
            </w:pPr>
            <w:r>
              <w:rPr>
                <w:rFonts w:ascii="Arial" w:cs="Arial" w:eastAsia="Arial" w:hAnsi="Arial"/>
                <w:sz w:val="13"/>
                <w:szCs w:val="13"/>
                <w:color w:val="auto"/>
              </w:rPr>
              <w:t>Forward capacity prices (a)</w:t>
            </w:r>
          </w:p>
        </w:tc>
        <w:tc>
          <w:tcPr>
            <w:tcW w:w="2200" w:type="dxa"/>
            <w:vAlign w:val="bottom"/>
            <w:shd w:val="clear" w:color="auto" w:fill="E5E5E5"/>
          </w:tcPr>
          <w:p>
            <w:pPr>
              <w:ind w:left="80"/>
              <w:spacing w:after="0"/>
              <w:rPr>
                <w:sz w:val="20"/>
                <w:szCs w:val="20"/>
                <w:color w:val="auto"/>
              </w:rPr>
            </w:pPr>
            <w:r>
              <w:rPr>
                <w:rFonts w:ascii="Arial" w:cs="Arial" w:eastAsia="Arial" w:hAnsi="Arial"/>
                <w:sz w:val="13"/>
                <w:szCs w:val="13"/>
                <w:color w:val="auto"/>
              </w:rPr>
              <w:t>$1.19 - $6.25 per kW-month</w:t>
            </w:r>
          </w:p>
        </w:tc>
        <w:tc>
          <w:tcPr>
            <w:tcW w:w="0" w:type="dxa"/>
            <w:vAlign w:val="bottom"/>
          </w:tcPr>
          <w:p>
            <w:pPr>
              <w:spacing w:after="0"/>
              <w:rPr>
                <w:sz w:val="1"/>
                <w:szCs w:val="1"/>
                <w:color w:val="auto"/>
              </w:rPr>
            </w:pPr>
          </w:p>
        </w:tc>
      </w:tr>
      <w:tr>
        <w:trPr>
          <w:trHeight w:val="169"/>
        </w:trPr>
        <w:tc>
          <w:tcPr>
            <w:tcW w:w="4220" w:type="dxa"/>
            <w:vAlign w:val="bottom"/>
            <w:tcBorders>
              <w:bottom w:val="single" w:sz="8" w:color="8C8272"/>
            </w:tcBorders>
            <w:gridSpan w:val="2"/>
          </w:tcPr>
          <w:p>
            <w:pPr>
              <w:ind w:left="140"/>
              <w:spacing w:after="0"/>
              <w:rPr>
                <w:sz w:val="20"/>
                <w:szCs w:val="20"/>
                <w:color w:val="auto"/>
              </w:rPr>
            </w:pPr>
            <w:r>
              <w:rPr>
                <w:rFonts w:ascii="Arial" w:cs="Arial" w:eastAsia="Arial" w:hAnsi="Arial"/>
                <w:sz w:val="13"/>
                <w:szCs w:val="13"/>
                <w:color w:val="auto"/>
              </w:rPr>
              <w:t>Total CECONY—Commodity</w:t>
            </w:r>
          </w:p>
        </w:tc>
        <w:tc>
          <w:tcPr>
            <w:tcW w:w="260" w:type="dxa"/>
            <w:vAlign w:val="bottom"/>
            <w:tcBorders>
              <w:bottom w:val="single" w:sz="8" w:color="8C8272"/>
            </w:tcBorders>
          </w:tcPr>
          <w:p>
            <w:pPr>
              <w:jc w:val="right"/>
              <w:spacing w:after="0"/>
              <w:rPr>
                <w:sz w:val="20"/>
                <w:szCs w:val="20"/>
                <w:color w:val="auto"/>
              </w:rPr>
            </w:pPr>
            <w:r>
              <w:rPr>
                <w:rFonts w:ascii="Arial" w:cs="Arial" w:eastAsia="Arial" w:hAnsi="Arial"/>
                <w:sz w:val="13"/>
                <w:szCs w:val="13"/>
                <w:color w:val="auto"/>
              </w:rPr>
              <w:t>$(7)</w:t>
            </w:r>
          </w:p>
        </w:tc>
        <w:tc>
          <w:tcPr>
            <w:tcW w:w="1560" w:type="dxa"/>
            <w:vAlign w:val="bottom"/>
            <w:tcBorders>
              <w:bottom w:val="single" w:sz="8" w:color="8C8272"/>
            </w:tcBorders>
          </w:tcPr>
          <w:p>
            <w:pPr>
              <w:spacing w:after="0"/>
              <w:rPr>
                <w:sz w:val="14"/>
                <w:szCs w:val="14"/>
                <w:color w:val="auto"/>
              </w:rPr>
            </w:pPr>
          </w:p>
        </w:tc>
        <w:tc>
          <w:tcPr>
            <w:tcW w:w="2820" w:type="dxa"/>
            <w:vAlign w:val="bottom"/>
            <w:tcBorders>
              <w:bottom w:val="single" w:sz="8" w:color="8C8272"/>
            </w:tcBorders>
          </w:tcPr>
          <w:p>
            <w:pPr>
              <w:spacing w:after="0"/>
              <w:rPr>
                <w:sz w:val="14"/>
                <w:szCs w:val="14"/>
                <w:color w:val="auto"/>
              </w:rPr>
            </w:pPr>
          </w:p>
        </w:tc>
        <w:tc>
          <w:tcPr>
            <w:tcW w:w="2200" w:type="dxa"/>
            <w:vAlign w:val="bottom"/>
            <w:tcBorders>
              <w:bottom w:val="single" w:sz="8" w:color="8C8272"/>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Generally, increases/(decreases) in this input in isolation would result in a higher/(lower) fair value measurement.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Generally, increases/(decreases) in this input in isolation would result in a lower/(higher) fair value measurement.</w:t>
      </w:r>
    </w:p>
    <w:p>
      <w:pPr>
        <w:spacing w:after="0" w:line="13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table listed below provides a reconciliation of the beginning and ending net balances for assets and liabilities measured at fair value as of June 30, 2021 and 2020 and classified as Level 3 in the fair value hierarchy:</w:t>
      </w:r>
    </w:p>
    <w:p>
      <w:pPr>
        <w:spacing w:after="0" w:line="239"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Borders>
              <w:bottom w:val="single" w:sz="8" w:color="8C8272"/>
            </w:tcBorders>
          </w:tcPr>
          <w:p>
            <w:pPr>
              <w:spacing w:after="0"/>
              <w:rPr>
                <w:sz w:val="16"/>
                <w:szCs w:val="16"/>
                <w:color w:val="auto"/>
              </w:rPr>
            </w:pPr>
          </w:p>
        </w:tc>
        <w:tc>
          <w:tcPr>
            <w:tcW w:w="330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b w:val="1"/>
                <w:bCs w:val="1"/>
                <w:color w:val="auto"/>
              </w:rPr>
              <w:t>Con Edison</w:t>
            </w:r>
          </w:p>
        </w:tc>
        <w:tc>
          <w:tcPr>
            <w:tcW w:w="900" w:type="dxa"/>
            <w:vAlign w:val="bottom"/>
            <w:tcBorders>
              <w:bottom w:val="single" w:sz="8" w:color="8C8272"/>
            </w:tcBorders>
          </w:tcPr>
          <w:p>
            <w:pPr>
              <w:spacing w:after="0"/>
              <w:rPr>
                <w:sz w:val="16"/>
                <w:szCs w:val="16"/>
                <w:color w:val="auto"/>
              </w:rPr>
            </w:pPr>
          </w:p>
        </w:tc>
        <w:tc>
          <w:tcPr>
            <w:tcW w:w="146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b w:val="1"/>
                <w:bCs w:val="1"/>
                <w:color w:val="auto"/>
              </w:rPr>
              <w:t>CECONY</w:t>
            </w:r>
          </w:p>
        </w:tc>
        <w:tc>
          <w:tcPr>
            <w:tcW w:w="520" w:type="dxa"/>
            <w:vAlign w:val="bottom"/>
            <w:tcBorders>
              <w:bottom w:val="single" w:sz="8" w:color="8C8272"/>
            </w:tcBorders>
          </w:tcPr>
          <w:p>
            <w:pPr>
              <w:spacing w:after="0"/>
              <w:rPr>
                <w:sz w:val="16"/>
                <w:szCs w:val="16"/>
                <w:color w:val="auto"/>
              </w:rPr>
            </w:pPr>
          </w:p>
        </w:tc>
      </w:tr>
      <w:tr>
        <w:trPr>
          <w:trHeight w:val="182"/>
        </w:trPr>
        <w:tc>
          <w:tcPr>
            <w:tcW w:w="506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300" w:type="dxa"/>
            <w:vAlign w:val="bottom"/>
            <w:tcBorders>
              <w:bottom w:val="single" w:sz="8" w:color="8C8272"/>
            </w:tcBorders>
          </w:tcPr>
          <w:p>
            <w:pPr>
              <w:jc w:val="right"/>
              <w:ind w:right="668"/>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8C8272"/>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460" w:type="dxa"/>
            <w:vAlign w:val="bottom"/>
            <w:tcBorders>
              <w:bottom w:val="single" w:sz="8" w:color="8C8272"/>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5060" w:type="dxa"/>
            <w:vAlign w:val="bottom"/>
            <w:shd w:val="clear" w:color="auto" w:fill="E5E5E5"/>
          </w:tcPr>
          <w:p>
            <w:pPr>
              <w:ind w:left="20"/>
              <w:spacing w:after="0"/>
              <w:rPr>
                <w:sz w:val="20"/>
                <w:szCs w:val="20"/>
                <w:color w:val="auto"/>
              </w:rPr>
            </w:pPr>
            <w:r>
              <w:rPr>
                <w:rFonts w:ascii="Arial" w:cs="Arial" w:eastAsia="Arial" w:hAnsi="Arial"/>
                <w:sz w:val="14"/>
                <w:szCs w:val="14"/>
                <w:color w:val="auto"/>
              </w:rPr>
              <w:t>Beginning balance as of April 1,</w:t>
            </w:r>
          </w:p>
        </w:tc>
        <w:tc>
          <w:tcPr>
            <w:tcW w:w="3300" w:type="dxa"/>
            <w:vAlign w:val="bottom"/>
            <w:shd w:val="clear" w:color="auto" w:fill="E5E5E5"/>
          </w:tcPr>
          <w:p>
            <w:pPr>
              <w:jc w:val="right"/>
              <w:ind w:right="668"/>
              <w:spacing w:after="0"/>
              <w:rPr>
                <w:sz w:val="20"/>
                <w:szCs w:val="20"/>
                <w:color w:val="auto"/>
              </w:rPr>
            </w:pPr>
            <w:r>
              <w:rPr>
                <w:rFonts w:ascii="Arial" w:cs="Arial" w:eastAsia="Arial" w:hAnsi="Arial"/>
                <w:sz w:val="14"/>
                <w:szCs w:val="14"/>
                <w:color w:val="auto"/>
              </w:rPr>
              <w:t>$(12)</w:t>
            </w:r>
          </w:p>
        </w:tc>
        <w:tc>
          <w:tcPr>
            <w:tcW w:w="90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$(13)</w:t>
            </w:r>
          </w:p>
        </w:tc>
        <w:tc>
          <w:tcPr>
            <w:tcW w:w="1460" w:type="dxa"/>
            <w:vAlign w:val="bottom"/>
            <w:shd w:val="clear" w:color="auto" w:fill="E5E5E5"/>
          </w:tcPr>
          <w:p>
            <w:pPr>
              <w:jc w:val="right"/>
              <w:ind w:right="628"/>
              <w:spacing w:after="0"/>
              <w:rPr>
                <w:sz w:val="20"/>
                <w:szCs w:val="20"/>
                <w:color w:val="auto"/>
              </w:rPr>
            </w:pPr>
            <w:r>
              <w:rPr>
                <w:rFonts w:ascii="Arial" w:cs="Arial" w:eastAsia="Arial" w:hAnsi="Arial"/>
                <w:sz w:val="14"/>
                <w:szCs w:val="14"/>
                <w:color w:val="auto"/>
              </w:rPr>
              <w:t>$(7)</w:t>
            </w: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w:t>
            </w:r>
          </w:p>
        </w:tc>
      </w:tr>
      <w:tr>
        <w:trPr>
          <w:trHeight w:val="189"/>
        </w:trPr>
        <w:tc>
          <w:tcPr>
            <w:tcW w:w="5060" w:type="dxa"/>
            <w:vAlign w:val="bottom"/>
          </w:tcPr>
          <w:p>
            <w:pPr>
              <w:ind w:left="140"/>
              <w:spacing w:after="0"/>
              <w:rPr>
                <w:sz w:val="20"/>
                <w:szCs w:val="20"/>
                <w:color w:val="auto"/>
              </w:rPr>
            </w:pPr>
            <w:r>
              <w:rPr>
                <w:rFonts w:ascii="Arial" w:cs="Arial" w:eastAsia="Arial" w:hAnsi="Arial"/>
                <w:sz w:val="14"/>
                <w:szCs w:val="14"/>
                <w:color w:val="auto"/>
              </w:rPr>
              <w:t>Included in earnings</w:t>
            </w:r>
          </w:p>
        </w:tc>
        <w:tc>
          <w:tcPr>
            <w:tcW w:w="3300" w:type="dxa"/>
            <w:vAlign w:val="bottom"/>
          </w:tcPr>
          <w:p>
            <w:pPr>
              <w:jc w:val="right"/>
              <w:ind w:right="668"/>
              <w:spacing w:after="0"/>
              <w:rPr>
                <w:sz w:val="20"/>
                <w:szCs w:val="20"/>
                <w:color w:val="auto"/>
              </w:rPr>
            </w:pPr>
            <w:r>
              <w:rPr>
                <w:rFonts w:ascii="Arial" w:cs="Arial" w:eastAsia="Arial" w:hAnsi="Arial"/>
                <w:sz w:val="14"/>
                <w:szCs w:val="14"/>
                <w:color w:val="auto"/>
              </w:rPr>
              <w:t>1</w:t>
            </w: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w:t>
            </w:r>
          </w:p>
        </w:tc>
        <w:tc>
          <w:tcPr>
            <w:tcW w:w="1460" w:type="dxa"/>
            <w:vAlign w:val="bottom"/>
          </w:tcPr>
          <w:p>
            <w:pPr>
              <w:jc w:val="right"/>
              <w:ind w:right="628"/>
              <w:spacing w:after="0"/>
              <w:rPr>
                <w:sz w:val="20"/>
                <w:szCs w:val="20"/>
                <w:color w:val="auto"/>
              </w:rPr>
            </w:pPr>
            <w:r>
              <w:rPr>
                <w:rFonts w:ascii="Arial" w:cs="Arial" w:eastAsia="Arial" w:hAnsi="Arial"/>
                <w:sz w:val="14"/>
                <w:szCs w:val="14"/>
                <w:color w:val="auto"/>
              </w:rPr>
              <w:t>(1)</w:t>
            </w: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50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Included in regulatory assets and liabilities</w:t>
            </w:r>
          </w:p>
        </w:tc>
        <w:tc>
          <w:tcPr>
            <w:tcW w:w="3300" w:type="dxa"/>
            <w:vAlign w:val="bottom"/>
            <w:shd w:val="clear" w:color="auto" w:fill="E5E5E5"/>
          </w:tcPr>
          <w:p>
            <w:pPr>
              <w:jc w:val="right"/>
              <w:ind w:right="668"/>
              <w:spacing w:after="0"/>
              <w:rPr>
                <w:sz w:val="20"/>
                <w:szCs w:val="20"/>
                <w:color w:val="auto"/>
              </w:rPr>
            </w:pPr>
            <w:r>
              <w:rPr>
                <w:rFonts w:ascii="Arial" w:cs="Arial" w:eastAsia="Arial" w:hAnsi="Arial"/>
                <w:sz w:val="14"/>
                <w:szCs w:val="14"/>
                <w:color w:val="auto"/>
              </w:rPr>
              <w:t>1</w:t>
            </w:r>
          </w:p>
        </w:tc>
        <w:tc>
          <w:tcPr>
            <w:tcW w:w="900" w:type="dxa"/>
            <w:vAlign w:val="bottom"/>
            <w:shd w:val="clear" w:color="auto" w:fill="E5E5E5"/>
          </w:tcPr>
          <w:p>
            <w:pPr>
              <w:jc w:val="right"/>
              <w:ind w:right="408"/>
              <w:spacing w:after="0"/>
              <w:rPr>
                <w:sz w:val="20"/>
                <w:szCs w:val="20"/>
                <w:color w:val="auto"/>
              </w:rPr>
            </w:pPr>
            <w:r>
              <w:rPr>
                <w:rFonts w:ascii="Arial" w:cs="Arial" w:eastAsia="Arial" w:hAnsi="Arial"/>
                <w:sz w:val="14"/>
                <w:szCs w:val="14"/>
                <w:color w:val="auto"/>
              </w:rPr>
              <w:t>—</w:t>
            </w:r>
          </w:p>
        </w:tc>
        <w:tc>
          <w:tcPr>
            <w:tcW w:w="1460" w:type="dxa"/>
            <w:vAlign w:val="bottom"/>
            <w:shd w:val="clear" w:color="auto" w:fill="E5E5E5"/>
          </w:tcPr>
          <w:p>
            <w:pPr>
              <w:jc w:val="right"/>
              <w:ind w:right="628"/>
              <w:spacing w:after="0"/>
              <w:rPr>
                <w:sz w:val="20"/>
                <w:szCs w:val="20"/>
                <w:color w:val="auto"/>
              </w:rPr>
            </w:pPr>
            <w:r>
              <w:rPr>
                <w:rFonts w:ascii="Arial" w:cs="Arial" w:eastAsia="Arial" w:hAnsi="Arial"/>
                <w:sz w:val="14"/>
                <w:szCs w:val="14"/>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5060" w:type="dxa"/>
            <w:vAlign w:val="bottom"/>
            <w:tcBorders>
              <w:bottom w:val="single" w:sz="8" w:color="828282"/>
            </w:tcBorders>
          </w:tcPr>
          <w:p>
            <w:pPr>
              <w:ind w:left="140"/>
              <w:spacing w:after="0"/>
              <w:rPr>
                <w:sz w:val="20"/>
                <w:szCs w:val="20"/>
                <w:color w:val="auto"/>
              </w:rPr>
            </w:pPr>
            <w:r>
              <w:rPr>
                <w:rFonts w:ascii="Arial" w:cs="Arial" w:eastAsia="Arial" w:hAnsi="Arial"/>
                <w:sz w:val="14"/>
                <w:szCs w:val="14"/>
                <w:color w:val="auto"/>
              </w:rPr>
              <w:t>Settlements</w:t>
            </w:r>
          </w:p>
        </w:tc>
        <w:tc>
          <w:tcPr>
            <w:tcW w:w="3300" w:type="dxa"/>
            <w:vAlign w:val="bottom"/>
            <w:tcBorders>
              <w:bottom w:val="single" w:sz="8" w:color="828282"/>
            </w:tcBorders>
          </w:tcPr>
          <w:p>
            <w:pPr>
              <w:jc w:val="right"/>
              <w:ind w:right="668"/>
              <w:spacing w:after="0"/>
              <w:rPr>
                <w:sz w:val="20"/>
                <w:szCs w:val="20"/>
                <w:color w:val="auto"/>
              </w:rPr>
            </w:pPr>
            <w:r>
              <w:rPr>
                <w:rFonts w:ascii="Arial" w:cs="Arial" w:eastAsia="Arial" w:hAnsi="Arial"/>
                <w:sz w:val="14"/>
                <w:szCs w:val="14"/>
                <w:color w:val="auto"/>
              </w:rPr>
              <w:t>1</w:t>
            </w:r>
          </w:p>
        </w:tc>
        <w:tc>
          <w:tcPr>
            <w:tcW w:w="900" w:type="dxa"/>
            <w:vAlign w:val="bottom"/>
            <w:tcBorders>
              <w:bottom w:val="single" w:sz="8" w:color="828282"/>
            </w:tcBorders>
          </w:tcPr>
          <w:p>
            <w:pPr>
              <w:jc w:val="right"/>
              <w:ind w:right="368"/>
              <w:spacing w:after="0"/>
              <w:rPr>
                <w:sz w:val="20"/>
                <w:szCs w:val="20"/>
                <w:color w:val="auto"/>
              </w:rPr>
            </w:pPr>
            <w:r>
              <w:rPr>
                <w:rFonts w:ascii="Arial" w:cs="Arial" w:eastAsia="Arial" w:hAnsi="Arial"/>
                <w:sz w:val="14"/>
                <w:szCs w:val="14"/>
                <w:color w:val="auto"/>
              </w:rPr>
              <w:t>1</w:t>
            </w:r>
          </w:p>
        </w:tc>
        <w:tc>
          <w:tcPr>
            <w:tcW w:w="1460" w:type="dxa"/>
            <w:vAlign w:val="bottom"/>
            <w:tcBorders>
              <w:bottom w:val="single" w:sz="8" w:color="828282"/>
            </w:tcBorders>
          </w:tcPr>
          <w:p>
            <w:pPr>
              <w:jc w:val="right"/>
              <w:ind w:right="628"/>
              <w:spacing w:after="0"/>
              <w:rPr>
                <w:sz w:val="20"/>
                <w:szCs w:val="20"/>
                <w:color w:val="auto"/>
              </w:rPr>
            </w:pPr>
            <w:r>
              <w:rPr>
                <w:rFonts w:ascii="Arial" w:cs="Arial" w:eastAsia="Arial" w:hAnsi="Arial"/>
                <w:sz w:val="14"/>
                <w:szCs w:val="14"/>
                <w:color w:val="auto"/>
              </w:rPr>
              <w:t>1</w:t>
            </w:r>
          </w:p>
        </w:tc>
        <w:tc>
          <w:tcPr>
            <w:tcW w:w="52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506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Ending balance as of June 30,</w:t>
            </w:r>
          </w:p>
        </w:tc>
        <w:tc>
          <w:tcPr>
            <w:tcW w:w="3300" w:type="dxa"/>
            <w:vAlign w:val="bottom"/>
            <w:tcBorders>
              <w:bottom w:val="single" w:sz="8" w:color="8C8272"/>
            </w:tcBorders>
            <w:shd w:val="clear" w:color="auto" w:fill="E5E5E5"/>
          </w:tcPr>
          <w:p>
            <w:pPr>
              <w:jc w:val="right"/>
              <w:ind w:right="668"/>
              <w:spacing w:after="0"/>
              <w:rPr>
                <w:sz w:val="20"/>
                <w:szCs w:val="20"/>
                <w:color w:val="auto"/>
              </w:rPr>
            </w:pPr>
            <w:r>
              <w:rPr>
                <w:rFonts w:ascii="Arial" w:cs="Arial" w:eastAsia="Arial" w:hAnsi="Arial"/>
                <w:sz w:val="14"/>
                <w:szCs w:val="14"/>
                <w:color w:val="auto"/>
              </w:rPr>
              <w:t>$(9)</w:t>
            </w:r>
          </w:p>
        </w:tc>
        <w:tc>
          <w:tcPr>
            <w:tcW w:w="900" w:type="dxa"/>
            <w:vAlign w:val="bottom"/>
            <w:tcBorders>
              <w:bottom w:val="single" w:sz="8" w:color="8C8272"/>
            </w:tcBorders>
            <w:shd w:val="clear" w:color="auto" w:fill="E5E5E5"/>
          </w:tcPr>
          <w:p>
            <w:pPr>
              <w:jc w:val="right"/>
              <w:ind w:right="368"/>
              <w:spacing w:after="0"/>
              <w:rPr>
                <w:sz w:val="20"/>
                <w:szCs w:val="20"/>
                <w:color w:val="auto"/>
              </w:rPr>
            </w:pPr>
            <w:r>
              <w:rPr>
                <w:rFonts w:ascii="Arial" w:cs="Arial" w:eastAsia="Arial" w:hAnsi="Arial"/>
                <w:sz w:val="14"/>
                <w:szCs w:val="14"/>
                <w:color w:val="auto"/>
              </w:rPr>
              <w:t>$(14)</w:t>
            </w:r>
          </w:p>
        </w:tc>
        <w:tc>
          <w:tcPr>
            <w:tcW w:w="1460" w:type="dxa"/>
            <w:vAlign w:val="bottom"/>
            <w:tcBorders>
              <w:bottom w:val="single" w:sz="8" w:color="8C8272"/>
            </w:tcBorders>
            <w:shd w:val="clear" w:color="auto" w:fill="E5E5E5"/>
          </w:tcPr>
          <w:p>
            <w:pPr>
              <w:jc w:val="right"/>
              <w:ind w:right="628"/>
              <w:spacing w:after="0"/>
              <w:rPr>
                <w:sz w:val="20"/>
                <w:szCs w:val="20"/>
                <w:color w:val="auto"/>
              </w:rPr>
            </w:pPr>
            <w:r>
              <w:rPr>
                <w:rFonts w:ascii="Arial" w:cs="Arial" w:eastAsia="Arial" w:hAnsi="Arial"/>
                <w:sz w:val="14"/>
                <w:szCs w:val="14"/>
                <w:color w:val="auto"/>
              </w:rPr>
              <w:t>$(7)</w:t>
            </w:r>
          </w:p>
        </w:tc>
        <w:tc>
          <w:tcPr>
            <w:tcW w:w="5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-128270</wp:posOffset>
            </wp:positionV>
            <wp:extent cx="8890" cy="1714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-102235</wp:posOffset>
            </wp:positionV>
            <wp:extent cx="889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-85090</wp:posOffset>
            </wp:positionV>
            <wp:extent cx="8890"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-67945</wp:posOffset>
            </wp:positionV>
            <wp:extent cx="889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-50800</wp:posOffset>
            </wp:positionV>
            <wp:extent cx="889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-33655</wp:posOffset>
            </wp:positionV>
            <wp:extent cx="8890"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-16510</wp:posOffset>
            </wp:positionV>
            <wp:extent cx="8890"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-745490</wp:posOffset>
            </wp:positionV>
            <wp:extent cx="8890" cy="60833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890" cy="60833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Borders>
              <w:bottom w:val="single" w:sz="8" w:color="8C8272"/>
            </w:tcBorders>
          </w:tcPr>
          <w:p>
            <w:pPr>
              <w:spacing w:after="0"/>
              <w:rPr>
                <w:sz w:val="16"/>
                <w:szCs w:val="16"/>
                <w:color w:val="auto"/>
              </w:rPr>
            </w:pPr>
          </w:p>
        </w:tc>
        <w:tc>
          <w:tcPr>
            <w:tcW w:w="2560" w:type="dxa"/>
            <w:vAlign w:val="bottom"/>
            <w:tcBorders>
              <w:bottom w:val="single" w:sz="8" w:color="8C8272"/>
            </w:tcBorders>
          </w:tcPr>
          <w:p>
            <w:pPr>
              <w:spacing w:after="0"/>
              <w:rPr>
                <w:sz w:val="16"/>
                <w:szCs w:val="16"/>
                <w:color w:val="auto"/>
              </w:rPr>
            </w:pPr>
          </w:p>
        </w:tc>
        <w:tc>
          <w:tcPr>
            <w:tcW w:w="3100" w:type="dxa"/>
            <w:vAlign w:val="bottom"/>
            <w:tcBorders>
              <w:bottom w:val="single" w:sz="8" w:color="8C8272"/>
            </w:tcBorders>
            <w:gridSpan w:val="2"/>
          </w:tcPr>
          <w:p>
            <w:pPr>
              <w:jc w:val="right"/>
              <w:ind w:right="608"/>
              <w:spacing w:after="0"/>
              <w:rPr>
                <w:sz w:val="20"/>
                <w:szCs w:val="20"/>
                <w:color w:val="auto"/>
              </w:rPr>
            </w:pPr>
            <w:r>
              <w:rPr>
                <w:rFonts w:ascii="Arial" w:cs="Arial" w:eastAsia="Arial" w:hAnsi="Arial"/>
                <w:sz w:val="14"/>
                <w:szCs w:val="14"/>
                <w:b w:val="1"/>
                <w:bCs w:val="1"/>
                <w:color w:val="auto"/>
              </w:rPr>
              <w:t>For the Six Months Ended June 30,</w:t>
            </w:r>
          </w:p>
        </w:tc>
        <w:tc>
          <w:tcPr>
            <w:tcW w:w="520" w:type="dxa"/>
            <w:vAlign w:val="bottom"/>
            <w:tcBorders>
              <w:bottom w:val="single" w:sz="8" w:color="8C8272"/>
            </w:tcBorders>
          </w:tcPr>
          <w:p>
            <w:pPr>
              <w:spacing w:after="0"/>
              <w:rPr>
                <w:sz w:val="16"/>
                <w:szCs w:val="16"/>
                <w:color w:val="auto"/>
              </w:rPr>
            </w:pPr>
          </w:p>
        </w:tc>
      </w:tr>
      <w:tr>
        <w:trPr>
          <w:trHeight w:val="223"/>
        </w:trPr>
        <w:tc>
          <w:tcPr>
            <w:tcW w:w="5060" w:type="dxa"/>
            <w:vAlign w:val="bottom"/>
            <w:tcBorders>
              <w:bottom w:val="single" w:sz="8" w:color="8C8272"/>
            </w:tcBorders>
          </w:tcPr>
          <w:p>
            <w:pPr>
              <w:spacing w:after="0"/>
              <w:rPr>
                <w:sz w:val="19"/>
                <w:szCs w:val="19"/>
                <w:color w:val="auto"/>
              </w:rPr>
            </w:pPr>
          </w:p>
        </w:tc>
        <w:tc>
          <w:tcPr>
            <w:tcW w:w="4200" w:type="dxa"/>
            <w:vAlign w:val="bottom"/>
            <w:tcBorders>
              <w:bottom w:val="single" w:sz="8" w:color="8C8272"/>
            </w:tcBorders>
            <w:gridSpan w:val="2"/>
          </w:tcPr>
          <w:p>
            <w:pPr>
              <w:jc w:val="right"/>
              <w:ind w:right="948"/>
              <w:spacing w:after="0"/>
              <w:rPr>
                <w:sz w:val="20"/>
                <w:szCs w:val="20"/>
                <w:color w:val="auto"/>
              </w:rPr>
            </w:pPr>
            <w:r>
              <w:rPr>
                <w:rFonts w:ascii="Arial" w:cs="Arial" w:eastAsia="Arial" w:hAnsi="Arial"/>
                <w:sz w:val="14"/>
                <w:szCs w:val="14"/>
                <w:b w:val="1"/>
                <w:bCs w:val="1"/>
                <w:color w:val="auto"/>
              </w:rPr>
              <w:t>Con Edison</w:t>
            </w:r>
          </w:p>
        </w:tc>
        <w:tc>
          <w:tcPr>
            <w:tcW w:w="146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b w:val="1"/>
                <w:bCs w:val="1"/>
                <w:color w:val="auto"/>
              </w:rPr>
              <w:t>CECONY</w:t>
            </w:r>
          </w:p>
        </w:tc>
        <w:tc>
          <w:tcPr>
            <w:tcW w:w="520" w:type="dxa"/>
            <w:vAlign w:val="bottom"/>
            <w:tcBorders>
              <w:bottom w:val="single" w:sz="8" w:color="8C8272"/>
            </w:tcBorders>
          </w:tcPr>
          <w:p>
            <w:pPr>
              <w:spacing w:after="0"/>
              <w:rPr>
                <w:sz w:val="19"/>
                <w:szCs w:val="19"/>
                <w:color w:val="auto"/>
              </w:rPr>
            </w:pPr>
          </w:p>
        </w:tc>
      </w:tr>
      <w:tr>
        <w:trPr>
          <w:trHeight w:val="183"/>
        </w:trPr>
        <w:tc>
          <w:tcPr>
            <w:tcW w:w="506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25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2021</w:t>
            </w:r>
          </w:p>
        </w:tc>
        <w:tc>
          <w:tcPr>
            <w:tcW w:w="1640" w:type="dxa"/>
            <w:vAlign w:val="bottom"/>
            <w:tcBorders>
              <w:bottom w:val="single" w:sz="8" w:color="8C8272"/>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460" w:type="dxa"/>
            <w:vAlign w:val="bottom"/>
            <w:tcBorders>
              <w:bottom w:val="single" w:sz="8" w:color="8C8272"/>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5060" w:type="dxa"/>
            <w:vAlign w:val="bottom"/>
            <w:shd w:val="clear" w:color="auto" w:fill="E5E5E5"/>
          </w:tcPr>
          <w:p>
            <w:pPr>
              <w:ind w:left="20"/>
              <w:spacing w:after="0"/>
              <w:rPr>
                <w:sz w:val="20"/>
                <w:szCs w:val="20"/>
                <w:color w:val="auto"/>
              </w:rPr>
            </w:pPr>
            <w:r>
              <w:rPr>
                <w:rFonts w:ascii="Arial" w:cs="Arial" w:eastAsia="Arial" w:hAnsi="Arial"/>
                <w:sz w:val="14"/>
                <w:szCs w:val="14"/>
                <w:color w:val="auto"/>
              </w:rPr>
              <w:t>Beginning balance as of January 1,</w:t>
            </w:r>
          </w:p>
        </w:tc>
        <w:tc>
          <w:tcPr>
            <w:tcW w:w="2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w:t>
            </w:r>
          </w:p>
        </w:tc>
        <w:tc>
          <w:tcPr>
            <w:tcW w:w="16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$(16)</w:t>
            </w:r>
          </w:p>
        </w:tc>
        <w:tc>
          <w:tcPr>
            <w:tcW w:w="1460" w:type="dxa"/>
            <w:vAlign w:val="bottom"/>
            <w:shd w:val="clear" w:color="auto" w:fill="E5E5E5"/>
          </w:tcPr>
          <w:p>
            <w:pPr>
              <w:jc w:val="right"/>
              <w:ind w:right="628"/>
              <w:spacing w:after="0"/>
              <w:rPr>
                <w:sz w:val="20"/>
                <w:szCs w:val="20"/>
                <w:color w:val="auto"/>
              </w:rPr>
            </w:pPr>
            <w:r>
              <w:rPr>
                <w:rFonts w:ascii="Arial" w:cs="Arial" w:eastAsia="Arial" w:hAnsi="Arial"/>
                <w:sz w:val="14"/>
                <w:szCs w:val="14"/>
                <w:color w:val="auto"/>
              </w:rPr>
              <w:t>$(10)</w:t>
            </w: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w:t>
            </w:r>
          </w:p>
        </w:tc>
      </w:tr>
      <w:tr>
        <w:trPr>
          <w:trHeight w:val="189"/>
        </w:trPr>
        <w:tc>
          <w:tcPr>
            <w:tcW w:w="5060" w:type="dxa"/>
            <w:vAlign w:val="bottom"/>
          </w:tcPr>
          <w:p>
            <w:pPr>
              <w:ind w:left="140"/>
              <w:spacing w:after="0"/>
              <w:rPr>
                <w:sz w:val="20"/>
                <w:szCs w:val="20"/>
                <w:color w:val="auto"/>
              </w:rPr>
            </w:pPr>
            <w:r>
              <w:rPr>
                <w:rFonts w:ascii="Arial" w:cs="Arial" w:eastAsia="Arial" w:hAnsi="Arial"/>
                <w:sz w:val="14"/>
                <w:szCs w:val="14"/>
                <w:color w:val="auto"/>
              </w:rPr>
              <w:t>Included in earnings</w:t>
            </w:r>
          </w:p>
        </w:tc>
        <w:tc>
          <w:tcPr>
            <w:tcW w:w="2560" w:type="dxa"/>
            <w:vAlign w:val="bottom"/>
          </w:tcPr>
          <w:p>
            <w:pPr>
              <w:jc w:val="right"/>
              <w:spacing w:after="0"/>
              <w:rPr>
                <w:sz w:val="20"/>
                <w:szCs w:val="20"/>
                <w:color w:val="auto"/>
              </w:rPr>
            </w:pPr>
            <w:r>
              <w:rPr>
                <w:rFonts w:ascii="Arial" w:cs="Arial" w:eastAsia="Arial" w:hAnsi="Arial"/>
                <w:sz w:val="14"/>
                <w:szCs w:val="14"/>
                <w:color w:val="auto"/>
              </w:rPr>
              <w:t>(2)</w:t>
            </w:r>
          </w:p>
        </w:tc>
        <w:tc>
          <w:tcPr>
            <w:tcW w:w="1640" w:type="dxa"/>
            <w:vAlign w:val="bottom"/>
          </w:tcPr>
          <w:p>
            <w:pPr>
              <w:jc w:val="right"/>
              <w:ind w:right="368"/>
              <w:spacing w:after="0"/>
              <w:rPr>
                <w:sz w:val="20"/>
                <w:szCs w:val="20"/>
                <w:color w:val="auto"/>
              </w:rPr>
            </w:pPr>
            <w:r>
              <w:rPr>
                <w:rFonts w:ascii="Arial" w:cs="Arial" w:eastAsia="Arial" w:hAnsi="Arial"/>
                <w:sz w:val="14"/>
                <w:szCs w:val="14"/>
                <w:color w:val="auto"/>
              </w:rPr>
              <w:t>(7)</w:t>
            </w:r>
          </w:p>
        </w:tc>
        <w:tc>
          <w:tcPr>
            <w:tcW w:w="1460" w:type="dxa"/>
            <w:vAlign w:val="bottom"/>
          </w:tcPr>
          <w:p>
            <w:pPr>
              <w:jc w:val="right"/>
              <w:ind w:right="628"/>
              <w:spacing w:after="0"/>
              <w:rPr>
                <w:sz w:val="20"/>
                <w:szCs w:val="20"/>
                <w:color w:val="auto"/>
              </w:rPr>
            </w:pPr>
            <w:r>
              <w:rPr>
                <w:rFonts w:ascii="Arial" w:cs="Arial" w:eastAsia="Arial" w:hAnsi="Arial"/>
                <w:sz w:val="14"/>
                <w:szCs w:val="14"/>
                <w:color w:val="auto"/>
              </w:rPr>
              <w:t>(3)</w:t>
            </w: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50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Included in regulatory assets and liabilities</w:t>
            </w:r>
          </w:p>
        </w:tc>
        <w:tc>
          <w:tcPr>
            <w:tcW w:w="2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w:t>
            </w:r>
          </w:p>
        </w:tc>
        <w:tc>
          <w:tcPr>
            <w:tcW w:w="16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1</w:t>
            </w:r>
          </w:p>
        </w:tc>
        <w:tc>
          <w:tcPr>
            <w:tcW w:w="1460" w:type="dxa"/>
            <w:vAlign w:val="bottom"/>
            <w:shd w:val="clear" w:color="auto" w:fill="E5E5E5"/>
          </w:tcPr>
          <w:p>
            <w:pPr>
              <w:jc w:val="right"/>
              <w:ind w:right="628"/>
              <w:spacing w:after="0"/>
              <w:rPr>
                <w:sz w:val="20"/>
                <w:szCs w:val="20"/>
                <w:color w:val="auto"/>
              </w:rPr>
            </w:pPr>
            <w:r>
              <w:rPr>
                <w:rFonts w:ascii="Arial" w:cs="Arial" w:eastAsia="Arial" w:hAnsi="Arial"/>
                <w:sz w:val="14"/>
                <w:szCs w:val="14"/>
                <w:color w:val="auto"/>
              </w:rPr>
              <w:t>3</w:t>
            </w: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5060" w:type="dxa"/>
            <w:vAlign w:val="bottom"/>
            <w:tcBorders>
              <w:bottom w:val="single" w:sz="8" w:color="828282"/>
            </w:tcBorders>
          </w:tcPr>
          <w:p>
            <w:pPr>
              <w:ind w:left="140"/>
              <w:spacing w:after="0"/>
              <w:rPr>
                <w:sz w:val="20"/>
                <w:szCs w:val="20"/>
                <w:color w:val="auto"/>
              </w:rPr>
            </w:pPr>
            <w:r>
              <w:rPr>
                <w:rFonts w:ascii="Arial" w:cs="Arial" w:eastAsia="Arial" w:hAnsi="Arial"/>
                <w:sz w:val="14"/>
                <w:szCs w:val="14"/>
                <w:color w:val="auto"/>
              </w:rPr>
              <w:t>Settlements</w:t>
            </w:r>
          </w:p>
        </w:tc>
        <w:tc>
          <w:tcPr>
            <w:tcW w:w="256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4</w:t>
            </w:r>
          </w:p>
        </w:tc>
        <w:tc>
          <w:tcPr>
            <w:tcW w:w="1640" w:type="dxa"/>
            <w:vAlign w:val="bottom"/>
            <w:tcBorders>
              <w:bottom w:val="single" w:sz="8" w:color="828282"/>
            </w:tcBorders>
          </w:tcPr>
          <w:p>
            <w:pPr>
              <w:jc w:val="right"/>
              <w:ind w:right="368"/>
              <w:spacing w:after="0"/>
              <w:rPr>
                <w:sz w:val="20"/>
                <w:szCs w:val="20"/>
                <w:color w:val="auto"/>
              </w:rPr>
            </w:pPr>
            <w:r>
              <w:rPr>
                <w:rFonts w:ascii="Arial" w:cs="Arial" w:eastAsia="Arial" w:hAnsi="Arial"/>
                <w:sz w:val="14"/>
                <w:szCs w:val="14"/>
                <w:color w:val="auto"/>
              </w:rPr>
              <w:t>8</w:t>
            </w:r>
          </w:p>
        </w:tc>
        <w:tc>
          <w:tcPr>
            <w:tcW w:w="1460" w:type="dxa"/>
            <w:vAlign w:val="bottom"/>
            <w:tcBorders>
              <w:bottom w:val="single" w:sz="8" w:color="828282"/>
            </w:tcBorders>
          </w:tcPr>
          <w:p>
            <w:pPr>
              <w:jc w:val="right"/>
              <w:ind w:right="628"/>
              <w:spacing w:after="0"/>
              <w:rPr>
                <w:sz w:val="20"/>
                <w:szCs w:val="20"/>
                <w:color w:val="auto"/>
              </w:rPr>
            </w:pPr>
            <w:r>
              <w:rPr>
                <w:rFonts w:ascii="Arial" w:cs="Arial" w:eastAsia="Arial" w:hAnsi="Arial"/>
                <w:sz w:val="14"/>
                <w:szCs w:val="14"/>
                <w:color w:val="auto"/>
              </w:rPr>
              <w:t>3</w:t>
            </w:r>
          </w:p>
        </w:tc>
        <w:tc>
          <w:tcPr>
            <w:tcW w:w="520" w:type="dxa"/>
            <w:vAlign w:val="bottom"/>
            <w:tcBorders>
              <w:bottom w:val="single" w:sz="8" w:color="828282"/>
            </w:tcBorders>
          </w:tcPr>
          <w:p>
            <w:pPr>
              <w:jc w:val="right"/>
              <w:spacing w:after="0"/>
              <w:rPr>
                <w:sz w:val="20"/>
                <w:szCs w:val="20"/>
                <w:color w:val="auto"/>
              </w:rPr>
            </w:pPr>
            <w:r>
              <w:rPr>
                <w:rFonts w:ascii="Arial" w:cs="Arial" w:eastAsia="Arial" w:hAnsi="Arial"/>
                <w:sz w:val="14"/>
                <w:szCs w:val="14"/>
                <w:color w:val="auto"/>
              </w:rPr>
              <w:t>3</w:t>
            </w:r>
          </w:p>
        </w:tc>
      </w:tr>
      <w:tr>
        <w:trPr>
          <w:trHeight w:val="183"/>
        </w:trPr>
        <w:tc>
          <w:tcPr>
            <w:tcW w:w="506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Ending balance as of June 30,</w:t>
            </w:r>
          </w:p>
        </w:tc>
        <w:tc>
          <w:tcPr>
            <w:tcW w:w="25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$(9)</w:t>
            </w:r>
          </w:p>
        </w:tc>
        <w:tc>
          <w:tcPr>
            <w:tcW w:w="1640" w:type="dxa"/>
            <w:vAlign w:val="bottom"/>
            <w:tcBorders>
              <w:bottom w:val="single" w:sz="8" w:color="8C8272"/>
            </w:tcBorders>
            <w:shd w:val="clear" w:color="auto" w:fill="E5E5E5"/>
          </w:tcPr>
          <w:p>
            <w:pPr>
              <w:jc w:val="right"/>
              <w:ind w:right="368"/>
              <w:spacing w:after="0"/>
              <w:rPr>
                <w:sz w:val="20"/>
                <w:szCs w:val="20"/>
                <w:color w:val="auto"/>
              </w:rPr>
            </w:pPr>
            <w:r>
              <w:rPr>
                <w:rFonts w:ascii="Arial" w:cs="Arial" w:eastAsia="Arial" w:hAnsi="Arial"/>
                <w:sz w:val="14"/>
                <w:szCs w:val="14"/>
                <w:color w:val="auto"/>
              </w:rPr>
              <w:t>$(14)</w:t>
            </w:r>
          </w:p>
        </w:tc>
        <w:tc>
          <w:tcPr>
            <w:tcW w:w="1460" w:type="dxa"/>
            <w:vAlign w:val="bottom"/>
            <w:tcBorders>
              <w:bottom w:val="single" w:sz="8" w:color="8C8272"/>
            </w:tcBorders>
            <w:shd w:val="clear" w:color="auto" w:fill="E5E5E5"/>
          </w:tcPr>
          <w:p>
            <w:pPr>
              <w:jc w:val="right"/>
              <w:ind w:right="628"/>
              <w:spacing w:after="0"/>
              <w:rPr>
                <w:sz w:val="20"/>
                <w:szCs w:val="20"/>
                <w:color w:val="auto"/>
              </w:rPr>
            </w:pPr>
            <w:r>
              <w:rPr>
                <w:rFonts w:ascii="Arial" w:cs="Arial" w:eastAsia="Arial" w:hAnsi="Arial"/>
                <w:sz w:val="14"/>
                <w:szCs w:val="14"/>
                <w:color w:val="auto"/>
              </w:rPr>
              <w:t>$(7)</w:t>
            </w:r>
          </w:p>
        </w:tc>
        <w:tc>
          <w:tcPr>
            <w:tcW w:w="5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-128270</wp:posOffset>
            </wp:positionV>
            <wp:extent cx="8890" cy="1714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-102235</wp:posOffset>
            </wp:positionV>
            <wp:extent cx="889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-85090</wp:posOffset>
            </wp:positionV>
            <wp:extent cx="8890"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-67945</wp:posOffset>
            </wp:positionV>
            <wp:extent cx="8890"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-50800</wp:posOffset>
            </wp:positionV>
            <wp:extent cx="889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-33655</wp:posOffset>
            </wp:positionV>
            <wp:extent cx="889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-16510</wp:posOffset>
            </wp:positionV>
            <wp:extent cx="889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-745490</wp:posOffset>
            </wp:positionV>
            <wp:extent cx="8890" cy="60896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890" cy="608965"/>
                    </a:xfrm>
                    <a:prstGeom prst="rect">
                      <a:avLst/>
                    </a:prstGeom>
                    <a:noFill/>
                  </pic:spPr>
                </pic:pic>
              </a:graphicData>
            </a:graphic>
          </wp:anchor>
        </w:drawing>
      </w:r>
    </w:p>
    <w:p>
      <w:pPr>
        <w:spacing w:after="0" w:line="3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Utilities, realized gains and losses on Level 3 commodity derivative assets and liabilities are reported as part of purchased power, gas and fuel costs. The Utilities generally recover these costs in accordance with rate provisions approved by the applicable state public utilities regulators. Unrealized gains and losses for commodity derivatives are generally deferred on the consolidated balance sheet in accordance with the accounting rules for regulated operations.</w:t>
      </w:r>
    </w:p>
    <w:p>
      <w:pPr>
        <w:spacing w:after="0" w:line="23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 the Clean Energy Businesses, realized and unrealized gains and losses on Level 3 commodity derivative assets and liabilities are reported in non-utility revenues on the consolidated income statement for the three months ended June 30, 2021 and 2020 ($2 million gain and immaterial, respectively). Realized and unrealized gains and losses on</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8" w:name="page49"/>
    <w:bookmarkEnd w:id="48"/>
    <w:p>
      <w:pPr>
        <w:ind w:right="300"/>
        <w:spacing w:after="0" w:line="252" w:lineRule="auto"/>
        <w:rPr>
          <w:sz w:val="20"/>
          <w:szCs w:val="20"/>
          <w:color w:val="auto"/>
        </w:rPr>
      </w:pPr>
      <w:r>
        <w:rPr>
          <w:rFonts w:ascii="Arial" w:cs="Arial" w:eastAsia="Arial" w:hAnsi="Arial"/>
          <w:sz w:val="18"/>
          <w:szCs w:val="18"/>
          <w:color w:val="auto"/>
        </w:rPr>
        <w:t>Level 3 commodity derivative assets and liabilities are reported in non-utility revenues on the consolidated income statement for the six months ended June 30, 2021 and 2020 ($ 4 million gain and $1 million gain, respectively). The change in fair value relating to Level 3 commodity derivative assets and liabilities held at June 30, 2021 and 2020 is included in non-utility revenues on the consolidated income statement for the three months ended June 30, 2021 and 2020 ($2 million gain and immaterial, respectively). The change in fair value relating to Level 3 commodity derivatives assets and liabilities is included in non-utility revenues on the consolidated income statement for the six months ended June 30, 2021 and 2020 ($4 million gain and $1 million gain, respectively).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Note P – Variable Interest Entities</w:t>
      </w:r>
    </w:p>
    <w:p>
      <w:pPr>
        <w:spacing w:after="0" w:line="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accounting rules for consolidation address the consolidation of a variable interest entity (VIE) by a business enterprise that is the primary beneficiary. A VIE is an entity that does not have a sufficient equity investment at risk to permit it to finance its activities without additional subordinated financial support, or whose equity investors lack the characteristics of a controlling financial interest. The primary beneficiary is the business enterprise that has the power to direct the activities of the VIE that most significantly impact the VIE’s economic performance and either absorbs a significant amount of the VIE’s losses or has the right to receive benefits that could be significant to the VIE.</w:t>
      </w:r>
    </w:p>
    <w:p>
      <w:pPr>
        <w:spacing w:after="0" w:line="21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Companies enter into arrangements including leases, partnerships and electricity purchase agreements, with various entities. As a result of these arrangements, the Companies retain or may retain a variable interest in these entities.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CECONY</w:t>
      </w:r>
    </w:p>
    <w:p>
      <w:pPr>
        <w:spacing w:after="0" w:line="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CECONY has an ongoing long-term electricity purchase agreement with Brooklyn Navy Yard Cogeneration Partners, LP, a potential VIE. In 2020, a request was made of this counterparty for information necessary to determine whether the entity was a VIE and whether CECONY is the primary beneficiary; however, the information was not made available. The payments for this contract constitute CECONY’s maximum exposure to loss with respect to the potential VIE.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 Energy Businesses</w:t>
      </w:r>
    </w:p>
    <w:p>
      <w:pPr>
        <w:spacing w:after="0" w:line="3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June 2021, a subsidiary of the Clean Energy Businesses sold substantially all of its membership interest in a renewable electric project, and retained an equity interest of $11 million in the project which, as of June 30, 2021, is accounted for as an equity method investment. See Note R. The earnings of the project are determined using the hypothetical liquidation at book value (HLBV) method of accounting, and such earnings were not material for the three and six months ended June 30, 2021. Con Edison is not the primary beneficiary since the power to direct the activities that most significantly impact the economics of the renewable electric project is not held by the Clean Energy Businesses.</w:t>
      </w:r>
    </w:p>
    <w:p>
      <w:pPr>
        <w:spacing w:after="0" w:line="21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February 2021, a subsidiary of the Clean Energy Businesses entered into an agreement relating to certain projects (CED Nevada Virginia) with a noncontrolling tax equity investor to which a percentage of earnings, tax attributes and cash flows will be allocated. CED Nevada Virginia is a consolidated entity in which Con Edison has less than a 100 percent membership interest. Con Edison is the primary beneficiary since the power to direct the activities that most significantly impact the economics of CED Nevada Virginia during construction of the projects, and upon commercial operation, is held by the Clean Energy Businesses.</w:t>
      </w:r>
    </w:p>
    <w:p>
      <w:pPr>
        <w:spacing w:after="0" w:line="23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For the three and six months ended June 30, 2021, the hypothetical liquidation at book value (HLBV) method of accounting for CED Nevada Virginia resulted in a $53 million loss ($40 million, after-tax) for the tax equity investor and an equivalent amount of income for Con Edison.</w:t>
      </w:r>
    </w:p>
    <w:p>
      <w:pPr>
        <w:spacing w:after="0" w:line="22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2C2C2C"/>
        </w:rPr>
        <w:t>In December 2018, the Clean Energy Businesses completed its acquisition of Sempra Solar Holdings, LLC. Included in the ac</w:t>
      </w:r>
      <w:r>
        <w:rPr>
          <w:rFonts w:ascii="Arial" w:cs="Arial" w:eastAsia="Arial" w:hAnsi="Arial"/>
          <w:sz w:val="18"/>
          <w:szCs w:val="18"/>
          <w:color w:val="000000"/>
        </w:rPr>
        <w:t>quisition were</w:t>
      </w:r>
      <w:r>
        <w:rPr>
          <w:rFonts w:ascii="Arial" w:cs="Arial" w:eastAsia="Arial" w:hAnsi="Arial"/>
          <w:sz w:val="18"/>
          <w:szCs w:val="18"/>
          <w:color w:val="2C2C2C"/>
        </w:rPr>
        <w:t xml:space="preserve"> </w:t>
      </w:r>
      <w:r>
        <w:rPr>
          <w:rFonts w:ascii="Arial" w:cs="Arial" w:eastAsia="Arial" w:hAnsi="Arial"/>
          <w:sz w:val="18"/>
          <w:szCs w:val="18"/>
          <w:color w:val="000000"/>
        </w:rPr>
        <w:t xml:space="preserve">certain operating projects (Tax Equity Projects) with a noncontrolling tax equity investor to which a percentage </w:t>
      </w:r>
      <w:r>
        <w:rPr>
          <w:rFonts w:ascii="Arial" w:cs="Arial" w:eastAsia="Arial" w:hAnsi="Arial"/>
          <w:sz w:val="18"/>
          <w:szCs w:val="18"/>
          <w:color w:val="2C2C2C"/>
        </w:rPr>
        <w:t>of earnings, tax attributes and</w:t>
      </w:r>
      <w:r>
        <w:rPr>
          <w:rFonts w:ascii="Arial" w:cs="Arial" w:eastAsia="Arial" w:hAnsi="Arial"/>
          <w:sz w:val="18"/>
          <w:szCs w:val="18"/>
          <w:color w:val="000000"/>
        </w:rPr>
        <w:t xml:space="preserve"> </w:t>
      </w:r>
      <w:r>
        <w:rPr>
          <w:rFonts w:ascii="Arial" w:cs="Arial" w:eastAsia="Arial" w:hAnsi="Arial"/>
          <w:sz w:val="18"/>
          <w:szCs w:val="18"/>
          <w:color w:val="2C2C2C"/>
        </w:rPr>
        <w:t xml:space="preserve">cash flows are allocated. The Tax Equity Projects are consolidated entities in which Con Edison has less than a </w:t>
      </w:r>
      <w:r>
        <w:rPr>
          <w:rFonts w:ascii="Arial" w:cs="Arial" w:eastAsia="Arial" w:hAnsi="Arial"/>
          <w:sz w:val="18"/>
          <w:szCs w:val="18"/>
          <w:color w:val="000000"/>
        </w:rPr>
        <w:t>100 percent membership</w:t>
      </w:r>
      <w:r>
        <w:rPr>
          <w:rFonts w:ascii="Arial" w:cs="Arial" w:eastAsia="Arial" w:hAnsi="Arial"/>
          <w:sz w:val="18"/>
          <w:szCs w:val="18"/>
          <w:color w:val="2C2C2C"/>
        </w:rPr>
        <w:t xml:space="preserve"> </w:t>
      </w:r>
      <w:r>
        <w:rPr>
          <w:rFonts w:ascii="Arial" w:cs="Arial" w:eastAsia="Arial" w:hAnsi="Arial"/>
          <w:sz w:val="18"/>
          <w:szCs w:val="18"/>
          <w:color w:val="000000"/>
        </w:rPr>
        <w:t>interest. Con Edison is the primary beneficiary since the power to direct the activities that most significantly impact the economics of the Tax Equity Projects is held by the Clean Energy Businesses. Electricity generated by the Tax Equity Projects is sold to utilities and municipalities pursuant to long-term power 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9" w:name="page50"/>
    <w:bookmarkEnd w:id="49"/>
    <w:p>
      <w:pPr>
        <w:ind w:right="160"/>
        <w:spacing w:after="0" w:line="254" w:lineRule="auto"/>
        <w:rPr>
          <w:sz w:val="20"/>
          <w:szCs w:val="20"/>
          <w:color w:val="auto"/>
        </w:rPr>
      </w:pPr>
      <w:r>
        <w:rPr>
          <w:rFonts w:ascii="Arial" w:cs="Arial" w:eastAsia="Arial" w:hAnsi="Arial"/>
          <w:sz w:val="18"/>
          <w:szCs w:val="18"/>
          <w:color w:val="auto"/>
        </w:rPr>
        <w:t>For the three months ended June 30, 2021, the HLBV method of accounting for the Tax Equity Projects resulted in $6 million of income ($5 million, after-tax) for the tax equity investor and $10 million of income ($7 million, after-tax) for Con Edison. For the three months ended June 30, 2020, the HLBV method of accounting for the Tax Equity Projects resulted in $12 million of income ($9 million, after-tax) for the tax equity investor and $4 million of income ($3 million, after-tax) for Con Edison.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2021, the HLBV method of accounting for the Tax Equity Projects resulted in $8 million of income</w:t>
      </w:r>
    </w:p>
    <w:p>
      <w:pPr>
        <w:spacing w:after="0" w:line="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($6 million, after tax) for the tax equity investor and $13 million of income ($10 million, after tax) for Con Edison. For the six months ended June 30, 2020, the HLBV method of accounting for the Tax Equity Projects resulted in $29 million of income ($22 million, after tax) for the tax equity investor and a $10 million loss ($8 million, after tax) for Con Edison.</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Con Edison has determined that the use of HLBV accounting is reasonable and appropriate to attribute income and loss to the tax equity investors. Using the HLBV method, the company's earnings from the projects are adjusted to reflect the income or loss allocable to the tax equity investors calculated based on how the project would allocate and distribute its cash if it were to sell all of its assets for their carrying amounts and liquidate at a particular point in time. Under the HLBV method, the company calculates the liquidation value allocable to the tax equity investors at the beginning and end of each period based on the contractual liquidation waterfall and adjusts its income for the period to reflect the change in the liquidation value allocable to the tax equity investors.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and December 31, 2020, Con Edison’s consolidated balance sheet included the following amounts associated with its VIEs: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4220" w:type="dxa"/>
            <w:vAlign w:val="bottom"/>
            <w:gridSpan w:val="3"/>
          </w:tcPr>
          <w:p>
            <w:pPr>
              <w:jc w:val="right"/>
              <w:ind w:right="1048"/>
              <w:spacing w:after="0"/>
              <w:rPr>
                <w:sz w:val="20"/>
                <w:szCs w:val="20"/>
                <w:color w:val="auto"/>
              </w:rPr>
            </w:pPr>
            <w:r>
              <w:rPr>
                <w:rFonts w:ascii="Arial" w:cs="Arial" w:eastAsia="Arial" w:hAnsi="Arial"/>
                <w:sz w:val="14"/>
                <w:szCs w:val="14"/>
                <w:b w:val="1"/>
                <w:bCs w:val="1"/>
                <w:color w:val="2C2C2C"/>
              </w:rPr>
              <w:t>Tax Equity Projects</w:t>
            </w: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48"/>
        </w:trPr>
        <w:tc>
          <w:tcPr>
            <w:tcW w:w="4860" w:type="dxa"/>
            <w:vAlign w:val="bottom"/>
          </w:tcPr>
          <w:p>
            <w:pPr>
              <w:spacing w:after="0"/>
              <w:rPr>
                <w:sz w:val="12"/>
                <w:szCs w:val="12"/>
                <w:color w:val="auto"/>
              </w:rPr>
            </w:pPr>
          </w:p>
        </w:tc>
        <w:tc>
          <w:tcPr>
            <w:tcW w:w="1980" w:type="dxa"/>
            <w:vAlign w:val="bottom"/>
          </w:tcPr>
          <w:p>
            <w:pPr>
              <w:jc w:val="right"/>
              <w:ind w:right="88"/>
              <w:spacing w:after="0" w:line="148" w:lineRule="exact"/>
              <w:rPr>
                <w:sz w:val="20"/>
                <w:szCs w:val="20"/>
                <w:color w:val="auto"/>
              </w:rPr>
            </w:pPr>
            <w:r>
              <w:rPr>
                <w:rFonts w:ascii="Arial" w:cs="Arial" w:eastAsia="Arial" w:hAnsi="Arial"/>
                <w:sz w:val="14"/>
                <w:szCs w:val="14"/>
                <w:b w:val="1"/>
                <w:bCs w:val="1"/>
                <w:color w:val="2C2C2C"/>
              </w:rPr>
              <w:t>Great Valley Solar</w:t>
            </w:r>
          </w:p>
        </w:tc>
        <w:tc>
          <w:tcPr>
            <w:tcW w:w="520" w:type="dxa"/>
            <w:vAlign w:val="bottom"/>
          </w:tcPr>
          <w:p>
            <w:pPr>
              <w:spacing w:after="0"/>
              <w:rPr>
                <w:sz w:val="12"/>
                <w:szCs w:val="12"/>
                <w:color w:val="auto"/>
              </w:rPr>
            </w:pPr>
          </w:p>
        </w:tc>
        <w:tc>
          <w:tcPr>
            <w:tcW w:w="24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2C2C2C"/>
              </w:rPr>
              <w:t>Copper Mountain - Mesquite Solar</w:t>
            </w:r>
          </w:p>
        </w:tc>
        <w:tc>
          <w:tcPr>
            <w:tcW w:w="1300" w:type="dxa"/>
            <w:vAlign w:val="bottom"/>
          </w:tcPr>
          <w:p>
            <w:pPr>
              <w:jc w:val="right"/>
              <w:ind w:right="148"/>
              <w:spacing w:after="0" w:line="148" w:lineRule="exact"/>
              <w:rPr>
                <w:sz w:val="20"/>
                <w:szCs w:val="20"/>
                <w:color w:val="auto"/>
              </w:rPr>
            </w:pPr>
            <w:r>
              <w:rPr>
                <w:rFonts w:ascii="Arial" w:cs="Arial" w:eastAsia="Arial" w:hAnsi="Arial"/>
                <w:sz w:val="14"/>
                <w:szCs w:val="14"/>
                <w:b w:val="1"/>
                <w:bCs w:val="1"/>
                <w:color w:val="2C2C2C"/>
              </w:rPr>
              <w:t>CED Nevada</w:t>
            </w:r>
          </w:p>
        </w:tc>
      </w:tr>
      <w:tr>
        <w:trPr>
          <w:trHeight w:val="176"/>
        </w:trPr>
        <w:tc>
          <w:tcPr>
            <w:tcW w:w="4860" w:type="dxa"/>
            <w:vAlign w:val="bottom"/>
            <w:tcBorders>
              <w:bottom w:val="single" w:sz="8" w:color="8C8272"/>
            </w:tcBorders>
          </w:tcPr>
          <w:p>
            <w:pPr>
              <w:spacing w:after="0"/>
              <w:rPr>
                <w:sz w:val="15"/>
                <w:szCs w:val="15"/>
                <w:color w:val="auto"/>
              </w:rPr>
            </w:pPr>
          </w:p>
        </w:tc>
        <w:tc>
          <w:tcPr>
            <w:tcW w:w="1980" w:type="dxa"/>
            <w:vAlign w:val="bottom"/>
            <w:tcBorders>
              <w:bottom w:val="single" w:sz="8" w:color="8C8272"/>
            </w:tcBorders>
          </w:tcPr>
          <w:p>
            <w:pPr>
              <w:jc w:val="right"/>
              <w:ind w:right="488"/>
              <w:spacing w:after="0"/>
              <w:rPr>
                <w:sz w:val="20"/>
                <w:szCs w:val="20"/>
                <w:color w:val="auto"/>
              </w:rPr>
            </w:pPr>
            <w:r>
              <w:rPr>
                <w:rFonts w:ascii="Arial" w:cs="Arial" w:eastAsia="Arial" w:hAnsi="Arial"/>
                <w:sz w:val="14"/>
                <w:szCs w:val="14"/>
                <w:b w:val="1"/>
                <w:bCs w:val="1"/>
                <w:color w:val="2C2C2C"/>
              </w:rPr>
              <w:t>(c)(d)</w:t>
            </w:r>
          </w:p>
        </w:tc>
        <w:tc>
          <w:tcPr>
            <w:tcW w:w="520" w:type="dxa"/>
            <w:vAlign w:val="bottom"/>
            <w:tcBorders>
              <w:bottom w:val="single" w:sz="8" w:color="8C8272"/>
            </w:tcBorders>
          </w:tcPr>
          <w:p>
            <w:pPr>
              <w:spacing w:after="0"/>
              <w:rPr>
                <w:sz w:val="15"/>
                <w:szCs w:val="15"/>
                <w:color w:val="auto"/>
              </w:rPr>
            </w:pPr>
          </w:p>
        </w:tc>
        <w:tc>
          <w:tcPr>
            <w:tcW w:w="1720" w:type="dxa"/>
            <w:vAlign w:val="bottom"/>
            <w:tcBorders>
              <w:bottom w:val="single" w:sz="8" w:color="8C8272"/>
            </w:tcBorders>
          </w:tcPr>
          <w:p>
            <w:pPr>
              <w:jc w:val="right"/>
              <w:ind w:right="268"/>
              <w:spacing w:after="0"/>
              <w:rPr>
                <w:sz w:val="20"/>
                <w:szCs w:val="20"/>
                <w:color w:val="auto"/>
              </w:rPr>
            </w:pPr>
            <w:r>
              <w:rPr>
                <w:rFonts w:ascii="Arial" w:cs="Arial" w:eastAsia="Arial" w:hAnsi="Arial"/>
                <w:sz w:val="14"/>
                <w:szCs w:val="14"/>
                <w:b w:val="1"/>
                <w:bCs w:val="1"/>
                <w:color w:val="2C2C2C"/>
              </w:rPr>
              <w:t>(c)(e)</w:t>
            </w:r>
          </w:p>
        </w:tc>
        <w:tc>
          <w:tcPr>
            <w:tcW w:w="680" w:type="dxa"/>
            <w:vAlign w:val="bottom"/>
            <w:tcBorders>
              <w:bottom w:val="single" w:sz="8" w:color="8C8272"/>
            </w:tcBorders>
          </w:tcPr>
          <w:p>
            <w:pPr>
              <w:spacing w:after="0"/>
              <w:rPr>
                <w:sz w:val="15"/>
                <w:szCs w:val="15"/>
                <w:color w:val="auto"/>
              </w:rPr>
            </w:pPr>
          </w:p>
        </w:tc>
        <w:tc>
          <w:tcPr>
            <w:tcW w:w="130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b w:val="1"/>
                <w:bCs w:val="1"/>
                <w:color w:val="2C2C2C"/>
              </w:rPr>
              <w:t>Virginia (c)(h)</w:t>
            </w:r>
          </w:p>
        </w:tc>
      </w:tr>
      <w:tr>
        <w:trPr>
          <w:trHeight w:val="183"/>
        </w:trPr>
        <w:tc>
          <w:tcPr>
            <w:tcW w:w="4860" w:type="dxa"/>
            <w:vAlign w:val="bottom"/>
            <w:tcBorders>
              <w:bottom w:val="single" w:sz="8" w:color="5E5E61"/>
            </w:tcBorders>
          </w:tcPr>
          <w:p>
            <w:pPr>
              <w:ind w:left="20"/>
              <w:spacing w:after="0"/>
              <w:rPr>
                <w:sz w:val="20"/>
                <w:szCs w:val="20"/>
                <w:color w:val="auto"/>
              </w:rPr>
            </w:pPr>
            <w:r>
              <w:rPr>
                <w:rFonts w:ascii="Arial" w:cs="Arial" w:eastAsia="Arial" w:hAnsi="Arial"/>
                <w:sz w:val="14"/>
                <w:szCs w:val="14"/>
                <w:b w:val="1"/>
                <w:bCs w:val="1"/>
                <w:i w:val="1"/>
                <w:iCs w:val="1"/>
                <w:color w:val="5E5E61"/>
              </w:rPr>
              <w:t>(Millions of Dollars)</w:t>
            </w:r>
          </w:p>
        </w:tc>
        <w:tc>
          <w:tcPr>
            <w:tcW w:w="1980" w:type="dxa"/>
            <w:vAlign w:val="bottom"/>
            <w:tcBorders>
              <w:bottom w:val="single" w:sz="8" w:color="5E5E61"/>
            </w:tcBorders>
          </w:tcPr>
          <w:p>
            <w:pPr>
              <w:jc w:val="right"/>
              <w:ind w:right="68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5E5E61"/>
            </w:tcBorders>
          </w:tcPr>
          <w:p>
            <w:pPr>
              <w:jc w:val="right"/>
              <w:spacing w:after="0"/>
              <w:rPr>
                <w:sz w:val="20"/>
                <w:szCs w:val="20"/>
                <w:color w:val="auto"/>
              </w:rPr>
            </w:pPr>
            <w:r>
              <w:rPr>
                <w:rFonts w:ascii="Arial" w:cs="Arial" w:eastAsia="Arial" w:hAnsi="Arial"/>
                <w:sz w:val="14"/>
                <w:szCs w:val="14"/>
                <w:b w:val="1"/>
                <w:bCs w:val="1"/>
                <w:color w:val="auto"/>
              </w:rPr>
              <w:t>2020</w:t>
            </w:r>
          </w:p>
        </w:tc>
        <w:tc>
          <w:tcPr>
            <w:tcW w:w="1720" w:type="dxa"/>
            <w:vAlign w:val="bottom"/>
            <w:tcBorders>
              <w:bottom w:val="single" w:sz="8" w:color="5E5E61"/>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5E5E61"/>
            </w:tcBorders>
          </w:tcPr>
          <w:p>
            <w:pPr>
              <w:jc w:val="right"/>
              <w:spacing w:after="0"/>
              <w:rPr>
                <w:sz w:val="20"/>
                <w:szCs w:val="20"/>
                <w:color w:val="auto"/>
              </w:rPr>
            </w:pPr>
            <w:r>
              <w:rPr>
                <w:rFonts w:ascii="Arial" w:cs="Arial" w:eastAsia="Arial" w:hAnsi="Arial"/>
                <w:sz w:val="14"/>
                <w:szCs w:val="14"/>
                <w:b w:val="1"/>
                <w:bCs w:val="1"/>
                <w:color w:val="auto"/>
              </w:rPr>
              <w:t>2020</w:t>
            </w:r>
          </w:p>
        </w:tc>
        <w:tc>
          <w:tcPr>
            <w:tcW w:w="1300" w:type="dxa"/>
            <w:vAlign w:val="bottom"/>
            <w:tcBorders>
              <w:bottom w:val="single" w:sz="8" w:color="5E5E61"/>
            </w:tcBorders>
          </w:tcPr>
          <w:p>
            <w:pPr>
              <w:jc w:val="right"/>
              <w:spacing w:after="0"/>
              <w:rPr>
                <w:sz w:val="20"/>
                <w:szCs w:val="20"/>
                <w:color w:val="auto"/>
              </w:rPr>
            </w:pPr>
            <w:r>
              <w:rPr>
                <w:rFonts w:ascii="Arial" w:cs="Arial" w:eastAsia="Arial" w:hAnsi="Arial"/>
                <w:sz w:val="14"/>
                <w:szCs w:val="14"/>
                <w:b w:val="1"/>
                <w:bCs w:val="1"/>
                <w:color w:val="auto"/>
              </w:rPr>
              <w:t>2021</w:t>
            </w:r>
          </w:p>
        </w:tc>
      </w:tr>
      <w:tr>
        <w:trPr>
          <w:trHeight w:val="183"/>
        </w:trPr>
        <w:tc>
          <w:tcPr>
            <w:tcW w:w="48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Non-utility property, less accumulated depreciation (f)(g)</w:t>
            </w:r>
          </w:p>
        </w:tc>
        <w:tc>
          <w:tcPr>
            <w:tcW w:w="1980" w:type="dxa"/>
            <w:vAlign w:val="bottom"/>
            <w:shd w:val="clear" w:color="auto" w:fill="E5E5E5"/>
          </w:tcPr>
          <w:p>
            <w:pPr>
              <w:jc w:val="right"/>
              <w:ind w:right="688"/>
              <w:spacing w:after="0"/>
              <w:rPr>
                <w:sz w:val="20"/>
                <w:szCs w:val="20"/>
                <w:color w:val="auto"/>
              </w:rPr>
            </w:pPr>
            <w:r>
              <w:rPr>
                <w:rFonts w:ascii="Arial" w:cs="Arial" w:eastAsia="Arial" w:hAnsi="Arial"/>
                <w:sz w:val="14"/>
                <w:szCs w:val="14"/>
                <w:color w:val="auto"/>
              </w:rPr>
              <w:t>$280</w:t>
            </w: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$284</w:t>
            </w:r>
          </w:p>
        </w:tc>
        <w:tc>
          <w:tcPr>
            <w:tcW w:w="1720" w:type="dxa"/>
            <w:vAlign w:val="bottom"/>
            <w:shd w:val="clear" w:color="auto" w:fill="E5E5E5"/>
          </w:tcPr>
          <w:p>
            <w:pPr>
              <w:jc w:val="right"/>
              <w:ind w:right="448"/>
              <w:spacing w:after="0"/>
              <w:rPr>
                <w:sz w:val="20"/>
                <w:szCs w:val="20"/>
                <w:color w:val="auto"/>
              </w:rPr>
            </w:pPr>
            <w:r>
              <w:rPr>
                <w:rFonts w:ascii="Arial" w:cs="Arial" w:eastAsia="Arial" w:hAnsi="Arial"/>
                <w:sz w:val="14"/>
                <w:szCs w:val="14"/>
                <w:color w:val="auto"/>
              </w:rPr>
              <w:t>$439</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$446</w:t>
            </w:r>
          </w:p>
        </w:tc>
        <w:tc>
          <w:tcPr>
            <w:tcW w:w="1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$318</w:t>
            </w:r>
          </w:p>
        </w:tc>
      </w:tr>
      <w:tr>
        <w:trPr>
          <w:trHeight w:val="189"/>
        </w:trPr>
        <w:tc>
          <w:tcPr>
            <w:tcW w:w="4860" w:type="dxa"/>
            <w:vAlign w:val="bottom"/>
            <w:tcBorders>
              <w:bottom w:val="single" w:sz="8" w:color="828282"/>
            </w:tcBorders>
          </w:tcPr>
          <w:p>
            <w:pPr>
              <w:ind w:left="140"/>
              <w:spacing w:after="0"/>
              <w:rPr>
                <w:sz w:val="20"/>
                <w:szCs w:val="20"/>
                <w:color w:val="auto"/>
              </w:rPr>
            </w:pPr>
            <w:r>
              <w:rPr>
                <w:rFonts w:ascii="Arial" w:cs="Arial" w:eastAsia="Arial" w:hAnsi="Arial"/>
                <w:sz w:val="14"/>
                <w:szCs w:val="14"/>
                <w:color w:val="auto"/>
              </w:rPr>
              <w:t>Other assets</w:t>
            </w:r>
          </w:p>
        </w:tc>
        <w:tc>
          <w:tcPr>
            <w:tcW w:w="1980" w:type="dxa"/>
            <w:vAlign w:val="bottom"/>
            <w:tcBorders>
              <w:bottom w:val="single" w:sz="8" w:color="8C8272"/>
            </w:tcBorders>
          </w:tcPr>
          <w:p>
            <w:pPr>
              <w:jc w:val="right"/>
              <w:ind w:right="688"/>
              <w:spacing w:after="0"/>
              <w:rPr>
                <w:sz w:val="20"/>
                <w:szCs w:val="20"/>
                <w:color w:val="auto"/>
              </w:rPr>
            </w:pPr>
            <w:r>
              <w:rPr>
                <w:rFonts w:ascii="Arial" w:cs="Arial" w:eastAsia="Arial" w:hAnsi="Arial"/>
                <w:sz w:val="14"/>
                <w:szCs w:val="14"/>
                <w:color w:val="auto"/>
              </w:rPr>
              <w:t>41</w:t>
            </w:r>
          </w:p>
        </w:tc>
        <w:tc>
          <w:tcPr>
            <w:tcW w:w="5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39</w:t>
            </w:r>
          </w:p>
        </w:tc>
        <w:tc>
          <w:tcPr>
            <w:tcW w:w="1720" w:type="dxa"/>
            <w:vAlign w:val="bottom"/>
            <w:tcBorders>
              <w:bottom w:val="single" w:sz="8" w:color="8C8272"/>
            </w:tcBorders>
          </w:tcPr>
          <w:p>
            <w:pPr>
              <w:jc w:val="right"/>
              <w:ind w:right="448"/>
              <w:spacing w:after="0"/>
              <w:rPr>
                <w:sz w:val="20"/>
                <w:szCs w:val="20"/>
                <w:color w:val="auto"/>
              </w:rPr>
            </w:pPr>
            <w:r>
              <w:rPr>
                <w:rFonts w:ascii="Arial" w:cs="Arial" w:eastAsia="Arial" w:hAnsi="Arial"/>
                <w:sz w:val="14"/>
                <w:szCs w:val="14"/>
                <w:color w:val="auto"/>
              </w:rPr>
              <w:t>176</w:t>
            </w:r>
          </w:p>
        </w:tc>
        <w:tc>
          <w:tcPr>
            <w:tcW w:w="6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176</w:t>
            </w:r>
          </w:p>
        </w:tc>
        <w:tc>
          <w:tcPr>
            <w:tcW w:w="13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414</w:t>
            </w:r>
          </w:p>
        </w:tc>
      </w:tr>
      <w:tr>
        <w:trPr>
          <w:trHeight w:val="183"/>
        </w:trPr>
        <w:tc>
          <w:tcPr>
            <w:tcW w:w="4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Total assets (a)</w:t>
            </w:r>
          </w:p>
        </w:tc>
        <w:tc>
          <w:tcPr>
            <w:tcW w:w="1980" w:type="dxa"/>
            <w:vAlign w:val="bottom"/>
            <w:shd w:val="clear" w:color="auto" w:fill="E5E5E5"/>
          </w:tcPr>
          <w:p>
            <w:pPr>
              <w:jc w:val="right"/>
              <w:ind w:right="688"/>
              <w:spacing w:after="0"/>
              <w:rPr>
                <w:sz w:val="20"/>
                <w:szCs w:val="20"/>
                <w:color w:val="auto"/>
              </w:rPr>
            </w:pPr>
            <w:r>
              <w:rPr>
                <w:rFonts w:ascii="Arial" w:cs="Arial" w:eastAsia="Arial" w:hAnsi="Arial"/>
                <w:sz w:val="14"/>
                <w:szCs w:val="14"/>
                <w:color w:val="auto"/>
              </w:rPr>
              <w:t>$321</w:t>
            </w: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$323</w:t>
            </w:r>
          </w:p>
        </w:tc>
        <w:tc>
          <w:tcPr>
            <w:tcW w:w="1720" w:type="dxa"/>
            <w:vAlign w:val="bottom"/>
            <w:shd w:val="clear" w:color="auto" w:fill="E5E5E5"/>
          </w:tcPr>
          <w:p>
            <w:pPr>
              <w:jc w:val="right"/>
              <w:ind w:right="448"/>
              <w:spacing w:after="0"/>
              <w:rPr>
                <w:sz w:val="20"/>
                <w:szCs w:val="20"/>
                <w:color w:val="auto"/>
              </w:rPr>
            </w:pPr>
            <w:r>
              <w:rPr>
                <w:rFonts w:ascii="Arial" w:cs="Arial" w:eastAsia="Arial" w:hAnsi="Arial"/>
                <w:sz w:val="14"/>
                <w:szCs w:val="14"/>
                <w:color w:val="auto"/>
              </w:rPr>
              <w:t>$615</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$622</w:t>
            </w:r>
          </w:p>
        </w:tc>
        <w:tc>
          <w:tcPr>
            <w:tcW w:w="1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$732</w:t>
            </w:r>
          </w:p>
        </w:tc>
      </w:tr>
      <w:tr>
        <w:trPr>
          <w:trHeight w:val="189"/>
        </w:trPr>
        <w:tc>
          <w:tcPr>
            <w:tcW w:w="4860" w:type="dxa"/>
            <w:vAlign w:val="bottom"/>
          </w:tcPr>
          <w:p>
            <w:pPr>
              <w:ind w:left="140"/>
              <w:spacing w:after="0"/>
              <w:rPr>
                <w:sz w:val="20"/>
                <w:szCs w:val="20"/>
                <w:color w:val="auto"/>
              </w:rPr>
            </w:pPr>
            <w:r>
              <w:rPr>
                <w:rFonts w:ascii="Arial" w:cs="Arial" w:eastAsia="Arial" w:hAnsi="Arial"/>
                <w:sz w:val="14"/>
                <w:szCs w:val="14"/>
                <w:color w:val="auto"/>
              </w:rPr>
              <w:t>Term Loan</w:t>
            </w:r>
          </w:p>
        </w:tc>
        <w:tc>
          <w:tcPr>
            <w:tcW w:w="198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402</w:t>
            </w:r>
          </w:p>
        </w:tc>
      </w:tr>
      <w:tr>
        <w:trPr>
          <w:trHeight w:val="189"/>
        </w:trPr>
        <w:tc>
          <w:tcPr>
            <w:tcW w:w="4860" w:type="dxa"/>
            <w:vAlign w:val="bottom"/>
            <w:tcBorders>
              <w:bottom w:val="single" w:sz="8" w:color="929292"/>
            </w:tcBorders>
            <w:shd w:val="clear" w:color="auto" w:fill="E5E5E5"/>
          </w:tcPr>
          <w:p>
            <w:pPr>
              <w:ind w:left="140"/>
              <w:spacing w:after="0"/>
              <w:rPr>
                <w:sz w:val="20"/>
                <w:szCs w:val="20"/>
                <w:color w:val="auto"/>
              </w:rPr>
            </w:pPr>
            <w:r>
              <w:rPr>
                <w:rFonts w:ascii="Arial" w:cs="Arial" w:eastAsia="Arial" w:hAnsi="Arial"/>
                <w:sz w:val="14"/>
                <w:szCs w:val="14"/>
                <w:color w:val="auto"/>
              </w:rPr>
              <w:t>Other liabilities</w:t>
            </w:r>
          </w:p>
        </w:tc>
        <w:tc>
          <w:tcPr>
            <w:tcW w:w="1980" w:type="dxa"/>
            <w:vAlign w:val="bottom"/>
            <w:tcBorders>
              <w:bottom w:val="single" w:sz="8" w:color="929292"/>
            </w:tcBorders>
            <w:shd w:val="clear" w:color="auto" w:fill="E5E5E5"/>
          </w:tcPr>
          <w:p>
            <w:pPr>
              <w:jc w:val="right"/>
              <w:ind w:right="688"/>
              <w:spacing w:after="0"/>
              <w:rPr>
                <w:sz w:val="20"/>
                <w:szCs w:val="20"/>
                <w:color w:val="auto"/>
              </w:rPr>
            </w:pPr>
            <w:r>
              <w:rPr>
                <w:rFonts w:ascii="Arial" w:cs="Arial" w:eastAsia="Arial" w:hAnsi="Arial"/>
                <w:sz w:val="14"/>
                <w:szCs w:val="14"/>
                <w:color w:val="auto"/>
              </w:rPr>
              <w:t>12</w:t>
            </w:r>
          </w:p>
        </w:tc>
        <w:tc>
          <w:tcPr>
            <w:tcW w:w="520" w:type="dxa"/>
            <w:vAlign w:val="bottom"/>
            <w:tcBorders>
              <w:bottom w:val="single" w:sz="8" w:color="929292"/>
            </w:tcBorders>
            <w:shd w:val="clear" w:color="auto" w:fill="E5E5E5"/>
          </w:tcPr>
          <w:p>
            <w:pPr>
              <w:jc w:val="right"/>
              <w:spacing w:after="0"/>
              <w:rPr>
                <w:sz w:val="20"/>
                <w:szCs w:val="20"/>
                <w:color w:val="auto"/>
              </w:rPr>
            </w:pPr>
            <w:r>
              <w:rPr>
                <w:rFonts w:ascii="Arial" w:cs="Arial" w:eastAsia="Arial" w:hAnsi="Arial"/>
                <w:sz w:val="14"/>
                <w:szCs w:val="14"/>
                <w:color w:val="auto"/>
              </w:rPr>
              <w:t>13</w:t>
            </w:r>
          </w:p>
        </w:tc>
        <w:tc>
          <w:tcPr>
            <w:tcW w:w="1720" w:type="dxa"/>
            <w:vAlign w:val="bottom"/>
            <w:tcBorders>
              <w:bottom w:val="single" w:sz="8" w:color="929292"/>
            </w:tcBorders>
            <w:shd w:val="clear" w:color="auto" w:fill="E5E5E5"/>
          </w:tcPr>
          <w:p>
            <w:pPr>
              <w:jc w:val="right"/>
              <w:ind w:right="448"/>
              <w:spacing w:after="0"/>
              <w:rPr>
                <w:sz w:val="20"/>
                <w:szCs w:val="20"/>
                <w:color w:val="auto"/>
              </w:rPr>
            </w:pPr>
            <w:r>
              <w:rPr>
                <w:rFonts w:ascii="Arial" w:cs="Arial" w:eastAsia="Arial" w:hAnsi="Arial"/>
                <w:sz w:val="14"/>
                <w:szCs w:val="14"/>
                <w:color w:val="auto"/>
              </w:rPr>
              <w:t>76</w:t>
            </w:r>
          </w:p>
        </w:tc>
        <w:tc>
          <w:tcPr>
            <w:tcW w:w="680" w:type="dxa"/>
            <w:vAlign w:val="bottom"/>
            <w:tcBorders>
              <w:bottom w:val="single" w:sz="8" w:color="929292"/>
            </w:tcBorders>
            <w:shd w:val="clear" w:color="auto" w:fill="E5E5E5"/>
          </w:tcPr>
          <w:p>
            <w:pPr>
              <w:jc w:val="right"/>
              <w:spacing w:after="0"/>
              <w:rPr>
                <w:sz w:val="20"/>
                <w:szCs w:val="20"/>
                <w:color w:val="auto"/>
              </w:rPr>
            </w:pPr>
            <w:r>
              <w:rPr>
                <w:rFonts w:ascii="Arial" w:cs="Arial" w:eastAsia="Arial" w:hAnsi="Arial"/>
                <w:sz w:val="14"/>
                <w:szCs w:val="14"/>
                <w:color w:val="auto"/>
              </w:rPr>
              <w:t>71</w:t>
            </w:r>
          </w:p>
        </w:tc>
        <w:tc>
          <w:tcPr>
            <w:tcW w:w="1300" w:type="dxa"/>
            <w:vAlign w:val="bottom"/>
            <w:tcBorders>
              <w:bottom w:val="single" w:sz="8" w:color="929292"/>
            </w:tcBorders>
            <w:shd w:val="clear" w:color="auto" w:fill="E5E5E5"/>
          </w:tcPr>
          <w:p>
            <w:pPr>
              <w:jc w:val="right"/>
              <w:spacing w:after="0"/>
              <w:rPr>
                <w:sz w:val="20"/>
                <w:szCs w:val="20"/>
                <w:color w:val="auto"/>
              </w:rPr>
            </w:pPr>
            <w:r>
              <w:rPr>
                <w:rFonts w:ascii="Arial" w:cs="Arial" w:eastAsia="Arial" w:hAnsi="Arial"/>
                <w:sz w:val="14"/>
                <w:szCs w:val="14"/>
                <w:color w:val="auto"/>
              </w:rPr>
              <w:t>115</w:t>
            </w:r>
          </w:p>
        </w:tc>
      </w:tr>
      <w:tr>
        <w:trPr>
          <w:trHeight w:val="182"/>
        </w:trPr>
        <w:tc>
          <w:tcPr>
            <w:tcW w:w="4860" w:type="dxa"/>
            <w:vAlign w:val="bottom"/>
            <w:tcBorders>
              <w:bottom w:val="single" w:sz="8" w:color="5E5E61"/>
            </w:tcBorders>
          </w:tcPr>
          <w:p>
            <w:pPr>
              <w:ind w:left="20"/>
              <w:spacing w:after="0"/>
              <w:rPr>
                <w:sz w:val="20"/>
                <w:szCs w:val="20"/>
                <w:color w:val="auto"/>
              </w:rPr>
            </w:pPr>
            <w:r>
              <w:rPr>
                <w:rFonts w:ascii="Arial" w:cs="Arial" w:eastAsia="Arial" w:hAnsi="Arial"/>
                <w:sz w:val="14"/>
                <w:szCs w:val="14"/>
                <w:color w:val="auto"/>
              </w:rPr>
              <w:t>Total liabilities (b)</w:t>
            </w:r>
          </w:p>
        </w:tc>
        <w:tc>
          <w:tcPr>
            <w:tcW w:w="1980" w:type="dxa"/>
            <w:vAlign w:val="bottom"/>
            <w:tcBorders>
              <w:bottom w:val="single" w:sz="8" w:color="5E5E61"/>
            </w:tcBorders>
          </w:tcPr>
          <w:p>
            <w:pPr>
              <w:jc w:val="right"/>
              <w:ind w:right="688"/>
              <w:spacing w:after="0"/>
              <w:rPr>
                <w:sz w:val="20"/>
                <w:szCs w:val="20"/>
                <w:color w:val="auto"/>
              </w:rPr>
            </w:pPr>
            <w:r>
              <w:rPr>
                <w:rFonts w:ascii="Arial" w:cs="Arial" w:eastAsia="Arial" w:hAnsi="Arial"/>
                <w:sz w:val="14"/>
                <w:szCs w:val="14"/>
                <w:color w:val="auto"/>
              </w:rPr>
              <w:t>$12</w:t>
            </w:r>
          </w:p>
        </w:tc>
        <w:tc>
          <w:tcPr>
            <w:tcW w:w="520" w:type="dxa"/>
            <w:vAlign w:val="bottom"/>
            <w:tcBorders>
              <w:bottom w:val="single" w:sz="8" w:color="5E5E61"/>
            </w:tcBorders>
          </w:tcPr>
          <w:p>
            <w:pPr>
              <w:jc w:val="right"/>
              <w:spacing w:after="0"/>
              <w:rPr>
                <w:sz w:val="20"/>
                <w:szCs w:val="20"/>
                <w:color w:val="auto"/>
              </w:rPr>
            </w:pPr>
            <w:r>
              <w:rPr>
                <w:rFonts w:ascii="Arial" w:cs="Arial" w:eastAsia="Arial" w:hAnsi="Arial"/>
                <w:sz w:val="14"/>
                <w:szCs w:val="14"/>
                <w:color w:val="auto"/>
              </w:rPr>
              <w:t>$13</w:t>
            </w:r>
          </w:p>
        </w:tc>
        <w:tc>
          <w:tcPr>
            <w:tcW w:w="1720" w:type="dxa"/>
            <w:vAlign w:val="bottom"/>
            <w:tcBorders>
              <w:bottom w:val="single" w:sz="8" w:color="5E5E61"/>
            </w:tcBorders>
          </w:tcPr>
          <w:p>
            <w:pPr>
              <w:jc w:val="right"/>
              <w:ind w:right="448"/>
              <w:spacing w:after="0"/>
              <w:rPr>
                <w:sz w:val="20"/>
                <w:szCs w:val="20"/>
                <w:color w:val="auto"/>
              </w:rPr>
            </w:pPr>
            <w:r>
              <w:rPr>
                <w:rFonts w:ascii="Arial" w:cs="Arial" w:eastAsia="Arial" w:hAnsi="Arial"/>
                <w:sz w:val="14"/>
                <w:szCs w:val="14"/>
                <w:color w:val="auto"/>
              </w:rPr>
              <w:t>$76</w:t>
            </w:r>
          </w:p>
        </w:tc>
        <w:tc>
          <w:tcPr>
            <w:tcW w:w="680" w:type="dxa"/>
            <w:vAlign w:val="bottom"/>
            <w:tcBorders>
              <w:bottom w:val="single" w:sz="8" w:color="5E5E61"/>
            </w:tcBorders>
          </w:tcPr>
          <w:p>
            <w:pPr>
              <w:jc w:val="right"/>
              <w:spacing w:after="0"/>
              <w:rPr>
                <w:sz w:val="20"/>
                <w:szCs w:val="20"/>
                <w:color w:val="auto"/>
              </w:rPr>
            </w:pPr>
            <w:r>
              <w:rPr>
                <w:rFonts w:ascii="Arial" w:cs="Arial" w:eastAsia="Arial" w:hAnsi="Arial"/>
                <w:sz w:val="14"/>
                <w:szCs w:val="14"/>
                <w:color w:val="auto"/>
              </w:rPr>
              <w:t>$71</w:t>
            </w:r>
          </w:p>
        </w:tc>
        <w:tc>
          <w:tcPr>
            <w:tcW w:w="1300" w:type="dxa"/>
            <w:vAlign w:val="bottom"/>
            <w:tcBorders>
              <w:bottom w:val="single" w:sz="8" w:color="5E5E61"/>
            </w:tcBorders>
          </w:tcPr>
          <w:p>
            <w:pPr>
              <w:jc w:val="right"/>
              <w:spacing w:after="0"/>
              <w:rPr>
                <w:sz w:val="20"/>
                <w:szCs w:val="20"/>
                <w:color w:val="auto"/>
              </w:rPr>
            </w:pPr>
            <w:r>
              <w:rPr>
                <w:rFonts w:ascii="Arial" w:cs="Arial" w:eastAsia="Arial" w:hAnsi="Arial"/>
                <w:sz w:val="14"/>
                <w:szCs w:val="14"/>
                <w:color w:val="auto"/>
              </w:rPr>
              <w:t>$517</w:t>
            </w:r>
          </w:p>
        </w:tc>
      </w:tr>
    </w:tbl>
    <w:p>
      <w:pPr>
        <w:spacing w:after="0" w:line="99" w:lineRule="exact"/>
        <w:rPr>
          <w:sz w:val="20"/>
          <w:szCs w:val="20"/>
          <w:color w:val="auto"/>
        </w:rPr>
      </w:pPr>
    </w:p>
    <w:p>
      <w:pPr>
        <w:ind w:left="360" w:hanging="312"/>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assets of the Tax Equity Projects and CED Nevada Virginia represent assets of a consolidated VIE that can be used only to settle obligations of the consolidated VIE.</w:t>
      </w:r>
    </w:p>
    <w:p>
      <w:pPr>
        <w:spacing w:after="0" w:line="1" w:lineRule="exact"/>
        <w:rPr>
          <w:rFonts w:ascii="Arial" w:cs="Arial" w:eastAsia="Arial" w:hAnsi="Arial"/>
          <w:sz w:val="14"/>
          <w:szCs w:val="14"/>
          <w:color w:val="auto"/>
        </w:rPr>
      </w:pPr>
    </w:p>
    <w:p>
      <w:pPr>
        <w:ind w:left="380" w:right="160" w:hanging="332"/>
        <w:spacing w:after="0" w:line="241" w:lineRule="auto"/>
        <w:tabs>
          <w:tab w:leader="none" w:pos="36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liabilities of the Tax Equity Projects and CED Nevada Virginia represent liabilities of a consolidated VIE for which creditors do not have recourse to the general credit of the primary beneficiary.</w:t>
      </w:r>
    </w:p>
    <w:p>
      <w:pPr>
        <w:ind w:left="360" w:hanging="312"/>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 Edison did not provide any financial or other support during the year that was not previously contractually required.</w:t>
      </w:r>
    </w:p>
    <w:p>
      <w:pPr>
        <w:spacing w:after="0" w:line="1" w:lineRule="exact"/>
        <w:rPr>
          <w:rFonts w:ascii="Arial" w:cs="Arial" w:eastAsia="Arial" w:hAnsi="Arial"/>
          <w:sz w:val="14"/>
          <w:szCs w:val="14"/>
          <w:color w:val="auto"/>
        </w:rPr>
      </w:pPr>
    </w:p>
    <w:p>
      <w:pPr>
        <w:ind w:left="380" w:right="100" w:hanging="332"/>
        <w:spacing w:after="0" w:line="241" w:lineRule="auto"/>
        <w:tabs>
          <w:tab w:leader="none" w:pos="367" w:val="left"/>
        </w:tabs>
        <w:numPr>
          <w:ilvl w:val="0"/>
          <w:numId w:val="17"/>
        </w:numPr>
        <w:rPr>
          <w:rFonts w:ascii="Arial" w:cs="Arial" w:eastAsia="Arial" w:hAnsi="Arial"/>
          <w:sz w:val="14"/>
          <w:szCs w:val="14"/>
          <w:color w:val="auto"/>
        </w:rPr>
      </w:pPr>
      <w:r>
        <w:rPr>
          <w:rFonts w:ascii="Arial" w:cs="Arial" w:eastAsia="Arial" w:hAnsi="Arial"/>
          <w:sz w:val="14"/>
          <w:szCs w:val="14"/>
          <w:color w:val="auto"/>
        </w:rPr>
        <w:t>Great Valley Solar consists of the Great Valley Solar 1, Great Valley Solar 2, Great Valley Solar 3 and Great Valley Solar 4 projects, for which the noncontrolling interest of the tax equity investor was $90 million and $82 million at June 30, 2021 and December 31, 2020, respectively.</w:t>
      </w:r>
    </w:p>
    <w:p>
      <w:pPr>
        <w:ind w:left="380" w:right="60" w:hanging="332"/>
        <w:spacing w:after="0" w:line="241" w:lineRule="auto"/>
        <w:tabs>
          <w:tab w:leader="none" w:pos="367"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Copper Mountain - Mesquite Solar consists of the Copper Mountain Solar 4, Mesquite Solar 2 and Mesquite Solar 3 projects for which the noncontrolling interest of the tax equity investor was $126 million and $134 million at June 30, 2021 and December 31, 2020, respectively.</w:t>
      </w:r>
    </w:p>
    <w:p>
      <w:pPr>
        <w:ind w:left="380" w:right="100" w:hanging="332"/>
        <w:spacing w:after="0" w:line="241" w:lineRule="auto"/>
        <w:tabs>
          <w:tab w:leader="none" w:pos="367"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Non-utility property is reduced by accumulated depreciation of $22 million for Great Valley Solar, $37 million for Copper Mountain - Mesquite Solar, and $1 million for CED Nevada Virginia at June 30, 2021.</w:t>
      </w:r>
    </w:p>
    <w:p>
      <w:pPr>
        <w:ind w:left="380" w:right="260" w:hanging="332"/>
        <w:spacing w:after="0" w:line="241" w:lineRule="auto"/>
        <w:tabs>
          <w:tab w:leader="none" w:pos="367"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Non-utility property is reduced by accumulated depreciation of $18 million for Great Valley Solar and $30 million for Copper Mountain - Mesquite Solar at December 31, 2020.</w:t>
      </w:r>
    </w:p>
    <w:p>
      <w:pPr>
        <w:ind w:left="380" w:right="20" w:hanging="332"/>
        <w:spacing w:after="0" w:line="258" w:lineRule="auto"/>
        <w:tabs>
          <w:tab w:leader="none" w:pos="367" w:val="left"/>
        </w:tabs>
        <w:numPr>
          <w:ilvl w:val="0"/>
          <w:numId w:val="17"/>
        </w:numPr>
        <w:rPr>
          <w:rFonts w:ascii="Arial" w:cs="Arial" w:eastAsia="Arial" w:hAnsi="Arial"/>
          <w:sz w:val="14"/>
          <w:szCs w:val="14"/>
          <w:color w:val="auto"/>
        </w:rPr>
      </w:pPr>
      <w:r>
        <w:rPr>
          <w:rFonts w:ascii="Arial" w:cs="Arial" w:eastAsia="Arial" w:hAnsi="Arial"/>
          <w:sz w:val="14"/>
          <w:szCs w:val="14"/>
          <w:color w:val="auto"/>
        </w:rPr>
        <w:t>CED Nevada Virginia consists of the Copper Mountain Solar 5, Battle Mountain Solar and Water Strider Solar projects for which the noncontrolling interest of the tax equity investor was $92 million at June 30, 2021.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Note Q – New Financial Accounting Standards</w:t>
      </w:r>
    </w:p>
    <w:p>
      <w:pPr>
        <w:spacing w:after="0" w:line="3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(ASU 2020-04). In 2017, the United Kingdom’s Financial Conduct Authority announced that it intends to stop persuading or compelling banks to submit the London Interbank Offered Rate (LIBOR), a benchmark interest rate referenced in a variety of agreements, after 2021. In March 2021, the United Kingdom's Financial Conduct Authority confirmed that U.S. Dollar LIBOR will no longer be published after December 31, 2021 for one-week and two-month U.S. Dollar LIBOR tenors, and after June 30, 2023 for all other U.S. Dollar LIBOR tenors. ASU 2020-04 provides entities with optional expedients and exceptions for applying generally accepted accounting principles to contract modifications and hedging relationships, subject to meeting</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0" w:name="page51"/>
    <w:bookmarkEnd w:id="50"/>
    <w:p>
      <w:pPr>
        <w:ind w:right="60"/>
        <w:spacing w:after="0" w:line="252" w:lineRule="auto"/>
        <w:rPr>
          <w:sz w:val="20"/>
          <w:szCs w:val="20"/>
          <w:color w:val="auto"/>
        </w:rPr>
      </w:pPr>
      <w:r>
        <w:rPr>
          <w:rFonts w:ascii="Arial" w:cs="Arial" w:eastAsia="Arial" w:hAnsi="Arial"/>
          <w:sz w:val="18"/>
          <w:szCs w:val="18"/>
          <w:color w:val="auto"/>
        </w:rPr>
        <w:t>certain criteria, that reference LIBOR or another reference rate expected to be discontinued. In January 2021, the FASB issued amendments to the guidance through ASU 2021-01 to include all contract modifications and hedging relationships affected by reference rate reform, including those that do not directly reference LIBOR or another reference rate expected to be discontinued, and clarify which optional expedients may be applied to them. The guidance can be applied prospectively. The optional relief is temporary and generally cannot be applied to contract modifications and hedging relationships entered into or evaluated after December 31, 2022. The Companies do not expect the new guidance to have a material impact on their financial position, results of operations or liquidity.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Note R – Dispositions</w:t>
      </w:r>
    </w:p>
    <w:p>
      <w:pPr>
        <w:spacing w:after="0" w:line="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April 2021, a subsidiary of the Clean Energy Businesses entered into an agreement to sell substantially all of its membership interests in a renewable electric project that it developed and also all of its membership interests in a renewable electric production project that it acquired in 2016. The sales were completed in June 2021. The combined carrying value of both projects was approximately $180 million in June 2021. The net pre-tax gain on the sales was $3 million ($2 million after-tax) and was included within "Other operations and maintenance" on Con Edison's consolidated income statements for the three and six months ended June 30, 2021. The retained portion of the membership interest in the renewable electric project, of $11 million, is calculated based on a discounted cash flow of future projected earnings, and is accounted for as an equity method investment. The portion of the gain attributable to the retained portion of the membership interest was not material for the three and six months ended June 30, 2021. See Note P.</w:t>
      </w:r>
    </w:p>
    <w:p>
      <w:pPr>
        <w:spacing w:after="0" w:line="23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July 2021, a subsidiary of CET Gas and its joint venture partner completed the first of two closings for the sale of their combined interests in Stagecoach. The first closing was completed for a total sale price of $1,195 million, of which $614 million, including working capital, was attributed to CET Gas. At June 30, 2021, Con Edison recorded an impairment charge of $39 million before tax ($27 million after-tax) representing the difference between the carrying amount of its investment in Stagecoach and the estimated sales proceeds from both closings. See "Investments" in Note A.</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3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This combined management’s discussion and analysis of financial condition and results of operations (MD&amp;A) relates to the consolidated financial statements (the Second Quarter Financial Statements) included in this report of two separate registrants: Consolidated Edison, Inc. (Con Edison) and Consolidated Edison Company of New York, Inc. (CECONY). As used in this report, the term the “Companies” refers to Con Edison and CECONY. CECONY is a subsidiary of Con Edison and, as such, information in this management’s discussion and analysis about CECONY applies to Con Edison.</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MD&amp;A should be read in conjunction with the Second Quarter Financial Statements and the notes thereto and the MD&amp;A in Item 7 of the Companies’ combined Annual Report on Form 10-K for the year ended December 31, 2020 (File Nos. 1-14514 and 1-1217, the Form 10-K) and the MD&amp;A in Part 1, Item 2 of the Companies' combined Quarterly Report on Form 10-Q for the quarterly period ended March 31, 2021 (File Nos. 1-14514 and 1-1217).</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Information in any item of this report referred to in this discussion and analysis is incorporated by reference herein. The use of terms such as “see” or “refer to” shall be deemed to incorporate by reference into this discussion and analysis the information to which reference is made.</w:t>
      </w:r>
    </w:p>
    <w:p>
      <w:pPr>
        <w:spacing w:after="0" w:line="20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Con Edison, incorporated in New York State in 1997, is a holding company that owns all of the outstanding common stock of CECONY, Orange and Rockland Utilities, Inc. (O&amp;R), Con Edison Clean Energy Businesses, Inc. and Con Edison Transmission, Inc. As used in this report, the term the “Utilities” refers to CECONY and O&amp;R.</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9"/>
          <w:szCs w:val="29"/>
          <w:b w:val="1"/>
          <w:bCs w:val="1"/>
          <w:color w:val="auto"/>
        </w:rPr>
        <w:t>Con Edison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-194310</wp:posOffset>
            </wp:positionV>
            <wp:extent cx="1800225" cy="23114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800225" cy="231140"/>
                    </a:xfrm>
                    <a:prstGeom prst="rect">
                      <a:avLst/>
                    </a:prstGeom>
                    <a:noFill/>
                  </pic:spPr>
                </pic:pic>
              </a:graphicData>
            </a:graphic>
          </wp:anchor>
        </w:drawing>
      </w:r>
    </w:p>
    <w:p>
      <w:pPr>
        <w:spacing w:after="0" w:line="24" w:lineRule="exact"/>
        <w:rPr>
          <w:sz w:val="20"/>
          <w:szCs w:val="20"/>
          <w:color w:val="auto"/>
        </w:rPr>
      </w:pPr>
    </w:p>
    <w:tbl>
      <w:tblPr>
        <w:tblLayout w:type="fixed"/>
        <w:tblInd w:w="110" w:type="dxa"/>
        <w:tblCellMar>
          <w:top w:w="0" w:type="dxa"/>
          <w:left w:w="0" w:type="dxa"/>
          <w:bottom w:w="0" w:type="dxa"/>
          <w:right w:w="0" w:type="dxa"/>
        </w:tblCellMar>
      </w:tblPr>
      <w:tr>
        <w:trPr>
          <w:trHeight w:val="527"/>
        </w:trPr>
        <w:tc>
          <w:tcPr>
            <w:tcW w:w="13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right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r>
      <w:tr>
        <w:trPr>
          <w:trHeight w:val="513"/>
        </w:trPr>
        <w:tc>
          <w:tcPr>
            <w:tcW w:w="13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52"/>
        </w:trPr>
        <w:tc>
          <w:tcPr>
            <w:tcW w:w="2600" w:type="dxa"/>
            <w:vAlign w:val="bottom"/>
            <w:tcBorders>
              <w:left w:val="single" w:sz="8" w:color="auto"/>
              <w:right w:val="single" w:sz="8" w:color="auto"/>
            </w:tcBorders>
            <w:gridSpan w:val="2"/>
          </w:tcPr>
          <w:p>
            <w:pPr>
              <w:ind w:left="880"/>
              <w:spacing w:after="0"/>
              <w:rPr>
                <w:sz w:val="20"/>
                <w:szCs w:val="20"/>
                <w:color w:val="auto"/>
              </w:rPr>
            </w:pPr>
            <w:r>
              <w:rPr>
                <w:rFonts w:ascii="Arial" w:cs="Arial" w:eastAsia="Arial" w:hAnsi="Arial"/>
                <w:sz w:val="20"/>
                <w:szCs w:val="20"/>
                <w:b w:val="1"/>
                <w:bCs w:val="1"/>
                <w:color w:val="auto"/>
              </w:rPr>
              <w:t>CECONY</w:t>
            </w:r>
          </w:p>
        </w:tc>
        <w:tc>
          <w:tcPr>
            <w:tcW w:w="20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Borders>
              <w:right w:val="single" w:sz="8" w:color="auto"/>
            </w:tcBorders>
            <w:gridSpan w:val="2"/>
          </w:tcPr>
          <w:p>
            <w:pPr>
              <w:ind w:left="740"/>
              <w:spacing w:after="0"/>
              <w:rPr>
                <w:sz w:val="20"/>
                <w:szCs w:val="20"/>
                <w:color w:val="auto"/>
              </w:rPr>
            </w:pPr>
            <w:r>
              <w:rPr>
                <w:rFonts w:ascii="Arial" w:cs="Arial" w:eastAsia="Arial" w:hAnsi="Arial"/>
                <w:sz w:val="20"/>
                <w:szCs w:val="20"/>
                <w:b w:val="1"/>
                <w:bCs w:val="1"/>
                <w:color w:val="auto"/>
              </w:rPr>
              <w:t>O&amp;R</w:t>
            </w:r>
          </w:p>
        </w:tc>
        <w:tc>
          <w:tcPr>
            <w:tcW w:w="220" w:type="dxa"/>
            <w:vAlign w:val="bottom"/>
            <w:tcBorders>
              <w:right w:val="single" w:sz="8" w:color="auto"/>
            </w:tcBorders>
          </w:tcPr>
          <w:p>
            <w:pPr>
              <w:spacing w:after="0"/>
              <w:rPr>
                <w:sz w:val="21"/>
                <w:szCs w:val="21"/>
                <w:color w:val="auto"/>
              </w:rPr>
            </w:pPr>
          </w:p>
        </w:tc>
        <w:tc>
          <w:tcPr>
            <w:tcW w:w="26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b w:val="1"/>
                <w:bCs w:val="1"/>
                <w:color w:val="auto"/>
              </w:rPr>
              <w:t>Clean Energy Businesses</w:t>
            </w:r>
          </w:p>
        </w:tc>
        <w:tc>
          <w:tcPr>
            <w:tcW w:w="200" w:type="dxa"/>
            <w:vAlign w:val="bottom"/>
            <w:tcBorders>
              <w:right w:val="single" w:sz="8" w:color="auto"/>
            </w:tcBorders>
          </w:tcPr>
          <w:p>
            <w:pPr>
              <w:spacing w:after="0"/>
              <w:rPr>
                <w:sz w:val="21"/>
                <w:szCs w:val="21"/>
                <w:color w:val="auto"/>
              </w:rPr>
            </w:pPr>
          </w:p>
        </w:tc>
        <w:tc>
          <w:tcPr>
            <w:tcW w:w="2620" w:type="dxa"/>
            <w:vAlign w:val="bottom"/>
            <w:tcBorders>
              <w:right w:val="single" w:sz="8" w:color="auto"/>
            </w:tcBorders>
            <w:gridSpan w:val="3"/>
          </w:tcPr>
          <w:p>
            <w:pPr>
              <w:ind w:left="80"/>
              <w:spacing w:after="0"/>
              <w:rPr>
                <w:sz w:val="20"/>
                <w:szCs w:val="20"/>
                <w:color w:val="auto"/>
              </w:rPr>
            </w:pPr>
            <w:r>
              <w:rPr>
                <w:rFonts w:ascii="Arial" w:cs="Arial" w:eastAsia="Arial" w:hAnsi="Arial"/>
                <w:sz w:val="20"/>
                <w:szCs w:val="20"/>
                <w:b w:val="1"/>
                <w:bCs w:val="1"/>
                <w:color w:val="auto"/>
              </w:rPr>
              <w:t>Con Edison Transmission</w:t>
            </w:r>
          </w:p>
        </w:tc>
      </w:tr>
      <w:tr>
        <w:trPr>
          <w:trHeight w:val="195"/>
        </w:trPr>
        <w:tc>
          <w:tcPr>
            <w:tcW w:w="1320" w:type="dxa"/>
            <w:vAlign w:val="bottom"/>
            <w:tcBorders>
              <w:lef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22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RECO</w:t>
            </w:r>
          </w:p>
        </w:tc>
        <w:tc>
          <w:tcPr>
            <w:tcW w:w="22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228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CET Electric</w:t>
            </w:r>
          </w:p>
        </w:tc>
      </w:tr>
      <w:tr>
        <w:trPr>
          <w:trHeight w:val="219"/>
        </w:trPr>
        <w:tc>
          <w:tcPr>
            <w:tcW w:w="1320" w:type="dxa"/>
            <w:vAlign w:val="bottom"/>
            <w:tcBorders>
              <w:left w:val="single" w:sz="8" w:color="auto"/>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CET Gas</w:t>
            </w:r>
          </w:p>
        </w:tc>
      </w:tr>
    </w:tbl>
    <w:p>
      <w:pPr>
        <w:spacing w:after="0" w:line="31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Con Edison’s principal business operations are those of CECONY, O&amp;R, the Clean Energy Businesses and Con Edison Transmission. CECONY’s principal business operations are its regulated electric, gas and steam delivery businesses. O&amp;R’s principal business operations are its regulated electric and gas delivery businesses. The Clean Energy Businesses develop, own and operate renewable and sustainable energy infrastructure projects and provide energy-related products and services to wholesale and retail customers. Con Edison Transmission invests in and seeks to develop electric transmission projects and manages, through joint ventures, both electric and gas assets.</w:t>
      </w:r>
    </w:p>
    <w:p>
      <w:pPr>
        <w:spacing w:after="0" w:line="23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Con Edison seeks to provide shareholder value through continued dividend growth, supported by earnings growth in regulated utilities and contracted electric and gas assets. The company invests to provide reliable, resilient, safe and clean energy critical for its New York customers. The company is an industry leading owner and operator of contracted, large-scale solar generation in the United States. Con Edison is a responsible neighbor, helping the communities it serves become more sustainable.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CECONY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w:t>
      </w:r>
    </w:p>
    <w:p>
      <w:pPr>
        <w:spacing w:after="0" w:line="7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CECONY provides electric service to approximately 3.5 million customers in all of New York City (except a part of Queens) and most of Westchester County, an approximately 660 square mile service area with a population of more than nine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Electric Supply</w:t>
      </w:r>
    </w:p>
    <w:p>
      <w:pPr>
        <w:spacing w:after="0" w:line="18"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In 2019, the New York State Department of Environmental Conservation (NYSDEC) issued regulations that may require the retirement or seasonal unavailability of fossil-fueled electric generating units owned by CECONY and others in New York City. The NYSDEC rule limits nitrous oxides (NOx) emissions during the ozone season from May through September and affects older peaking units that are generally located downstate and needed during periods of high electric demand or for local reliability purposes. Compliance with the rule will require affected units (approximately 1,400 MW in CECONY's service territory, of which 65 MW is owned by CECONY) to cease operation during the ozone season, install emission controls, repower, or retire by 2023 or 2025. The NYISO, in its 2020 Reliability Needs Assessment study that was approved by the NYISO board, reported local and bulk transmission system reliability needs that are expected to be caused by the retirement or unavailability of some of the impacted units. In January 2021, CECONY updated its Local Transmission Plan (LTP) to address the identified reliability needs on its local system through the construction of three transmission projects, the Reliable Clean City (RCC) projects. In addition, CECONY continues to monitor forecasted system voltage performance and if a need for support persists in the forecast, CECONY will propose solutions in a subsequent LTP update. CECONY estimates that the costs of the RCC projects to solve the local reliability needs to be approximately $780 million over four years. In April 2021, the NYSPSC approved CECONY’s December 2020 petition to recover $780 million of costs to construct the RCC projects to solve the local reliability needs.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CECONY delivers gas to approximately 1.1 million customers in Manhattan, the Bronx, parts of Queens and most of Westchester County.</w:t>
      </w:r>
    </w:p>
    <w:p>
      <w:pPr>
        <w:spacing w:after="0" w:line="33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May 2021, CECONY decreased its five-year forecast of average annual growth of the firm peak gas demand in its service area at design conditions from approximately 1.4 percent (for 2021 to 2025) to approximately 1.3 percent (for 2022 to 2026). The slight decrease reflects the negative impact that the current economy and lingering effects of the COVID-19 pandemic is expected to have on large new construction, usage from existing large customers, as well as the projected number of applications for firm gas service in CECONY's service territory. The decrease also reflects an expected increase in customers’ energy efficiency measures and electrification of space heating.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Steam</w:t>
      </w:r>
    </w:p>
    <w:p>
      <w:pPr>
        <w:spacing w:after="0" w:line="7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CECONY operates the largest steam distribution system in the United States by producing and delivering approximately 17,132 MMlb of steam annually to approximately 1,563 customers in parts of Manhattan.</w:t>
      </w:r>
    </w:p>
    <w:p>
      <w:pPr>
        <w:spacing w:after="0" w:line="238" w:lineRule="exact"/>
        <w:rPr>
          <w:sz w:val="20"/>
          <w:szCs w:val="20"/>
          <w:color w:val="auto"/>
        </w:rPr>
      </w:pPr>
    </w:p>
    <w:p>
      <w:pPr>
        <w:ind w:right="440"/>
        <w:spacing w:after="0" w:line="229" w:lineRule="auto"/>
        <w:rPr>
          <w:sz w:val="20"/>
          <w:szCs w:val="20"/>
          <w:color w:val="auto"/>
        </w:rPr>
      </w:pPr>
      <w:r>
        <w:rPr>
          <w:rFonts w:ascii="Arial" w:cs="Arial" w:eastAsia="Arial" w:hAnsi="Arial"/>
          <w:sz w:val="18"/>
          <w:szCs w:val="18"/>
          <w:color w:val="auto"/>
        </w:rPr>
        <w:t>In June 2021, CECONY changed its five-year forecast of average annual growth in the peak steam demand in its service area at design conditions from a 0.4 percent decrease to a 0.1 percent increase (for 2022 to 2026), as steam sales are expected to recover from the decrease in customer usage during the COVID-19 pandemic.</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O&amp;R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w:t>
      </w:r>
    </w:p>
    <w:p>
      <w:pPr>
        <w:spacing w:after="0" w:line="58"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O&amp;R and its utility subsidiary, Rockland Electric Company (RECO) (together referred to herein as O&amp;R) provide electric service to approximately 0.3 million customers in southeastern New York and northern New Jersey, an approximately 1,300 square mile service area.</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O&amp;R delivers gas to over 0.1 million customers in southeastern New York.</w:t>
      </w:r>
    </w:p>
    <w:p>
      <w:pPr>
        <w:spacing w:after="0" w:line="320"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color w:val="auto"/>
        </w:rPr>
        <w:t>In May 2021, O&amp;R decreased its five-year forecast of average annual growth of the firm peak gas demand in its service area at design conditions from approximately 0.2 percent (for 2021 to 2025) to approximately 0.1 percent (for 2022 to 2026). The decrease reflects an expected increase in customers' energy efficiency measures and electrification of space heating.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Clean Energy Businesses</w:t>
      </w:r>
    </w:p>
    <w:p>
      <w:pPr>
        <w:spacing w:after="0" w:line="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Con Edison Clean Energy Businesses, Inc., together with its subsidiaries, are referred to in this report as the Clean Energy Businesses. The Clean Energy Businesses develop, own and operate renewable and sustainable energy infrastructure projects and provide energy-related products and services to wholesale and retail customers.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8C8272"/>
        </w:rPr>
        <w:t>Con Edison Transmission</w:t>
      </w:r>
    </w:p>
    <w:p>
      <w:pPr>
        <w:spacing w:after="0" w:line="18"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Con Edison Transmission, Inc. invests in electric transmission projects and manages, through joint ventures, both electric and gas assets while seeking to develop electric transmission projects through its wholly-owned subsidiaries, Consolidated Edison Transmission, LLC (CET Electric) and Con Edison Gas Pipeline and Storage, LLC (CET Gas). CET Electric owns a 45.7 percent interest in New York Transco LLC, which owns and has been selected to build additional electric transmission assets in New York. In May 2021, a CET Gas subsidiary entered into a purchase and sale agreement pursuant to which it agreed to sell its 50 percent interest in Stagecoach Gas Services LLC (Stagecoach), a joint venture that owned and operated an existing gas pipeline and storage business located in northeastern Pennsylvania and the southern tier of New York, and in July 2021 the transaction was substantially completed. See "Investments" in Note A and Note R to the Second Quarter Financial Statements. Also, CET Gas and CECONY own 71.2 percent and 28.8 percent interests, respectively, in Honeoye Storage Corporation, which operates a gas storage facility in upstate New York. In addition, CET Gas owns a 10.9 percent interest (that is expected to be reduced to 8.5 percent based on the current project cost estimate and CET Gas’ previous capping of its cash contributions to the joint venture) in Mountain Valley Pipeline LLC (MVP), a joint venture developing a proposed 300-mile gas transmission project in West Virginia and Virginia. Con Edison Transmission, Inc., together with CET Electric and CET Gas, are referred to in this report as Con Edison Transmission.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Certain financial data of Con Edison’s businesses are presented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600" w:type="dxa"/>
            <w:vAlign w:val="bottom"/>
          </w:tcPr>
          <w:p>
            <w:pPr>
              <w:spacing w:after="0"/>
              <w:rPr>
                <w:sz w:val="14"/>
                <w:szCs w:val="14"/>
                <w:color w:val="auto"/>
              </w:rPr>
            </w:pPr>
          </w:p>
        </w:tc>
        <w:tc>
          <w:tcPr>
            <w:tcW w:w="23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Six Months Ended</w:t>
            </w:r>
          </w:p>
        </w:tc>
        <w:tc>
          <w:tcPr>
            <w:tcW w:w="620" w:type="dxa"/>
            <w:vAlign w:val="bottom"/>
          </w:tcPr>
          <w:p>
            <w:pPr>
              <w:spacing w:after="0"/>
              <w:rPr>
                <w:sz w:val="14"/>
                <w:szCs w:val="14"/>
                <w:color w:val="auto"/>
              </w:rPr>
            </w:pPr>
          </w:p>
        </w:tc>
        <w:tc>
          <w:tcPr>
            <w:tcW w:w="150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rPr>
              <w:t>At June 30, 2021</w:t>
            </w:r>
          </w:p>
        </w:tc>
        <w:tc>
          <w:tcPr>
            <w:tcW w:w="0" w:type="dxa"/>
            <w:vAlign w:val="bottom"/>
          </w:tcPr>
          <w:p>
            <w:pPr>
              <w:spacing w:after="0"/>
              <w:rPr>
                <w:sz w:val="1"/>
                <w:szCs w:val="1"/>
                <w:color w:val="auto"/>
              </w:rPr>
            </w:pPr>
          </w:p>
        </w:tc>
      </w:tr>
      <w:tr>
        <w:trPr>
          <w:trHeight w:val="176"/>
        </w:trPr>
        <w:tc>
          <w:tcPr>
            <w:tcW w:w="1660" w:type="dxa"/>
            <w:vAlign w:val="bottom"/>
            <w:tcBorders>
              <w:bottom w:val="single" w:sz="8" w:color="8C8272"/>
            </w:tcBorders>
          </w:tcPr>
          <w:p>
            <w:pPr>
              <w:spacing w:after="0"/>
              <w:rPr>
                <w:sz w:val="15"/>
                <w:szCs w:val="15"/>
                <w:color w:val="auto"/>
              </w:rPr>
            </w:pPr>
          </w:p>
        </w:tc>
        <w:tc>
          <w:tcPr>
            <w:tcW w:w="220" w:type="dxa"/>
            <w:vAlign w:val="bottom"/>
            <w:tcBorders>
              <w:bottom w:val="single" w:sz="8" w:color="8C8272"/>
            </w:tcBorders>
          </w:tcPr>
          <w:p>
            <w:pPr>
              <w:spacing w:after="0"/>
              <w:rPr>
                <w:sz w:val="15"/>
                <w:szCs w:val="15"/>
                <w:color w:val="auto"/>
              </w:rPr>
            </w:pPr>
          </w:p>
        </w:tc>
        <w:tc>
          <w:tcPr>
            <w:tcW w:w="1380" w:type="dxa"/>
            <w:vAlign w:val="bottom"/>
            <w:tcBorders>
              <w:bottom w:val="single" w:sz="8" w:color="8C8272"/>
            </w:tcBorders>
          </w:tcPr>
          <w:p>
            <w:pPr>
              <w:spacing w:after="0"/>
              <w:rPr>
                <w:sz w:val="15"/>
                <w:szCs w:val="15"/>
                <w:color w:val="auto"/>
              </w:rPr>
            </w:pPr>
          </w:p>
        </w:tc>
        <w:tc>
          <w:tcPr>
            <w:tcW w:w="1260" w:type="dxa"/>
            <w:vAlign w:val="bottom"/>
            <w:tcBorders>
              <w:bottom w:val="single" w:sz="8" w:color="8C8272"/>
            </w:tcBorders>
          </w:tcPr>
          <w:p>
            <w:pPr>
              <w:spacing w:after="0"/>
              <w:rPr>
                <w:sz w:val="15"/>
                <w:szCs w:val="15"/>
                <w:color w:val="auto"/>
              </w:rPr>
            </w:pPr>
          </w:p>
        </w:tc>
        <w:tc>
          <w:tcPr>
            <w:tcW w:w="1500" w:type="dxa"/>
            <w:vAlign w:val="bottom"/>
            <w:tcBorders>
              <w:bottom w:val="single" w:sz="8" w:color="8C8272"/>
            </w:tcBorders>
            <w:gridSpan w:val="2"/>
          </w:tcPr>
          <w:p>
            <w:pPr>
              <w:jc w:val="right"/>
              <w:ind w:right="488"/>
              <w:spacing w:after="0"/>
              <w:rPr>
                <w:sz w:val="20"/>
                <w:szCs w:val="20"/>
                <w:color w:val="auto"/>
              </w:rPr>
            </w:pPr>
            <w:r>
              <w:rPr>
                <w:rFonts w:ascii="Arial" w:cs="Arial" w:eastAsia="Arial" w:hAnsi="Arial"/>
                <w:sz w:val="14"/>
                <w:szCs w:val="14"/>
                <w:b w:val="1"/>
                <w:bCs w:val="1"/>
                <w:color w:val="auto"/>
              </w:rPr>
              <w:t>June 30, 2021</w:t>
            </w:r>
          </w:p>
        </w:tc>
        <w:tc>
          <w:tcPr>
            <w:tcW w:w="600" w:type="dxa"/>
            <w:vAlign w:val="bottom"/>
            <w:tcBorders>
              <w:bottom w:val="single" w:sz="8" w:color="8C8272"/>
            </w:tcBorders>
          </w:tcPr>
          <w:p>
            <w:pPr>
              <w:spacing w:after="0"/>
              <w:rPr>
                <w:sz w:val="15"/>
                <w:szCs w:val="15"/>
                <w:color w:val="auto"/>
              </w:rPr>
            </w:pPr>
          </w:p>
        </w:tc>
        <w:tc>
          <w:tcPr>
            <w:tcW w:w="740" w:type="dxa"/>
            <w:vAlign w:val="bottom"/>
            <w:tcBorders>
              <w:bottom w:val="single" w:sz="8" w:color="8C8272"/>
            </w:tcBorders>
          </w:tcPr>
          <w:p>
            <w:pPr>
              <w:spacing w:after="0"/>
              <w:rPr>
                <w:sz w:val="15"/>
                <w:szCs w:val="15"/>
                <w:color w:val="auto"/>
              </w:rPr>
            </w:pPr>
          </w:p>
        </w:tc>
        <w:tc>
          <w:tcPr>
            <w:tcW w:w="1620" w:type="dxa"/>
            <w:vAlign w:val="bottom"/>
            <w:tcBorders>
              <w:bottom w:val="single" w:sz="8" w:color="8C8272"/>
            </w:tcBorders>
            <w:gridSpan w:val="2"/>
          </w:tcPr>
          <w:p>
            <w:pPr>
              <w:jc w:val="right"/>
              <w:ind w:right="448"/>
              <w:spacing w:after="0"/>
              <w:rPr>
                <w:sz w:val="20"/>
                <w:szCs w:val="20"/>
                <w:color w:val="auto"/>
              </w:rPr>
            </w:pPr>
            <w:r>
              <w:rPr>
                <w:rFonts w:ascii="Arial" w:cs="Arial" w:eastAsia="Arial" w:hAnsi="Arial"/>
                <w:sz w:val="14"/>
                <w:szCs w:val="14"/>
                <w:b w:val="1"/>
                <w:bCs w:val="1"/>
                <w:color w:val="auto"/>
              </w:rPr>
              <w:t>June 30, 2021</w:t>
            </w:r>
          </w:p>
        </w:tc>
        <w:tc>
          <w:tcPr>
            <w:tcW w:w="620" w:type="dxa"/>
            <w:vAlign w:val="bottom"/>
            <w:tcBorders>
              <w:bottom w:val="single" w:sz="8" w:color="8C8272"/>
            </w:tcBorders>
          </w:tcPr>
          <w:p>
            <w:pPr>
              <w:spacing w:after="0"/>
              <w:rPr>
                <w:sz w:val="15"/>
                <w:szCs w:val="15"/>
                <w:color w:val="auto"/>
              </w:rPr>
            </w:pPr>
          </w:p>
        </w:tc>
        <w:tc>
          <w:tcPr>
            <w:tcW w:w="1500" w:type="dxa"/>
            <w:vAlign w:val="bottom"/>
            <w:tcBorders>
              <w:bottom w:val="single" w:sz="8" w:color="8C8272"/>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60" w:type="dxa"/>
            <w:vAlign w:val="bottom"/>
            <w:gridSpan w:val="3"/>
            <w:vMerge w:val="restart"/>
          </w:tcPr>
          <w:p>
            <w:pPr>
              <w:ind w:left="20"/>
              <w:spacing w:after="0"/>
              <w:rPr>
                <w:sz w:val="20"/>
                <w:szCs w:val="20"/>
                <w:color w:val="auto"/>
              </w:rPr>
            </w:pPr>
            <w:r>
              <w:rPr>
                <w:rFonts w:ascii="Arial" w:cs="Arial" w:eastAsia="Arial" w:hAnsi="Arial"/>
                <w:sz w:val="14"/>
                <w:szCs w:val="14"/>
                <w:b w:val="1"/>
                <w:bCs w:val="1"/>
                <w:i w:val="1"/>
                <w:iCs w:val="1"/>
                <w:color w:val="auto"/>
              </w:rPr>
              <w:t>(Millions of Dollars, except percentages)</w:t>
            </w:r>
          </w:p>
        </w:tc>
        <w:tc>
          <w:tcPr>
            <w:tcW w:w="1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Operating</w:t>
            </w:r>
          </w:p>
        </w:tc>
        <w:tc>
          <w:tcPr>
            <w:tcW w:w="600" w:type="dxa"/>
            <w:vAlign w:val="bottom"/>
          </w:tcPr>
          <w:p>
            <w:pPr>
              <w:spacing w:after="0"/>
              <w:rPr>
                <w:sz w:val="12"/>
                <w:szCs w:val="12"/>
                <w:color w:val="auto"/>
              </w:rPr>
            </w:pPr>
          </w:p>
        </w:tc>
        <w:tc>
          <w:tcPr>
            <w:tcW w:w="15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Net Income for</w:t>
            </w:r>
          </w:p>
        </w:tc>
        <w:tc>
          <w:tcPr>
            <w:tcW w:w="1480" w:type="dxa"/>
            <w:vAlign w:val="bottom"/>
            <w:gridSpan w:val="2"/>
          </w:tcPr>
          <w:p>
            <w:pPr>
              <w:jc w:val="right"/>
              <w:ind w:right="428"/>
              <w:spacing w:after="0" w:line="142" w:lineRule="exact"/>
              <w:rPr>
                <w:sz w:val="20"/>
                <w:szCs w:val="20"/>
                <w:color w:val="auto"/>
              </w:rPr>
            </w:pPr>
            <w:r>
              <w:rPr>
                <w:rFonts w:ascii="Arial" w:cs="Arial" w:eastAsia="Arial" w:hAnsi="Arial"/>
                <w:sz w:val="14"/>
                <w:szCs w:val="14"/>
                <w:b w:val="1"/>
                <w:bCs w:val="1"/>
                <w:color w:val="auto"/>
              </w:rPr>
              <w:t>Operating</w:t>
            </w:r>
          </w:p>
        </w:tc>
        <w:tc>
          <w:tcPr>
            <w:tcW w:w="15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Net Income for</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Assets</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60" w:type="dxa"/>
            <w:vAlign w:val="bottom"/>
            <w:tcBorders>
              <w:bottom w:val="single" w:sz="8" w:color="8C8272"/>
            </w:tcBorders>
            <w:gridSpan w:val="3"/>
            <w:vMerge w:val="continue"/>
          </w:tcPr>
          <w:p>
            <w:pPr>
              <w:spacing w:after="0"/>
              <w:rPr>
                <w:sz w:val="15"/>
                <w:szCs w:val="15"/>
                <w:color w:val="auto"/>
              </w:rPr>
            </w:pPr>
          </w:p>
        </w:tc>
        <w:tc>
          <w:tcPr>
            <w:tcW w:w="12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Revenues</w:t>
            </w:r>
          </w:p>
        </w:tc>
        <w:tc>
          <w:tcPr>
            <w:tcW w:w="600" w:type="dxa"/>
            <w:vAlign w:val="bottom"/>
            <w:tcBorders>
              <w:bottom w:val="single" w:sz="8" w:color="8C8272"/>
            </w:tcBorders>
          </w:tcPr>
          <w:p>
            <w:pPr>
              <w:spacing w:after="0"/>
              <w:rPr>
                <w:sz w:val="15"/>
                <w:szCs w:val="15"/>
                <w:color w:val="auto"/>
              </w:rPr>
            </w:pPr>
          </w:p>
        </w:tc>
        <w:tc>
          <w:tcPr>
            <w:tcW w:w="1500" w:type="dxa"/>
            <w:vAlign w:val="bottom"/>
            <w:tcBorders>
              <w:bottom w:val="single" w:sz="8" w:color="8C8272"/>
            </w:tcBorders>
            <w:gridSpan w:val="2"/>
          </w:tcPr>
          <w:p>
            <w:pPr>
              <w:ind w:left="120"/>
              <w:spacing w:after="0"/>
              <w:rPr>
                <w:sz w:val="20"/>
                <w:szCs w:val="20"/>
                <w:color w:val="auto"/>
              </w:rPr>
            </w:pPr>
            <w:r>
              <w:rPr>
                <w:rFonts w:ascii="Arial" w:cs="Arial" w:eastAsia="Arial" w:hAnsi="Arial"/>
                <w:sz w:val="14"/>
                <w:szCs w:val="14"/>
                <w:b w:val="1"/>
                <w:bCs w:val="1"/>
                <w:color w:val="auto"/>
              </w:rPr>
              <w:t>Common Stock</w:t>
            </w:r>
          </w:p>
        </w:tc>
        <w:tc>
          <w:tcPr>
            <w:tcW w:w="1480" w:type="dxa"/>
            <w:vAlign w:val="bottom"/>
            <w:tcBorders>
              <w:bottom w:val="single" w:sz="8" w:color="8C8272"/>
            </w:tcBorders>
            <w:gridSpan w:val="2"/>
          </w:tcPr>
          <w:p>
            <w:pPr>
              <w:jc w:val="right"/>
              <w:ind w:right="428"/>
              <w:spacing w:after="0"/>
              <w:rPr>
                <w:sz w:val="20"/>
                <w:szCs w:val="20"/>
                <w:color w:val="auto"/>
              </w:rPr>
            </w:pPr>
            <w:r>
              <w:rPr>
                <w:rFonts w:ascii="Arial" w:cs="Arial" w:eastAsia="Arial" w:hAnsi="Arial"/>
                <w:sz w:val="14"/>
                <w:szCs w:val="14"/>
                <w:b w:val="1"/>
                <w:bCs w:val="1"/>
                <w:color w:val="auto"/>
              </w:rPr>
              <w:t>Revenues</w:t>
            </w:r>
          </w:p>
        </w:tc>
        <w:tc>
          <w:tcPr>
            <w:tcW w:w="1500" w:type="dxa"/>
            <w:vAlign w:val="bottom"/>
            <w:tcBorders>
              <w:bottom w:val="single" w:sz="8" w:color="8C8272"/>
            </w:tcBorders>
            <w:gridSpan w:val="2"/>
          </w:tcPr>
          <w:p>
            <w:pPr>
              <w:ind w:left="120"/>
              <w:spacing w:after="0"/>
              <w:rPr>
                <w:sz w:val="20"/>
                <w:szCs w:val="20"/>
                <w:color w:val="auto"/>
              </w:rPr>
            </w:pPr>
            <w:r>
              <w:rPr>
                <w:rFonts w:ascii="Arial" w:cs="Arial" w:eastAsia="Arial" w:hAnsi="Arial"/>
                <w:sz w:val="14"/>
                <w:szCs w:val="14"/>
                <w:b w:val="1"/>
                <w:bCs w:val="1"/>
                <w:color w:val="auto"/>
              </w:rPr>
              <w:t>Common Stock</w:t>
            </w:r>
          </w:p>
        </w:tc>
        <w:tc>
          <w:tcPr>
            <w:tcW w:w="960" w:type="dxa"/>
            <w:vAlign w:val="bottom"/>
            <w:tcBorders>
              <w:bottom w:val="single" w:sz="8" w:color="8C8272"/>
            </w:tcBorders>
            <w:vMerge w:val="continue"/>
          </w:tcPr>
          <w:p>
            <w:pPr>
              <w:spacing w:after="0"/>
              <w:rPr>
                <w:sz w:val="15"/>
                <w:szCs w:val="15"/>
                <w:color w:val="auto"/>
              </w:rPr>
            </w:pPr>
          </w:p>
        </w:tc>
        <w:tc>
          <w:tcPr>
            <w:tcW w:w="540" w:type="dxa"/>
            <w:vAlign w:val="bottom"/>
            <w:tcBorders>
              <w:bottom w:val="single" w:sz="8" w:color="8C8272"/>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gridSpan w:val="3"/>
            <w:shd w:val="clear" w:color="auto" w:fill="E5E5E5"/>
          </w:tcPr>
          <w:p>
            <w:pPr>
              <w:ind w:left="20"/>
              <w:spacing w:after="0"/>
              <w:rPr>
                <w:sz w:val="20"/>
                <w:szCs w:val="20"/>
                <w:color w:val="auto"/>
              </w:rPr>
            </w:pPr>
            <w:r>
              <w:rPr>
                <w:rFonts w:ascii="Arial" w:cs="Arial" w:eastAsia="Arial" w:hAnsi="Arial"/>
                <w:sz w:val="14"/>
                <w:szCs w:val="14"/>
                <w:color w:val="auto"/>
              </w:rPr>
              <w:t>CECONY</w:t>
            </w:r>
          </w:p>
        </w:tc>
        <w:tc>
          <w:tcPr>
            <w:tcW w:w="126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$2,486</w:t>
            </w:r>
          </w:p>
        </w:tc>
        <w:tc>
          <w:tcPr>
            <w:tcW w:w="6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84 %</w:t>
            </w:r>
          </w:p>
        </w:tc>
        <w:tc>
          <w:tcPr>
            <w:tcW w:w="90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$128</w:t>
            </w:r>
          </w:p>
        </w:tc>
        <w:tc>
          <w:tcPr>
            <w:tcW w:w="6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78 %</w:t>
            </w:r>
          </w:p>
        </w:tc>
        <w:tc>
          <w:tcPr>
            <w:tcW w:w="7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$5,692</w:t>
            </w:r>
          </w:p>
        </w:tc>
        <w:tc>
          <w:tcPr>
            <w:tcW w:w="7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85 %</w:t>
            </w:r>
          </w:p>
        </w:tc>
        <w:tc>
          <w:tcPr>
            <w:tcW w:w="88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$593</w:t>
            </w:r>
          </w:p>
        </w:tc>
        <w:tc>
          <w:tcPr>
            <w:tcW w:w="6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101 %</w:t>
            </w:r>
          </w:p>
        </w:tc>
        <w:tc>
          <w:tcPr>
            <w:tcW w:w="96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$51,515</w:t>
            </w: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82 %</w:t>
            </w:r>
          </w:p>
        </w:tc>
        <w:tc>
          <w:tcPr>
            <w:tcW w:w="0" w:type="dxa"/>
            <w:vAlign w:val="bottom"/>
          </w:tcPr>
          <w:p>
            <w:pPr>
              <w:spacing w:after="0"/>
              <w:rPr>
                <w:sz w:val="1"/>
                <w:szCs w:val="1"/>
                <w:color w:val="auto"/>
              </w:rPr>
            </w:pPr>
          </w:p>
        </w:tc>
      </w:tr>
      <w:tr>
        <w:trPr>
          <w:trHeight w:val="189"/>
        </w:trPr>
        <w:tc>
          <w:tcPr>
            <w:tcW w:w="3260" w:type="dxa"/>
            <w:vAlign w:val="bottom"/>
            <w:tcBorders>
              <w:bottom w:val="single" w:sz="8" w:color="8C8272"/>
            </w:tcBorders>
            <w:gridSpan w:val="3"/>
          </w:tcPr>
          <w:p>
            <w:pPr>
              <w:ind w:left="20"/>
              <w:spacing w:after="0"/>
              <w:rPr>
                <w:sz w:val="20"/>
                <w:szCs w:val="20"/>
                <w:color w:val="auto"/>
              </w:rPr>
            </w:pPr>
            <w:r>
              <w:rPr>
                <w:rFonts w:ascii="Arial" w:cs="Arial" w:eastAsia="Arial" w:hAnsi="Arial"/>
                <w:sz w:val="14"/>
                <w:szCs w:val="14"/>
                <w:color w:val="auto"/>
              </w:rPr>
              <w:t>O&amp;R</w:t>
            </w:r>
          </w:p>
        </w:tc>
        <w:tc>
          <w:tcPr>
            <w:tcW w:w="1260" w:type="dxa"/>
            <w:vAlign w:val="bottom"/>
            <w:tcBorders>
              <w:bottom w:val="single" w:sz="8" w:color="8C8272"/>
            </w:tcBorders>
          </w:tcPr>
          <w:p>
            <w:pPr>
              <w:jc w:val="right"/>
              <w:ind w:right="268"/>
              <w:spacing w:after="0"/>
              <w:rPr>
                <w:sz w:val="20"/>
                <w:szCs w:val="20"/>
                <w:color w:val="auto"/>
              </w:rPr>
            </w:pPr>
            <w:r>
              <w:rPr>
                <w:rFonts w:ascii="Arial" w:cs="Arial" w:eastAsia="Arial" w:hAnsi="Arial"/>
                <w:sz w:val="14"/>
                <w:szCs w:val="14"/>
                <w:color w:val="auto"/>
              </w:rPr>
              <w:t>194</w:t>
            </w:r>
          </w:p>
        </w:tc>
        <w:tc>
          <w:tcPr>
            <w:tcW w:w="600" w:type="dxa"/>
            <w:vAlign w:val="bottom"/>
            <w:tcBorders>
              <w:bottom w:val="single" w:sz="8" w:color="8C8272"/>
            </w:tcBorders>
          </w:tcPr>
          <w:p>
            <w:pPr>
              <w:jc w:val="right"/>
              <w:ind w:right="228"/>
              <w:spacing w:after="0"/>
              <w:rPr>
                <w:sz w:val="20"/>
                <w:szCs w:val="20"/>
                <w:color w:val="auto"/>
              </w:rPr>
            </w:pPr>
            <w:r>
              <w:rPr>
                <w:rFonts w:ascii="Arial" w:cs="Arial" w:eastAsia="Arial" w:hAnsi="Arial"/>
                <w:sz w:val="14"/>
                <w:szCs w:val="14"/>
                <w:color w:val="auto"/>
              </w:rPr>
              <w:t>6</w:t>
            </w:r>
          </w:p>
        </w:tc>
        <w:tc>
          <w:tcPr>
            <w:tcW w:w="900" w:type="dxa"/>
            <w:vAlign w:val="bottom"/>
            <w:tcBorders>
              <w:bottom w:val="single" w:sz="8" w:color="8C8272"/>
            </w:tcBorders>
          </w:tcPr>
          <w:p>
            <w:pPr>
              <w:jc w:val="right"/>
              <w:ind w:right="2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C8272"/>
            </w:tcBorders>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color w:val="auto"/>
              </w:rPr>
              <w:t>442</w:t>
            </w:r>
          </w:p>
        </w:tc>
        <w:tc>
          <w:tcPr>
            <w:tcW w:w="740" w:type="dxa"/>
            <w:vAlign w:val="bottom"/>
            <w:tcBorders>
              <w:bottom w:val="single" w:sz="8" w:color="8C8272"/>
            </w:tcBorders>
          </w:tcPr>
          <w:p>
            <w:pPr>
              <w:jc w:val="right"/>
              <w:ind w:right="208"/>
              <w:spacing w:after="0"/>
              <w:rPr>
                <w:sz w:val="20"/>
                <w:szCs w:val="20"/>
                <w:color w:val="auto"/>
              </w:rPr>
            </w:pPr>
            <w:r>
              <w:rPr>
                <w:rFonts w:ascii="Arial" w:cs="Arial" w:eastAsia="Arial" w:hAnsi="Arial"/>
                <w:sz w:val="14"/>
                <w:szCs w:val="14"/>
                <w:color w:val="auto"/>
              </w:rPr>
              <w:t>7</w:t>
            </w:r>
          </w:p>
        </w:tc>
        <w:tc>
          <w:tcPr>
            <w:tcW w:w="880" w:type="dxa"/>
            <w:vAlign w:val="bottom"/>
            <w:tcBorders>
              <w:bottom w:val="single" w:sz="8" w:color="8C8272"/>
            </w:tcBorders>
          </w:tcPr>
          <w:p>
            <w:pPr>
              <w:jc w:val="right"/>
              <w:ind w:right="228"/>
              <w:spacing w:after="0"/>
              <w:rPr>
                <w:sz w:val="20"/>
                <w:szCs w:val="20"/>
                <w:color w:val="auto"/>
              </w:rPr>
            </w:pPr>
            <w:r>
              <w:rPr>
                <w:rFonts w:ascii="Arial" w:cs="Arial" w:eastAsia="Arial" w:hAnsi="Arial"/>
                <w:sz w:val="14"/>
                <w:szCs w:val="14"/>
                <w:color w:val="auto"/>
              </w:rPr>
              <w:t>27</w:t>
            </w:r>
          </w:p>
        </w:tc>
        <w:tc>
          <w:tcPr>
            <w:tcW w:w="620" w:type="dxa"/>
            <w:vAlign w:val="bottom"/>
            <w:tcBorders>
              <w:bottom w:val="single" w:sz="8" w:color="8C8272"/>
            </w:tcBorders>
          </w:tcPr>
          <w:p>
            <w:pPr>
              <w:jc w:val="right"/>
              <w:ind w:right="20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8C8272"/>
            </w:tcBorders>
          </w:tcPr>
          <w:p>
            <w:pPr>
              <w:jc w:val="right"/>
              <w:ind w:right="208"/>
              <w:spacing w:after="0"/>
              <w:rPr>
                <w:sz w:val="20"/>
                <w:szCs w:val="20"/>
                <w:color w:val="auto"/>
              </w:rPr>
            </w:pPr>
            <w:r>
              <w:rPr>
                <w:rFonts w:ascii="Arial" w:cs="Arial" w:eastAsia="Arial" w:hAnsi="Arial"/>
                <w:sz w:val="14"/>
                <w:szCs w:val="14"/>
                <w:color w:val="auto"/>
              </w:rPr>
              <w:t>3,257</w:t>
            </w:r>
          </w:p>
        </w:tc>
        <w:tc>
          <w:tcPr>
            <w:tcW w:w="54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3260" w:type="dxa"/>
            <w:vAlign w:val="bottom"/>
            <w:gridSpan w:val="3"/>
            <w:shd w:val="clear" w:color="auto" w:fill="E5E5E5"/>
          </w:tcPr>
          <w:p>
            <w:pPr>
              <w:ind w:left="140"/>
              <w:spacing w:after="0"/>
              <w:rPr>
                <w:sz w:val="20"/>
                <w:szCs w:val="20"/>
                <w:color w:val="auto"/>
              </w:rPr>
            </w:pPr>
            <w:r>
              <w:rPr>
                <w:rFonts w:ascii="Arial" w:cs="Arial" w:eastAsia="Arial" w:hAnsi="Arial"/>
                <w:sz w:val="14"/>
                <w:szCs w:val="14"/>
                <w:color w:val="auto"/>
              </w:rPr>
              <w:t>Total Utilities</w:t>
            </w:r>
          </w:p>
        </w:tc>
        <w:tc>
          <w:tcPr>
            <w:tcW w:w="126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2,680</w:t>
            </w:r>
          </w:p>
        </w:tc>
        <w:tc>
          <w:tcPr>
            <w:tcW w:w="6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90</w:t>
            </w:r>
          </w:p>
        </w:tc>
        <w:tc>
          <w:tcPr>
            <w:tcW w:w="90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128</w:t>
            </w:r>
          </w:p>
        </w:tc>
        <w:tc>
          <w:tcPr>
            <w:tcW w:w="6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78</w:t>
            </w:r>
          </w:p>
        </w:tc>
        <w:tc>
          <w:tcPr>
            <w:tcW w:w="7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6,134</w:t>
            </w:r>
          </w:p>
        </w:tc>
        <w:tc>
          <w:tcPr>
            <w:tcW w:w="74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92</w:t>
            </w:r>
          </w:p>
        </w:tc>
        <w:tc>
          <w:tcPr>
            <w:tcW w:w="88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620</w:t>
            </w:r>
          </w:p>
        </w:tc>
        <w:tc>
          <w:tcPr>
            <w:tcW w:w="62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106</w:t>
            </w:r>
          </w:p>
        </w:tc>
        <w:tc>
          <w:tcPr>
            <w:tcW w:w="96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54,772</w:t>
            </w:r>
          </w:p>
        </w:tc>
        <w:tc>
          <w:tcPr>
            <w:tcW w:w="5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9"/>
        </w:trPr>
        <w:tc>
          <w:tcPr>
            <w:tcW w:w="3260" w:type="dxa"/>
            <w:vAlign w:val="bottom"/>
            <w:tcBorders>
              <w:bottom w:val="single" w:sz="8" w:color="E5E5E5"/>
            </w:tcBorders>
            <w:gridSpan w:val="3"/>
          </w:tcPr>
          <w:p>
            <w:pPr>
              <w:ind w:left="20"/>
              <w:spacing w:after="0"/>
              <w:rPr>
                <w:sz w:val="20"/>
                <w:szCs w:val="20"/>
                <w:color w:val="auto"/>
              </w:rPr>
            </w:pPr>
            <w:r>
              <w:rPr>
                <w:rFonts w:ascii="Arial" w:cs="Arial" w:eastAsia="Arial" w:hAnsi="Arial"/>
                <w:sz w:val="14"/>
                <w:szCs w:val="14"/>
                <w:color w:val="auto"/>
              </w:rPr>
              <w:t>Clean Energy Businesses (a)</w:t>
            </w:r>
          </w:p>
        </w:tc>
        <w:tc>
          <w:tcPr>
            <w:tcW w:w="1260" w:type="dxa"/>
            <w:vAlign w:val="bottom"/>
            <w:tcBorders>
              <w:bottom w:val="single" w:sz="8" w:color="E5E5E5"/>
            </w:tcBorders>
          </w:tcPr>
          <w:p>
            <w:pPr>
              <w:jc w:val="right"/>
              <w:ind w:right="268"/>
              <w:spacing w:after="0"/>
              <w:rPr>
                <w:sz w:val="20"/>
                <w:szCs w:val="20"/>
                <w:color w:val="auto"/>
              </w:rPr>
            </w:pPr>
            <w:r>
              <w:rPr>
                <w:rFonts w:ascii="Arial" w:cs="Arial" w:eastAsia="Arial" w:hAnsi="Arial"/>
                <w:sz w:val="14"/>
                <w:szCs w:val="14"/>
                <w:color w:val="auto"/>
              </w:rPr>
              <w:t>291</w:t>
            </w:r>
          </w:p>
        </w:tc>
        <w:tc>
          <w:tcPr>
            <w:tcW w:w="600" w:type="dxa"/>
            <w:vAlign w:val="bottom"/>
            <w:tcBorders>
              <w:bottom w:val="single" w:sz="8" w:color="E5E5E5"/>
            </w:tcBorders>
          </w:tcPr>
          <w:p>
            <w:pPr>
              <w:jc w:val="right"/>
              <w:ind w:right="228"/>
              <w:spacing w:after="0"/>
              <w:rPr>
                <w:sz w:val="20"/>
                <w:szCs w:val="20"/>
                <w:color w:val="auto"/>
              </w:rPr>
            </w:pPr>
            <w:r>
              <w:rPr>
                <w:rFonts w:ascii="Arial" w:cs="Arial" w:eastAsia="Arial" w:hAnsi="Arial"/>
                <w:sz w:val="14"/>
                <w:szCs w:val="14"/>
                <w:color w:val="auto"/>
              </w:rPr>
              <w:t>10</w:t>
            </w:r>
          </w:p>
        </w:tc>
        <w:tc>
          <w:tcPr>
            <w:tcW w:w="900" w:type="dxa"/>
            <w:vAlign w:val="bottom"/>
            <w:tcBorders>
              <w:bottom w:val="single" w:sz="8" w:color="E5E5E5"/>
            </w:tcBorders>
          </w:tcPr>
          <w:p>
            <w:pPr>
              <w:jc w:val="right"/>
              <w:ind w:right="268"/>
              <w:spacing w:after="0"/>
              <w:rPr>
                <w:sz w:val="20"/>
                <w:szCs w:val="20"/>
                <w:color w:val="auto"/>
              </w:rPr>
            </w:pPr>
            <w:r>
              <w:rPr>
                <w:rFonts w:ascii="Arial" w:cs="Arial" w:eastAsia="Arial" w:hAnsi="Arial"/>
                <w:sz w:val="14"/>
                <w:szCs w:val="14"/>
                <w:color w:val="auto"/>
              </w:rPr>
              <w:t>68</w:t>
            </w:r>
          </w:p>
        </w:tc>
        <w:tc>
          <w:tcPr>
            <w:tcW w:w="600" w:type="dxa"/>
            <w:vAlign w:val="bottom"/>
            <w:tcBorders>
              <w:bottom w:val="single" w:sz="8" w:color="E5E5E5"/>
            </w:tcBorders>
          </w:tcPr>
          <w:p>
            <w:pPr>
              <w:jc w:val="right"/>
              <w:ind w:right="228"/>
              <w:spacing w:after="0"/>
              <w:rPr>
                <w:sz w:val="20"/>
                <w:szCs w:val="20"/>
                <w:color w:val="auto"/>
              </w:rPr>
            </w:pPr>
            <w:r>
              <w:rPr>
                <w:rFonts w:ascii="Arial" w:cs="Arial" w:eastAsia="Arial" w:hAnsi="Arial"/>
                <w:sz w:val="14"/>
                <w:szCs w:val="14"/>
                <w:color w:val="auto"/>
              </w:rPr>
              <w:t>41</w:t>
            </w:r>
          </w:p>
        </w:tc>
        <w:tc>
          <w:tcPr>
            <w:tcW w:w="740" w:type="dxa"/>
            <w:vAlign w:val="bottom"/>
            <w:tcBorders>
              <w:bottom w:val="single" w:sz="8" w:color="E5E5E5"/>
            </w:tcBorders>
          </w:tcPr>
          <w:p>
            <w:pPr>
              <w:jc w:val="right"/>
              <w:ind w:right="108"/>
              <w:spacing w:after="0"/>
              <w:rPr>
                <w:sz w:val="20"/>
                <w:szCs w:val="20"/>
                <w:color w:val="auto"/>
              </w:rPr>
            </w:pPr>
            <w:r>
              <w:rPr>
                <w:rFonts w:ascii="Arial" w:cs="Arial" w:eastAsia="Arial" w:hAnsi="Arial"/>
                <w:sz w:val="14"/>
                <w:szCs w:val="14"/>
                <w:color w:val="auto"/>
              </w:rPr>
              <w:t>515</w:t>
            </w:r>
          </w:p>
        </w:tc>
        <w:tc>
          <w:tcPr>
            <w:tcW w:w="740" w:type="dxa"/>
            <w:vAlign w:val="bottom"/>
            <w:tcBorders>
              <w:bottom w:val="single" w:sz="8" w:color="E5E5E5"/>
            </w:tcBorders>
          </w:tcPr>
          <w:p>
            <w:pPr>
              <w:jc w:val="right"/>
              <w:ind w:right="208"/>
              <w:spacing w:after="0"/>
              <w:rPr>
                <w:sz w:val="20"/>
                <w:szCs w:val="20"/>
                <w:color w:val="auto"/>
              </w:rPr>
            </w:pPr>
            <w:r>
              <w:rPr>
                <w:rFonts w:ascii="Arial" w:cs="Arial" w:eastAsia="Arial" w:hAnsi="Arial"/>
                <w:sz w:val="14"/>
                <w:szCs w:val="14"/>
                <w:color w:val="auto"/>
              </w:rPr>
              <w:t>8</w:t>
            </w:r>
          </w:p>
        </w:tc>
        <w:tc>
          <w:tcPr>
            <w:tcW w:w="880" w:type="dxa"/>
            <w:vAlign w:val="bottom"/>
            <w:tcBorders>
              <w:bottom w:val="single" w:sz="8" w:color="E5E5E5"/>
            </w:tcBorders>
          </w:tcPr>
          <w:p>
            <w:pPr>
              <w:jc w:val="right"/>
              <w:ind w:right="228"/>
              <w:spacing w:after="0"/>
              <w:rPr>
                <w:sz w:val="20"/>
                <w:szCs w:val="20"/>
                <w:color w:val="auto"/>
              </w:rPr>
            </w:pPr>
            <w:r>
              <w:rPr>
                <w:rFonts w:ascii="Arial" w:cs="Arial" w:eastAsia="Arial" w:hAnsi="Arial"/>
                <w:sz w:val="14"/>
                <w:szCs w:val="14"/>
                <w:color w:val="auto"/>
              </w:rPr>
              <w:t>117</w:t>
            </w:r>
          </w:p>
        </w:tc>
        <w:tc>
          <w:tcPr>
            <w:tcW w:w="620" w:type="dxa"/>
            <w:vAlign w:val="bottom"/>
            <w:tcBorders>
              <w:bottom w:val="single" w:sz="8" w:color="E5E5E5"/>
            </w:tcBorders>
          </w:tcPr>
          <w:p>
            <w:pPr>
              <w:jc w:val="right"/>
              <w:ind w:right="208"/>
              <w:spacing w:after="0"/>
              <w:rPr>
                <w:sz w:val="20"/>
                <w:szCs w:val="20"/>
                <w:color w:val="auto"/>
              </w:rPr>
            </w:pPr>
            <w:r>
              <w:rPr>
                <w:rFonts w:ascii="Arial" w:cs="Arial" w:eastAsia="Arial" w:hAnsi="Arial"/>
                <w:sz w:val="14"/>
                <w:szCs w:val="14"/>
                <w:color w:val="auto"/>
              </w:rPr>
              <w:t>20</w:t>
            </w:r>
          </w:p>
        </w:tc>
        <w:tc>
          <w:tcPr>
            <w:tcW w:w="960" w:type="dxa"/>
            <w:vAlign w:val="bottom"/>
            <w:tcBorders>
              <w:bottom w:val="single" w:sz="8" w:color="E5E5E5"/>
            </w:tcBorders>
          </w:tcPr>
          <w:p>
            <w:pPr>
              <w:jc w:val="right"/>
              <w:ind w:right="208"/>
              <w:spacing w:after="0"/>
              <w:rPr>
                <w:sz w:val="20"/>
                <w:szCs w:val="20"/>
                <w:color w:val="auto"/>
              </w:rPr>
            </w:pPr>
            <w:r>
              <w:rPr>
                <w:rFonts w:ascii="Arial" w:cs="Arial" w:eastAsia="Arial" w:hAnsi="Arial"/>
                <w:sz w:val="14"/>
                <w:szCs w:val="14"/>
                <w:color w:val="auto"/>
              </w:rPr>
              <w:t>6,574</w:t>
            </w:r>
          </w:p>
        </w:tc>
        <w:tc>
          <w:tcPr>
            <w:tcW w:w="540" w:type="dxa"/>
            <w:vAlign w:val="bottom"/>
            <w:tcBorders>
              <w:bottom w:val="single" w:sz="8" w:color="E5E5E5"/>
            </w:tcBorders>
          </w:tcPr>
          <w:p>
            <w:pPr>
              <w:jc w:val="right"/>
              <w:ind w:right="10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6"/>
        </w:trPr>
        <w:tc>
          <w:tcPr>
            <w:tcW w:w="1660" w:type="dxa"/>
            <w:vAlign w:val="bottom"/>
            <w:tcBorders>
              <w:bottom w:val="single" w:sz="8" w:color="E5E5E5"/>
            </w:tcBorders>
            <w:shd w:val="clear" w:color="auto" w:fill="E5E5E5"/>
          </w:tcPr>
          <w:p>
            <w:pPr>
              <w:ind w:left="20"/>
              <w:spacing w:after="0" w:line="155" w:lineRule="exact"/>
              <w:rPr>
                <w:sz w:val="20"/>
                <w:szCs w:val="20"/>
                <w:color w:val="auto"/>
              </w:rPr>
            </w:pPr>
            <w:r>
              <w:rPr>
                <w:rFonts w:ascii="Arial" w:cs="Arial" w:eastAsia="Arial" w:hAnsi="Arial"/>
                <w:sz w:val="14"/>
                <w:szCs w:val="14"/>
                <w:color w:val="auto"/>
              </w:rPr>
              <w:t>Con Edison Transmission</w:t>
            </w:r>
          </w:p>
        </w:tc>
        <w:tc>
          <w:tcPr>
            <w:tcW w:w="220" w:type="dxa"/>
            <w:vAlign w:val="bottom"/>
            <w:tcBorders>
              <w:bottom w:val="single" w:sz="8" w:color="E5E5E5"/>
            </w:tcBorders>
            <w:shd w:val="clear" w:color="auto" w:fill="E7E7E7"/>
          </w:tcPr>
          <w:p>
            <w:pPr>
              <w:ind w:left="40"/>
              <w:spacing w:after="0" w:line="155" w:lineRule="exact"/>
              <w:rPr>
                <w:sz w:val="20"/>
                <w:szCs w:val="20"/>
                <w:color w:val="auto"/>
              </w:rPr>
            </w:pPr>
            <w:r>
              <w:rPr>
                <w:rFonts w:ascii="Arial" w:cs="Arial" w:eastAsia="Arial" w:hAnsi="Arial"/>
                <w:sz w:val="14"/>
                <w:szCs w:val="14"/>
                <w:color w:val="auto"/>
                <w:w w:val="93"/>
              </w:rPr>
              <w:t>(b)</w:t>
            </w:r>
          </w:p>
        </w:tc>
        <w:tc>
          <w:tcPr>
            <w:tcW w:w="1380" w:type="dxa"/>
            <w:vAlign w:val="bottom"/>
            <w:tcBorders>
              <w:bottom w:val="single" w:sz="8" w:color="E5E5E5"/>
            </w:tcBorders>
            <w:shd w:val="clear" w:color="auto" w:fill="E5E5E5"/>
          </w:tcPr>
          <w:p>
            <w:pPr>
              <w:spacing w:after="0"/>
              <w:rPr>
                <w:sz w:val="13"/>
                <w:szCs w:val="13"/>
                <w:color w:val="auto"/>
              </w:rPr>
            </w:pPr>
          </w:p>
        </w:tc>
        <w:tc>
          <w:tcPr>
            <w:tcW w:w="1260" w:type="dxa"/>
            <w:vAlign w:val="bottom"/>
            <w:tcBorders>
              <w:bottom w:val="single" w:sz="8" w:color="E5E5E5"/>
            </w:tcBorders>
            <w:shd w:val="clear" w:color="auto" w:fill="E5E5E5"/>
          </w:tcPr>
          <w:p>
            <w:pPr>
              <w:jc w:val="right"/>
              <w:ind w:right="268"/>
              <w:spacing w:after="0" w:line="155" w:lineRule="exact"/>
              <w:rPr>
                <w:sz w:val="20"/>
                <w:szCs w:val="20"/>
                <w:color w:val="auto"/>
              </w:rPr>
            </w:pPr>
            <w:r>
              <w:rPr>
                <w:rFonts w:ascii="Arial" w:cs="Arial" w:eastAsia="Arial" w:hAnsi="Arial"/>
                <w:sz w:val="14"/>
                <w:szCs w:val="14"/>
                <w:color w:val="auto"/>
              </w:rPr>
              <w:t>1</w:t>
            </w:r>
          </w:p>
        </w:tc>
        <w:tc>
          <w:tcPr>
            <w:tcW w:w="600" w:type="dxa"/>
            <w:vAlign w:val="bottom"/>
            <w:tcBorders>
              <w:bottom w:val="single" w:sz="8" w:color="E5E5E5"/>
            </w:tcBorders>
            <w:shd w:val="clear" w:color="auto" w:fill="E5E5E5"/>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E5E5E5"/>
            </w:tcBorders>
            <w:shd w:val="clear" w:color="auto" w:fill="E5E5E5"/>
          </w:tcPr>
          <w:p>
            <w:pPr>
              <w:jc w:val="right"/>
              <w:ind w:right="268"/>
              <w:spacing w:after="0" w:line="155" w:lineRule="exact"/>
              <w:rPr>
                <w:sz w:val="20"/>
                <w:szCs w:val="20"/>
                <w:color w:val="auto"/>
              </w:rPr>
            </w:pPr>
            <w:r>
              <w:rPr>
                <w:rFonts w:ascii="Arial" w:cs="Arial" w:eastAsia="Arial" w:hAnsi="Arial"/>
                <w:sz w:val="14"/>
                <w:szCs w:val="14"/>
                <w:color w:val="auto"/>
              </w:rPr>
              <w:t>(21)</w:t>
            </w:r>
          </w:p>
        </w:tc>
        <w:tc>
          <w:tcPr>
            <w:tcW w:w="600" w:type="dxa"/>
            <w:vAlign w:val="bottom"/>
            <w:tcBorders>
              <w:bottom w:val="single" w:sz="8" w:color="E5E5E5"/>
            </w:tcBorders>
            <w:shd w:val="clear" w:color="auto" w:fill="E5E5E5"/>
          </w:tcPr>
          <w:p>
            <w:pPr>
              <w:jc w:val="right"/>
              <w:ind w:right="188"/>
              <w:spacing w:after="0" w:line="155" w:lineRule="exact"/>
              <w:rPr>
                <w:sz w:val="20"/>
                <w:szCs w:val="20"/>
                <w:color w:val="auto"/>
              </w:rPr>
            </w:pPr>
            <w:r>
              <w:rPr>
                <w:rFonts w:ascii="Arial" w:cs="Arial" w:eastAsia="Arial" w:hAnsi="Arial"/>
                <w:sz w:val="14"/>
                <w:szCs w:val="14"/>
                <w:color w:val="auto"/>
              </w:rPr>
              <w:t>(13)</w:t>
            </w:r>
          </w:p>
        </w:tc>
        <w:tc>
          <w:tcPr>
            <w:tcW w:w="740" w:type="dxa"/>
            <w:vAlign w:val="bottom"/>
            <w:tcBorders>
              <w:bottom w:val="single" w:sz="8" w:color="E5E5E5"/>
            </w:tcBorders>
            <w:shd w:val="clear" w:color="auto" w:fill="E5E5E5"/>
          </w:tcPr>
          <w:p>
            <w:pPr>
              <w:jc w:val="right"/>
              <w:ind w:right="108"/>
              <w:spacing w:after="0" w:line="155" w:lineRule="exact"/>
              <w:rPr>
                <w:sz w:val="20"/>
                <w:szCs w:val="20"/>
                <w:color w:val="auto"/>
              </w:rPr>
            </w:pPr>
            <w:r>
              <w:rPr>
                <w:rFonts w:ascii="Arial" w:cs="Arial" w:eastAsia="Arial" w:hAnsi="Arial"/>
                <w:sz w:val="14"/>
                <w:szCs w:val="14"/>
                <w:color w:val="auto"/>
              </w:rPr>
              <w:t>2</w:t>
            </w:r>
          </w:p>
        </w:tc>
        <w:tc>
          <w:tcPr>
            <w:tcW w:w="740" w:type="dxa"/>
            <w:vAlign w:val="bottom"/>
            <w:tcBorders>
              <w:bottom w:val="single" w:sz="8" w:color="E5E5E5"/>
            </w:tcBorders>
            <w:shd w:val="clear" w:color="auto" w:fill="E5E5E5"/>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E5E5E5"/>
            </w:tcBorders>
            <w:shd w:val="clear" w:color="auto" w:fill="E5E5E5"/>
          </w:tcPr>
          <w:p>
            <w:pPr>
              <w:jc w:val="right"/>
              <w:ind w:right="228"/>
              <w:spacing w:after="0" w:line="155" w:lineRule="exact"/>
              <w:rPr>
                <w:sz w:val="20"/>
                <w:szCs w:val="20"/>
                <w:color w:val="auto"/>
              </w:rPr>
            </w:pPr>
            <w:r>
              <w:rPr>
                <w:rFonts w:ascii="Arial" w:cs="Arial" w:eastAsia="Arial" w:hAnsi="Arial"/>
                <w:sz w:val="14"/>
                <w:szCs w:val="14"/>
                <w:color w:val="auto"/>
              </w:rPr>
              <w:t>(142)</w:t>
            </w:r>
          </w:p>
        </w:tc>
        <w:tc>
          <w:tcPr>
            <w:tcW w:w="620" w:type="dxa"/>
            <w:vAlign w:val="bottom"/>
            <w:tcBorders>
              <w:bottom w:val="single" w:sz="8" w:color="E5E5E5"/>
            </w:tcBorders>
            <w:shd w:val="clear" w:color="auto" w:fill="E5E5E5"/>
          </w:tcPr>
          <w:p>
            <w:pPr>
              <w:jc w:val="right"/>
              <w:ind w:right="168"/>
              <w:spacing w:after="0" w:line="155" w:lineRule="exact"/>
              <w:rPr>
                <w:sz w:val="20"/>
                <w:szCs w:val="20"/>
                <w:color w:val="auto"/>
              </w:rPr>
            </w:pPr>
            <w:r>
              <w:rPr>
                <w:rFonts w:ascii="Arial" w:cs="Arial" w:eastAsia="Arial" w:hAnsi="Arial"/>
                <w:sz w:val="14"/>
                <w:szCs w:val="14"/>
                <w:color w:val="auto"/>
              </w:rPr>
              <w:t>(24)</w:t>
            </w:r>
          </w:p>
        </w:tc>
        <w:tc>
          <w:tcPr>
            <w:tcW w:w="960" w:type="dxa"/>
            <w:vAlign w:val="bottom"/>
            <w:tcBorders>
              <w:bottom w:val="single" w:sz="8" w:color="E5E5E5"/>
            </w:tcBorders>
            <w:shd w:val="clear" w:color="auto" w:fill="E5E5E5"/>
          </w:tcPr>
          <w:p>
            <w:pPr>
              <w:jc w:val="right"/>
              <w:ind w:right="208"/>
              <w:spacing w:after="0" w:line="155" w:lineRule="exact"/>
              <w:rPr>
                <w:sz w:val="20"/>
                <w:szCs w:val="20"/>
                <w:color w:val="auto"/>
              </w:rPr>
            </w:pPr>
            <w:r>
              <w:rPr>
                <w:rFonts w:ascii="Arial" w:cs="Arial" w:eastAsia="Arial" w:hAnsi="Arial"/>
                <w:sz w:val="14"/>
                <w:szCs w:val="14"/>
                <w:color w:val="auto"/>
              </w:rPr>
              <w:t>1,136</w:t>
            </w:r>
          </w:p>
        </w:tc>
        <w:tc>
          <w:tcPr>
            <w:tcW w:w="540" w:type="dxa"/>
            <w:vAlign w:val="bottom"/>
            <w:tcBorders>
              <w:bottom w:val="single" w:sz="8" w:color="E5E5E5"/>
            </w:tcBorders>
            <w:shd w:val="clear" w:color="auto" w:fill="E5E5E5"/>
          </w:tcPr>
          <w:p>
            <w:pPr>
              <w:jc w:val="right"/>
              <w:ind w:right="108"/>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3260" w:type="dxa"/>
            <w:vAlign w:val="bottom"/>
            <w:tcBorders>
              <w:bottom w:val="single" w:sz="8" w:color="8C8272"/>
            </w:tcBorders>
            <w:gridSpan w:val="3"/>
          </w:tcPr>
          <w:p>
            <w:pPr>
              <w:ind w:left="20"/>
              <w:spacing w:after="0"/>
              <w:rPr>
                <w:sz w:val="20"/>
                <w:szCs w:val="20"/>
                <w:color w:val="auto"/>
              </w:rPr>
            </w:pPr>
            <w:r>
              <w:rPr>
                <w:rFonts w:ascii="Arial" w:cs="Arial" w:eastAsia="Arial" w:hAnsi="Arial"/>
                <w:sz w:val="14"/>
                <w:szCs w:val="14"/>
                <w:color w:val="auto"/>
              </w:rPr>
              <w:t>Other (c)</w:t>
            </w:r>
          </w:p>
        </w:tc>
        <w:tc>
          <w:tcPr>
            <w:tcW w:w="1260" w:type="dxa"/>
            <w:vAlign w:val="bottom"/>
            <w:tcBorders>
              <w:bottom w:val="single" w:sz="8" w:color="8C8272"/>
            </w:tcBorders>
          </w:tcPr>
          <w:p>
            <w:pPr>
              <w:jc w:val="right"/>
              <w:ind w:right="288"/>
              <w:spacing w:after="0"/>
              <w:rPr>
                <w:sz w:val="20"/>
                <w:szCs w:val="20"/>
                <w:color w:val="auto"/>
              </w:rPr>
            </w:pPr>
            <w:r>
              <w:rPr>
                <w:rFonts w:ascii="Arial" w:cs="Arial" w:eastAsia="Arial" w:hAnsi="Arial"/>
                <w:sz w:val="14"/>
                <w:szCs w:val="14"/>
                <w:color w:val="auto"/>
              </w:rPr>
              <w:t>(1)</w:t>
            </w:r>
          </w:p>
        </w:tc>
        <w:tc>
          <w:tcPr>
            <w:tcW w:w="600" w:type="dxa"/>
            <w:vAlign w:val="bottom"/>
            <w:tcBorders>
              <w:bottom w:val="single" w:sz="8" w:color="8C8272"/>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8C8272"/>
            </w:tcBorders>
          </w:tcPr>
          <w:p>
            <w:pPr>
              <w:jc w:val="right"/>
              <w:ind w:right="268"/>
              <w:spacing w:after="0"/>
              <w:rPr>
                <w:sz w:val="20"/>
                <w:szCs w:val="20"/>
                <w:color w:val="auto"/>
              </w:rPr>
            </w:pPr>
            <w:r>
              <w:rPr>
                <w:rFonts w:ascii="Arial" w:cs="Arial" w:eastAsia="Arial" w:hAnsi="Arial"/>
                <w:sz w:val="14"/>
                <w:szCs w:val="14"/>
                <w:color w:val="auto"/>
              </w:rPr>
              <w:t>(10)</w:t>
            </w:r>
          </w:p>
        </w:tc>
        <w:tc>
          <w:tcPr>
            <w:tcW w:w="600" w:type="dxa"/>
            <w:vAlign w:val="bottom"/>
            <w:tcBorders>
              <w:bottom w:val="single" w:sz="8" w:color="8C8272"/>
            </w:tcBorders>
          </w:tcPr>
          <w:p>
            <w:pPr>
              <w:jc w:val="right"/>
              <w:ind w:right="188"/>
              <w:spacing w:after="0"/>
              <w:rPr>
                <w:sz w:val="20"/>
                <w:szCs w:val="20"/>
                <w:color w:val="auto"/>
              </w:rPr>
            </w:pPr>
            <w:r>
              <w:rPr>
                <w:rFonts w:ascii="Arial" w:cs="Arial" w:eastAsia="Arial" w:hAnsi="Arial"/>
                <w:sz w:val="14"/>
                <w:szCs w:val="14"/>
                <w:color w:val="auto"/>
              </w:rPr>
              <w:t>(6)</w:t>
            </w:r>
          </w:p>
        </w:tc>
        <w:tc>
          <w:tcPr>
            <w:tcW w:w="74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color w:val="auto"/>
              </w:rPr>
              <w:t>(3)</w:t>
            </w:r>
          </w:p>
        </w:tc>
        <w:tc>
          <w:tcPr>
            <w:tcW w:w="740" w:type="dxa"/>
            <w:vAlign w:val="bottom"/>
            <w:tcBorders>
              <w:bottom w:val="single" w:sz="8" w:color="8C8272"/>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8C8272"/>
            </w:tcBorders>
          </w:tcPr>
          <w:p>
            <w:pPr>
              <w:jc w:val="right"/>
              <w:ind w:right="228"/>
              <w:spacing w:after="0"/>
              <w:rPr>
                <w:sz w:val="20"/>
                <w:szCs w:val="20"/>
                <w:color w:val="auto"/>
              </w:rPr>
            </w:pPr>
            <w:r>
              <w:rPr>
                <w:rFonts w:ascii="Arial" w:cs="Arial" w:eastAsia="Arial" w:hAnsi="Arial"/>
                <w:sz w:val="14"/>
                <w:szCs w:val="14"/>
                <w:color w:val="auto"/>
              </w:rPr>
              <w:t>(11)</w:t>
            </w:r>
          </w:p>
        </w:tc>
        <w:tc>
          <w:tcPr>
            <w:tcW w:w="62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8C8272"/>
            </w:tcBorders>
          </w:tcPr>
          <w:p>
            <w:pPr>
              <w:jc w:val="right"/>
              <w:ind w:right="208"/>
              <w:spacing w:after="0"/>
              <w:rPr>
                <w:sz w:val="20"/>
                <w:szCs w:val="20"/>
                <w:color w:val="auto"/>
              </w:rPr>
            </w:pPr>
            <w:r>
              <w:rPr>
                <w:rFonts w:ascii="Arial" w:cs="Arial" w:eastAsia="Arial" w:hAnsi="Arial"/>
                <w:sz w:val="14"/>
                <w:szCs w:val="14"/>
                <w:color w:val="auto"/>
              </w:rPr>
              <w:t>437</w:t>
            </w:r>
          </w:p>
        </w:tc>
        <w:tc>
          <w:tcPr>
            <w:tcW w:w="54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3260" w:type="dxa"/>
            <w:vAlign w:val="bottom"/>
            <w:tcBorders>
              <w:bottom w:val="single" w:sz="8" w:color="8C8272"/>
            </w:tcBorders>
            <w:gridSpan w:val="3"/>
            <w:shd w:val="clear" w:color="auto" w:fill="E5E5E5"/>
          </w:tcPr>
          <w:p>
            <w:pPr>
              <w:ind w:left="140"/>
              <w:spacing w:after="0"/>
              <w:rPr>
                <w:sz w:val="20"/>
                <w:szCs w:val="20"/>
                <w:color w:val="auto"/>
              </w:rPr>
            </w:pPr>
            <w:r>
              <w:rPr>
                <w:rFonts w:ascii="Arial" w:cs="Arial" w:eastAsia="Arial" w:hAnsi="Arial"/>
                <w:sz w:val="14"/>
                <w:szCs w:val="14"/>
                <w:b w:val="1"/>
                <w:bCs w:val="1"/>
                <w:color w:val="auto"/>
              </w:rPr>
              <w:t>Total Con Edison</w:t>
            </w:r>
          </w:p>
        </w:tc>
        <w:tc>
          <w:tcPr>
            <w:tcW w:w="1260" w:type="dxa"/>
            <w:vAlign w:val="bottom"/>
            <w:tcBorders>
              <w:bottom w:val="single" w:sz="8" w:color="8C8272"/>
            </w:tcBorders>
            <w:shd w:val="clear" w:color="auto" w:fill="E5E5E5"/>
          </w:tcPr>
          <w:p>
            <w:pPr>
              <w:jc w:val="right"/>
              <w:ind w:right="268"/>
              <w:spacing w:after="0"/>
              <w:rPr>
                <w:sz w:val="20"/>
                <w:szCs w:val="20"/>
                <w:color w:val="auto"/>
              </w:rPr>
            </w:pPr>
            <w:r>
              <w:rPr>
                <w:rFonts w:ascii="Arial" w:cs="Arial" w:eastAsia="Arial" w:hAnsi="Arial"/>
                <w:sz w:val="14"/>
                <w:szCs w:val="14"/>
                <w:b w:val="1"/>
                <w:bCs w:val="1"/>
                <w:color w:val="auto"/>
              </w:rPr>
              <w:t>$2,971</w:t>
            </w:r>
          </w:p>
        </w:tc>
        <w:tc>
          <w:tcPr>
            <w:tcW w:w="60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100 %</w:t>
            </w:r>
          </w:p>
        </w:tc>
        <w:tc>
          <w:tcPr>
            <w:tcW w:w="900" w:type="dxa"/>
            <w:vAlign w:val="bottom"/>
            <w:tcBorders>
              <w:bottom w:val="single" w:sz="8" w:color="8C8272"/>
            </w:tcBorders>
            <w:shd w:val="clear" w:color="auto" w:fill="E5E5E5"/>
          </w:tcPr>
          <w:p>
            <w:pPr>
              <w:jc w:val="right"/>
              <w:ind w:right="268"/>
              <w:spacing w:after="0"/>
              <w:rPr>
                <w:sz w:val="20"/>
                <w:szCs w:val="20"/>
                <w:color w:val="auto"/>
              </w:rPr>
            </w:pPr>
            <w:r>
              <w:rPr>
                <w:rFonts w:ascii="Arial" w:cs="Arial" w:eastAsia="Arial" w:hAnsi="Arial"/>
                <w:sz w:val="14"/>
                <w:szCs w:val="14"/>
                <w:b w:val="1"/>
                <w:bCs w:val="1"/>
                <w:color w:val="auto"/>
              </w:rPr>
              <w:t>$165</w:t>
            </w:r>
          </w:p>
        </w:tc>
        <w:tc>
          <w:tcPr>
            <w:tcW w:w="60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b w:val="1"/>
                <w:bCs w:val="1"/>
                <w:color w:val="auto"/>
              </w:rPr>
              <w:t>100 %</w:t>
            </w:r>
          </w:p>
        </w:tc>
        <w:tc>
          <w:tcPr>
            <w:tcW w:w="740" w:type="dxa"/>
            <w:vAlign w:val="bottom"/>
            <w:tcBorders>
              <w:bottom w:val="single" w:sz="8" w:color="8C8272"/>
            </w:tcBorders>
            <w:shd w:val="clear" w:color="auto" w:fill="E5E5E5"/>
          </w:tcPr>
          <w:p>
            <w:pPr>
              <w:jc w:val="right"/>
              <w:ind w:right="108"/>
              <w:spacing w:after="0"/>
              <w:rPr>
                <w:sz w:val="20"/>
                <w:szCs w:val="20"/>
                <w:color w:val="auto"/>
              </w:rPr>
            </w:pPr>
            <w:r>
              <w:rPr>
                <w:rFonts w:ascii="Arial" w:cs="Arial" w:eastAsia="Arial" w:hAnsi="Arial"/>
                <w:sz w:val="14"/>
                <w:szCs w:val="14"/>
                <w:b w:val="1"/>
                <w:bCs w:val="1"/>
                <w:color w:val="auto"/>
              </w:rPr>
              <w:t>$6,648</w:t>
            </w:r>
          </w:p>
        </w:tc>
        <w:tc>
          <w:tcPr>
            <w:tcW w:w="74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100 %</w:t>
            </w:r>
          </w:p>
        </w:tc>
        <w:tc>
          <w:tcPr>
            <w:tcW w:w="880" w:type="dxa"/>
            <w:vAlign w:val="bottom"/>
            <w:tcBorders>
              <w:bottom w:val="single" w:sz="8" w:color="8C8272"/>
            </w:tcBorders>
            <w:shd w:val="clear" w:color="auto" w:fill="E5E5E5"/>
          </w:tcPr>
          <w:p>
            <w:pPr>
              <w:jc w:val="right"/>
              <w:ind w:right="228"/>
              <w:spacing w:after="0"/>
              <w:rPr>
                <w:sz w:val="20"/>
                <w:szCs w:val="20"/>
                <w:color w:val="auto"/>
              </w:rPr>
            </w:pPr>
            <w:r>
              <w:rPr>
                <w:rFonts w:ascii="Arial" w:cs="Arial" w:eastAsia="Arial" w:hAnsi="Arial"/>
                <w:sz w:val="14"/>
                <w:szCs w:val="14"/>
                <w:b w:val="1"/>
                <w:bCs w:val="1"/>
                <w:color w:val="auto"/>
              </w:rPr>
              <w:t>$584</w:t>
            </w:r>
          </w:p>
        </w:tc>
        <w:tc>
          <w:tcPr>
            <w:tcW w:w="62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100 %</w:t>
            </w:r>
          </w:p>
        </w:tc>
        <w:tc>
          <w:tcPr>
            <w:tcW w:w="960" w:type="dxa"/>
            <w:vAlign w:val="bottom"/>
            <w:tcBorders>
              <w:bottom w:val="single" w:sz="8" w:color="8C8272"/>
            </w:tcBorders>
            <w:shd w:val="clear" w:color="auto" w:fill="E5E5E5"/>
          </w:tcPr>
          <w:p>
            <w:pPr>
              <w:jc w:val="right"/>
              <w:ind w:right="208"/>
              <w:spacing w:after="0"/>
              <w:rPr>
                <w:sz w:val="20"/>
                <w:szCs w:val="20"/>
                <w:color w:val="auto"/>
              </w:rPr>
            </w:pPr>
            <w:r>
              <w:rPr>
                <w:rFonts w:ascii="Arial" w:cs="Arial" w:eastAsia="Arial" w:hAnsi="Arial"/>
                <w:sz w:val="14"/>
                <w:szCs w:val="14"/>
                <w:b w:val="1"/>
                <w:bCs w:val="1"/>
                <w:color w:val="auto"/>
              </w:rPr>
              <w:t>$62,919</w:t>
            </w:r>
          </w:p>
        </w:tc>
        <w:tc>
          <w:tcPr>
            <w:tcW w:w="5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-128270</wp:posOffset>
            </wp:positionV>
            <wp:extent cx="8255" cy="1714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-102235</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-85090</wp:posOffset>
            </wp:positionV>
            <wp:extent cx="825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-67945</wp:posOffset>
            </wp:positionV>
            <wp:extent cx="8255"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-50800</wp:posOffset>
            </wp:positionV>
            <wp:extent cx="8255"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-33655</wp:posOffset>
            </wp:positionV>
            <wp:extent cx="825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-16510</wp:posOffset>
            </wp:positionV>
            <wp:extent cx="82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-128270</wp:posOffset>
            </wp:positionV>
            <wp:extent cx="8890" cy="1714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-102235</wp:posOffset>
            </wp:positionV>
            <wp:extent cx="889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-85090</wp:posOffset>
            </wp:positionV>
            <wp:extent cx="8890"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-67945</wp:posOffset>
            </wp:positionV>
            <wp:extent cx="889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-50800</wp:posOffset>
            </wp:positionV>
            <wp:extent cx="8890"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-33655</wp:posOffset>
            </wp:positionV>
            <wp:extent cx="8890"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-16510</wp:posOffset>
            </wp:positionV>
            <wp:extent cx="8890"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-230505</wp:posOffset>
            </wp:positionV>
            <wp:extent cx="825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-213995</wp:posOffset>
            </wp:positionV>
            <wp:extent cx="8255"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-196850</wp:posOffset>
            </wp:positionV>
            <wp:extent cx="8255"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-179070</wp:posOffset>
            </wp:positionV>
            <wp:extent cx="825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-162560</wp:posOffset>
            </wp:positionV>
            <wp:extent cx="825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-144780</wp:posOffset>
            </wp:positionV>
            <wp:extent cx="8255"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-230505</wp:posOffset>
            </wp:positionV>
            <wp:extent cx="889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-213995</wp:posOffset>
            </wp:positionV>
            <wp:extent cx="8890"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-196850</wp:posOffset>
            </wp:positionV>
            <wp:extent cx="889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-179070</wp:posOffset>
            </wp:positionV>
            <wp:extent cx="8890"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-162560</wp:posOffset>
            </wp:positionV>
            <wp:extent cx="889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-144780</wp:posOffset>
            </wp:positionV>
            <wp:extent cx="889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-350520</wp:posOffset>
            </wp:positionV>
            <wp:extent cx="825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-334010</wp:posOffset>
            </wp:positionV>
            <wp:extent cx="825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-316230</wp:posOffset>
            </wp:positionV>
            <wp:extent cx="825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-299720</wp:posOffset>
            </wp:positionV>
            <wp:extent cx="8255"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-282575</wp:posOffset>
            </wp:positionV>
            <wp:extent cx="8255"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-264795</wp:posOffset>
            </wp:positionV>
            <wp:extent cx="8255" cy="2540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-350520</wp:posOffset>
            </wp:positionV>
            <wp:extent cx="8890"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-334010</wp:posOffset>
            </wp:positionV>
            <wp:extent cx="889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-316230</wp:posOffset>
            </wp:positionV>
            <wp:extent cx="8890"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-299720</wp:posOffset>
            </wp:positionV>
            <wp:extent cx="8890"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-282575</wp:posOffset>
            </wp:positionV>
            <wp:extent cx="889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-264795</wp:posOffset>
            </wp:positionV>
            <wp:extent cx="8890" cy="2540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-471170</wp:posOffset>
            </wp:positionV>
            <wp:extent cx="8255"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-453390</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-436245</wp:posOffset>
            </wp:positionV>
            <wp:extent cx="8255"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-419735</wp:posOffset>
            </wp:positionV>
            <wp:extent cx="8255"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-401955</wp:posOffset>
            </wp:positionV>
            <wp:extent cx="825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-385445</wp:posOffset>
            </wp:positionV>
            <wp:extent cx="8255" cy="2603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-471170</wp:posOffset>
            </wp:positionV>
            <wp:extent cx="889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-453390</wp:posOffset>
            </wp:positionV>
            <wp:extent cx="8890"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-436245</wp:posOffset>
            </wp:positionV>
            <wp:extent cx="8890"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-419735</wp:posOffset>
            </wp:positionV>
            <wp:extent cx="889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-401955</wp:posOffset>
            </wp:positionV>
            <wp:extent cx="889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-385445</wp:posOffset>
            </wp:positionV>
            <wp:extent cx="8890" cy="2603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-616585</wp:posOffset>
            </wp:positionV>
            <wp:extent cx="8255" cy="1714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-591185</wp:posOffset>
            </wp:positionV>
            <wp:extent cx="8255"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-573405</wp:posOffset>
            </wp:positionV>
            <wp:extent cx="8255"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-556895</wp:posOffset>
            </wp:positionV>
            <wp:extent cx="825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-539115</wp:posOffset>
            </wp:positionV>
            <wp:extent cx="8255"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-521970</wp:posOffset>
            </wp:positionV>
            <wp:extent cx="825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-505460</wp:posOffset>
            </wp:positionV>
            <wp:extent cx="8255" cy="2603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-616585</wp:posOffset>
            </wp:positionV>
            <wp:extent cx="8890" cy="1714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-591185</wp:posOffset>
            </wp:positionV>
            <wp:extent cx="889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-573405</wp:posOffset>
            </wp:positionV>
            <wp:extent cx="889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-556895</wp:posOffset>
            </wp:positionV>
            <wp:extent cx="8890"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-539115</wp:posOffset>
            </wp:positionV>
            <wp:extent cx="8890"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-521970</wp:posOffset>
            </wp:positionV>
            <wp:extent cx="8890"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-505460</wp:posOffset>
            </wp:positionV>
            <wp:extent cx="8890" cy="2603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-719455</wp:posOffset>
            </wp:positionV>
            <wp:extent cx="8255"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-702310</wp:posOffset>
            </wp:positionV>
            <wp:extent cx="825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-685165</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-668020</wp:posOffset>
            </wp:positionV>
            <wp:extent cx="8255"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-650875</wp:posOffset>
            </wp:positionV>
            <wp:extent cx="825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-633730</wp:posOffset>
            </wp:positionV>
            <wp:extent cx="8255"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-719455</wp:posOffset>
            </wp:positionV>
            <wp:extent cx="889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-702310</wp:posOffset>
            </wp:positionV>
            <wp:extent cx="8890"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-685165</wp:posOffset>
            </wp:positionV>
            <wp:extent cx="889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-668020</wp:posOffset>
            </wp:positionV>
            <wp:extent cx="8890"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-650875</wp:posOffset>
            </wp:positionV>
            <wp:extent cx="889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-633730</wp:posOffset>
            </wp:positionV>
            <wp:extent cx="889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-864870</wp:posOffset>
            </wp:positionV>
            <wp:extent cx="8255" cy="1714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-839470</wp:posOffset>
            </wp:positionV>
            <wp:extent cx="825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-822325</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-805180</wp:posOffset>
            </wp:positionV>
            <wp:extent cx="8255"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-788035</wp:posOffset>
            </wp:positionV>
            <wp:extent cx="8255"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-770890</wp:posOffset>
            </wp:positionV>
            <wp:extent cx="8255"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-753745</wp:posOffset>
            </wp:positionV>
            <wp:extent cx="8255" cy="2540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-864870</wp:posOffset>
            </wp:positionV>
            <wp:extent cx="8890" cy="1714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-839470</wp:posOffset>
            </wp:positionV>
            <wp:extent cx="889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-822325</wp:posOffset>
            </wp:positionV>
            <wp:extent cx="8890"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-805180</wp:posOffset>
            </wp:positionV>
            <wp:extent cx="889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-788035</wp:posOffset>
            </wp:positionV>
            <wp:extent cx="8890"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-770890</wp:posOffset>
            </wp:positionV>
            <wp:extent cx="8890"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-753745</wp:posOffset>
            </wp:positionV>
            <wp:extent cx="8890" cy="2540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-1079500</wp:posOffset>
            </wp:positionV>
            <wp:extent cx="8255" cy="1714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-1053465</wp:posOffset>
            </wp:positionV>
            <wp:extent cx="8255"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-1036320</wp:posOffset>
            </wp:positionV>
            <wp:extent cx="825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-1019810</wp:posOffset>
            </wp:positionV>
            <wp:extent cx="8255"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-1002030</wp:posOffset>
            </wp:positionV>
            <wp:extent cx="8255"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-985520</wp:posOffset>
            </wp:positionV>
            <wp:extent cx="8255"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-967740</wp:posOffset>
            </wp:positionV>
            <wp:extent cx="825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-950595</wp:posOffset>
            </wp:positionV>
            <wp:extent cx="825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-934085</wp:posOffset>
            </wp:positionV>
            <wp:extent cx="8255"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-916305</wp:posOffset>
            </wp:positionV>
            <wp:extent cx="8255"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-899795</wp:posOffset>
            </wp:positionV>
            <wp:extent cx="8255"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-882015</wp:posOffset>
            </wp:positionV>
            <wp:extent cx="8255"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-1079500</wp:posOffset>
            </wp:positionV>
            <wp:extent cx="8890" cy="1714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-1053465</wp:posOffset>
            </wp:positionV>
            <wp:extent cx="8890"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-1036320</wp:posOffset>
            </wp:positionV>
            <wp:extent cx="889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-1019810</wp:posOffset>
            </wp:positionV>
            <wp:extent cx="889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-1002030</wp:posOffset>
            </wp:positionV>
            <wp:extent cx="8890"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-985520</wp:posOffset>
            </wp:positionV>
            <wp:extent cx="8890"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-967740</wp:posOffset>
            </wp:positionV>
            <wp:extent cx="8890"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-950595</wp:posOffset>
            </wp:positionV>
            <wp:extent cx="8890"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-934085</wp:posOffset>
            </wp:positionV>
            <wp:extent cx="889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-916305</wp:posOffset>
            </wp:positionV>
            <wp:extent cx="8890"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-899795</wp:posOffset>
            </wp:positionV>
            <wp:extent cx="8890"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-882015</wp:posOffset>
            </wp:positionV>
            <wp:extent cx="8890"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79" w:lineRule="exact"/>
        <w:rPr>
          <w:sz w:val="20"/>
          <w:szCs w:val="20"/>
          <w:color w:val="auto"/>
        </w:rPr>
      </w:pPr>
    </w:p>
    <w:p>
      <w:pPr>
        <w:ind w:left="340" w:hanging="332"/>
        <w:spacing w:after="0" w:line="241"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Net income for common stock from the Clean Energy Businesses for the three and six months ended June 30, 2021 includes $(20) million and $29 million, respectively, of net after-tax mark-to-market income, reflects $36 million (after-tax) and $34 million (after-tax), respectively, of income attributable to the non-controlling interest of a tax equity investor in renewable electric production projects accounted for under the HLBV method of accounting and includes $(3) million (after-tax) and $(3) million (after-tax), respectively, for the loss from the sale of a renewable electric production project. See Note P to the Second Quarter Financial Statements.</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Net income for common stock from Con Edison Transmission for the three and six months ended June 30, 2021 includes $(28) million and $(153) million, respectively, of a net after-tax impairment loss related to its investment in Stagecoach. See Note A to the Second Quarter Financial Statements.</w:t>
      </w:r>
    </w:p>
    <w:p>
      <w:pPr>
        <w:jc w:val="both"/>
        <w:ind w:left="340" w:hanging="332"/>
        <w:spacing w:after="0" w:line="249" w:lineRule="auto"/>
        <w:tabs>
          <w:tab w:leader="none" w:pos="3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Other includes parent company and consolidation adjustments. Net income for common stock for the three and six months ended June 30, 2021 includes $(3) million (after-tax) and $(3) million (after-tax), respectively, of income attributable to the non-controlling interest of a tax equity investor in renewable electric production projects accounted for under the HLBV method of accounting and $1 million and $6 million, respectively, of income tax impact for the impairment loss related to its investment in Stagecoach.</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Coronavirus Disease 2019 (COVID-19) Impacts</w:t>
      </w:r>
    </w:p>
    <w:p>
      <w:pPr>
        <w:spacing w:after="0" w:line="3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Companies continue to respond to the Coronavirus Disease 2019 (COVID-19) global pandemic by working to reduce the potential risks posed by its spread to employees, customers and other stakeholders. The Companies continue to employ an incident command structure led by a pandemic planning team. The Companies support employee health and facility hygiene through regular cleaning and disinfecting of all work and common areas, promoting social distancing, allowing employees to work remotely and directing employees to stay at home if they are experiencing COVID or flu-like symptoms. Employees who test positive for COVID-19 are directed to quarantine at home and are evaluated for close, prolonged contact with other employees that would require those employees to quarantine at home. Following the Centers for Disease Control and Prevention guidelines, sick or quarantined employees return to work when they can safely do so. The Utilities continue to provide critical electric, gas and steam service to customers during the pandemic. Additional safety protocols have been implemented to protect employees, customers and the public, when work at customer premises is required. The Companies have procured an inventory of pandemic-related materials to address anticipated future needs and maintain regular communications with key suppliers.</w:t>
      </w:r>
    </w:p>
    <w:p>
      <w:pPr>
        <w:spacing w:after="0" w:line="233"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Below is additional information related to the effects of the COVID-19 pandemic and the Companies’ actions. Also, see “COVID-19 Regulatory Matters” in Note B to the Second Quarter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CARES Act and 2021 Appropriations Act on Accounting for Income Taxes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ind w:right="40"/>
        <w:spacing w:after="0" w:line="252" w:lineRule="auto"/>
        <w:rPr>
          <w:sz w:val="20"/>
          <w:szCs w:val="20"/>
          <w:color w:val="auto"/>
        </w:rPr>
      </w:pPr>
      <w:r>
        <w:rPr>
          <w:rFonts w:ascii="Arial" w:cs="Arial" w:eastAsia="Arial" w:hAnsi="Arial"/>
          <w:sz w:val="18"/>
          <w:szCs w:val="18"/>
          <w:color w:val="auto"/>
        </w:rPr>
        <w:t>In response to the economic impacts of the COVID-19 pandemic, the Coronavirus Aid, Relief, and Economic Security (CARES) Act became law on March 27, 2020. The CARES Act has several key business tax relief measures that may present potential cash benefits and/or refund opportunities for Con Edison and its subsidiaries, including permitting a five-year carryback of a net operating loss (NOL) for tax years 2018, 2019 and 2020, temporary removal of the 80 percent limitation of NOL carryforwards against taxable income for tax years before 2021, temporary relaxation of the limitations on interest deductions, Employee Retention Tax Credit and deferral of payments of employer payroll taxes.</w:t>
      </w:r>
    </w:p>
    <w:p>
      <w:pPr>
        <w:spacing w:after="0" w:line="2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Con Edison carried back its NOL of $ 29 million from tax year 2018 to tax year 2013. This allowed Con Edison, mostly at the Clean Energy Businesses, to receive a $2.5 million net tax refund and to recognize a discrete income tax benefit of $4 million in 2020, due to the higher federal statutory tax rate in 2013. See "Income Tax" in Note J. Con Edison and its subsidiaries did not have a federal NOL in tax years 2019 or 2020.</w:t>
      </w:r>
    </w:p>
    <w:p>
      <w:pPr>
        <w:spacing w:after="0" w:line="23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Con Edison and its subsidiaries benefited by the increase in the percentage for calculating the limitation on the interest expense deduction from 30 percent of Adjusted Taxable Income (ATI) to 50 percent of ATI in 2019 and 2020, which allowed the Companies to deduct 100 percent of their interest expense. For 2021, the limitation on interest expense for computing ATI has reverted back to 30 percent.</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Companies qualify for an employee retention tax credit created under the CARES Act for "eligible employers" related to governmental authorities imposing restrictions that partially suspended their operations for a portion of their workforce due to the COVID-19 pandemic and the Companies continued to pay them. For the year ended December 31, 2020, Con Edison and CECONY recognized a tax benefit to Taxes, other than income taxes of $10 million and $7 million, respectively.</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CARES Act also allows employers to defer payments of the employer share of Social Security payroll taxes that would have otherwise been owed from March 27, 2020 through December 31, 2020. The Companies deferred the payment of employer payroll taxes for the period April 1, 2020 through December 31, 2020 of approximately $71 million ($63 million of which is for CECONY). The Companies will repay half of this liability by December 31, 2021 and the other half by December 31, 2022.</w:t>
      </w:r>
    </w:p>
    <w:p>
      <w:pPr>
        <w:spacing w:after="0" w:line="2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December 2020, the Consolidated Appropriations Act, 2021 (the 2021 Appropriations Act) was signed into law. The 2021 Appropriations Act, among other things, extends the expiring employee retention tax credit to include qualified wages paid in the first two quarters of 2021, increases the qualified wages paid to an employee from 50 percent up to $10,000 annually in 2020 to 70 percent up to $10,000 per quarter in 2021 and increases the maximum employee retention tax credit amount an employer can take per employee from $5,000 in 2020 to $14,000 in the first two quarters of 2021. In March 2021, the American Rescue Plan Act was signed into law that expanded the 2021 Appropriations Act to extend the period for eligible employers to receive the employer retention credit from June 30, 2021 to December 31,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Considerations</w:t>
      </w:r>
    </w:p>
    <w:p>
      <w:pPr>
        <w:spacing w:after="0" w:line="18"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Due to the COVID-19 pandemic and subsequent New York State on PAUSE and related executive orders (that have since been lifted), decline in business, bankruptcies, layoffs and furloughs, among other factors, both commercial and residential customers have had and may continue to have increased difficulty paying their utility bills. In June 2020, the state of New York enacted a law prohibiting New York utilities, including CECONY and O&amp;R, from disconnecting residential customers, and starting in May 2021 small business customers, during the COVID-19 state of emergency, which ended in June 2021. In addition, such prohibitions will apply for an additional 180 days after the state of emergency ends (December 21, 2021) for residential and small business customers who have experienced a change in financial circumstances due to the COVID-19 pandemic. CECONY and O&amp;R have existing allowances for uncollectible accounts established against their customer accounts receivable balances that are reevaluated each quarter and updated accordingly. Changes to the Utilities’ reserve balances that result in write-offs of customer accounts receivable balances are not reflected in rates during the term of the current rate plans. During the second quarter of 2021, the potential economic impact of the COVID-19 pandemic was also considered in forward-looking projections related to write-off and recovery rates, resulting in increases to the customer allowance for uncollectible accounts as detailed herein. CECONY’s and O&amp;R’s allowances for uncollectible customer accounts reserve increased from $138 million and $8.7 million at December 31, 2020 to $ 262 million and $12.5 million at June 30, 2021, respectively. See "COVID-19 Regulatory Matters" in Note B and Note L to the Second Quarter Financial Statements.</w:t>
      </w:r>
    </w:p>
    <w:p>
      <w:pPr>
        <w:spacing w:after="0" w:line="234"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The Companies test goodwill for impairment at least annually or whenever there is a triggering event, and test long-lived and intangible assets for recoverability when events or changes in circumstances indicate that the carrying</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5" w:name="page56"/>
    <w:bookmarkEnd w:id="55"/>
    <w:p>
      <w:pPr>
        <w:ind w:right="160"/>
        <w:spacing w:after="0"/>
        <w:rPr>
          <w:sz w:val="20"/>
          <w:szCs w:val="20"/>
          <w:color w:val="auto"/>
        </w:rPr>
      </w:pPr>
      <w:r>
        <w:rPr>
          <w:rFonts w:ascii="Arial" w:cs="Arial" w:eastAsia="Arial" w:hAnsi="Arial"/>
          <w:sz w:val="18"/>
          <w:szCs w:val="18"/>
          <w:color w:val="auto"/>
        </w:rPr>
        <w:t>value of long-lived or intangible assets may not be recoverable. The Companies identified no triggering events or changes in circumstances related to the COVID-19 pandemic that would indicate that the carrying value of goodwill, long-lived or intangible assets may not be recoverable at June 30,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State Legislation</w:t>
      </w:r>
    </w:p>
    <w:p>
      <w:pPr>
        <w:spacing w:after="0" w:line="3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April 2021, New York State passed a law that increases the corporate franchise tax rate on business income from 6.5% to 7.25%, retroactive to January 1, 2021, for taxpayers with taxable income greater than $5 million. The law also reinstates the business capital tax at 0.1875%, not to exceed a maximum tax liability of $5 million per taxpayer. New York State requires a corporate franchise taxpayer to calculate and pay the highest amount of tax under the three alternative methods: a tax on business income; a tax on business capital; or a fixed dollar minimum. The provisions to increase the corporate franchise tax rate and reinstate a capital tax are scheduled to expire after 2023 and are not expected to have a material impact on the Companies’ financial position, results of operations or liquidity. In addition, the new law created a program that allows eligible residential renters in New York State who require assistance with rent and utility bills to have up to twelve months of electric and gas utility bill arrears forgiven, provided that such arrears were accrued on or after March 13, 2020. The program will be administered by the State Office of Temporary Disability Assistance in coordination with the New York State Department of Public Service and the NYSPSC. Under the program, CECONY and O&amp;R would qualify for a refundable tax credit for New York State gross-receipts tax equal to the amount of arrears waived by the Utilities in the year that the arrears are waived and certified by the NYSPSC. See "COVID-19 Regulatory Matters” in Note B to the Second Quarter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Financing</w:t>
      </w:r>
    </w:p>
    <w:p>
      <w:pPr>
        <w:spacing w:after="0" w:line="3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Companies continue to monitor the impacts of the COVID-19 pandemic on the financial markets closely, including borrowing rates and daily cash collections. The Companies have been able to access the capital markets as needed since the start of the COVID-19 pandemic in March 2020. See Notes C and D to the Second Quarter Financial Statements. However, a continued economic downturn as a result of the COVID-19 pandemic has increased the amount of capital needed by the Utilities and could impact the costs of such capital.</w:t>
      </w:r>
    </w:p>
    <w:p>
      <w:pPr>
        <w:spacing w:after="0" w:line="2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decline in business activity in the Utilities’ service territory as a result of the COVID-19 pandemic resulted in lower billed sales revenues and a slower recovery in cash of outstanding customer accounts receivable balances in 2020 and the first half of 2021. These trends will likely continue through 2021.</w:t>
      </w:r>
    </w:p>
    <w:p>
      <w:pPr>
        <w:spacing w:after="0" w:line="215"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Utilities’ rate plans have revenue decoupling mechanisms in their New York electric and gas businesses that largely reconcile actual energy delivery revenues to the authorized delivery revenues approved by the NYSPSC per month and accumulate the deferred balances semi-annually under CECONY's electric rate plan (January through June and July through December, respectively) and annually under CECONY's gas rate plan and O&amp;R New York's electric and gas rate plans (January through December). Differences are accrued with interest each month for CECONY's and O&amp;R New York’s electric customers and after the annual deferral period ends for CECONY's and O&amp;R New York’s gas customers for refund to, or recovery from customers, as applicable. Generally, the refund to or recovery from customers begins August and February of each year over an ensuing six-month period for CECONY's electric customers and February of each year over an ensuing twelve-month period for CECONY's gas and O&amp;R New York's electric and gas customers. Although these revenue decoupling mechanisms are in place, lower billed sales revenues and higher uncollectible accounts have reduced and is expected to continue to reduce liquidity at the Utilities. Also, in March 2020, the Utilities began suspending service disconnections, certain collection notices, final bill collection agency activity, new late payment charges and certain other fees for all customers and such suspensions may continue through 2021.</w:t>
      </w:r>
    </w:p>
    <w:p>
      <w:pPr>
        <w:spacing w:after="0" w:line="224"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For the six months ended June 30, 2021, the estimated late payment charges and fees that were not billed by CECONY and O&amp;R were approximately $35 million and $2 million lower than the amounts that were approved to be collected pursuant to their rate plans, respectively. These unbilled amounts have reduced and may continue to reduce liquidity at the Utilities. See "COVID-19 Regulatory Matters" in Note B and Note K to the Second Quarter Financial Statements.</w:t>
      </w:r>
    </w:p>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Con Edison and the Utilities have a $ 2,250 million credit agreement (Credit Agreement) in place under which banks are committed to provide loans on a revolving credit basis until December 2023 ($2,200 million of commitments from December 2022). Con Edison and the Utilities have not entered into any loans under the Credit Agreement. See Note D to the Second Quarter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Results of Operations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Net income for common stock and earnings per share for the three and six months ended June 30, 2021 and 2020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 w:type="dxa"/>
            <w:vAlign w:val="bottom"/>
            <w:tcBorders>
              <w:bottom w:val="single" w:sz="8" w:color="828282"/>
            </w:tcBorders>
          </w:tcPr>
          <w:p>
            <w:pPr>
              <w:spacing w:after="0"/>
              <w:rPr>
                <w:sz w:val="16"/>
                <w:szCs w:val="16"/>
                <w:color w:val="auto"/>
              </w:rPr>
            </w:pPr>
          </w:p>
        </w:tc>
        <w:tc>
          <w:tcPr>
            <w:tcW w:w="160" w:type="dxa"/>
            <w:vAlign w:val="bottom"/>
            <w:tcBorders>
              <w:bottom w:val="single" w:sz="8" w:color="828282"/>
            </w:tcBorders>
          </w:tcPr>
          <w:p>
            <w:pPr>
              <w:spacing w:after="0"/>
              <w:rPr>
                <w:sz w:val="16"/>
                <w:szCs w:val="16"/>
                <w:color w:val="auto"/>
              </w:rPr>
            </w:pPr>
          </w:p>
        </w:tc>
        <w:tc>
          <w:tcPr>
            <w:tcW w:w="4000" w:type="dxa"/>
            <w:vAlign w:val="bottom"/>
            <w:tcBorders>
              <w:bottom w:val="single" w:sz="8" w:color="828282"/>
            </w:tcBorders>
          </w:tcPr>
          <w:p>
            <w:pPr>
              <w:spacing w:after="0"/>
              <w:rPr>
                <w:sz w:val="16"/>
                <w:szCs w:val="16"/>
                <w:color w:val="auto"/>
              </w:rPr>
            </w:pPr>
          </w:p>
        </w:tc>
        <w:tc>
          <w:tcPr>
            <w:tcW w:w="3280" w:type="dxa"/>
            <w:vAlign w:val="bottom"/>
            <w:tcBorders>
              <w:bottom w:val="single" w:sz="8" w:color="8C8272"/>
            </w:tcBorders>
            <w:gridSpan w:val="4"/>
          </w:tcPr>
          <w:p>
            <w:pPr>
              <w:jc w:val="right"/>
              <w:ind w:right="288"/>
              <w:spacing w:after="0"/>
              <w:rPr>
                <w:sz w:val="20"/>
                <w:szCs w:val="20"/>
                <w:color w:val="auto"/>
              </w:rPr>
            </w:pPr>
            <w:r>
              <w:rPr>
                <w:rFonts w:ascii="Arial" w:cs="Arial" w:eastAsia="Arial" w:hAnsi="Arial"/>
                <w:sz w:val="14"/>
                <w:szCs w:val="14"/>
                <w:b w:val="1"/>
                <w:bCs w:val="1"/>
                <w:color w:val="auto"/>
              </w:rPr>
              <w:t>For the Three Months Ended June 30,</w:t>
            </w:r>
          </w:p>
        </w:tc>
        <w:tc>
          <w:tcPr>
            <w:tcW w:w="3100" w:type="dxa"/>
            <w:vAlign w:val="bottom"/>
            <w:tcBorders>
              <w:bottom w:val="single" w:sz="8" w:color="8C8272"/>
            </w:tcBorders>
            <w:gridSpan w:val="4"/>
          </w:tcPr>
          <w:p>
            <w:pPr>
              <w:jc w:val="right"/>
              <w:ind w:right="288"/>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3"/>
        </w:trPr>
        <w:tc>
          <w:tcPr>
            <w:tcW w:w="420" w:type="dxa"/>
            <w:vAlign w:val="bottom"/>
            <w:tcBorders>
              <w:bottom w:val="single" w:sz="8" w:color="8C8272"/>
            </w:tcBorders>
          </w:tcPr>
          <w:p>
            <w:pPr>
              <w:spacing w:after="0"/>
              <w:rPr>
                <w:sz w:val="15"/>
                <w:szCs w:val="15"/>
                <w:color w:val="auto"/>
              </w:rPr>
            </w:pPr>
          </w:p>
        </w:tc>
        <w:tc>
          <w:tcPr>
            <w:tcW w:w="160" w:type="dxa"/>
            <w:vAlign w:val="bottom"/>
            <w:tcBorders>
              <w:bottom w:val="single" w:sz="8" w:color="8C8272"/>
            </w:tcBorders>
          </w:tcPr>
          <w:p>
            <w:pPr>
              <w:spacing w:after="0"/>
              <w:rPr>
                <w:sz w:val="15"/>
                <w:szCs w:val="15"/>
                <w:color w:val="auto"/>
              </w:rPr>
            </w:pPr>
          </w:p>
        </w:tc>
        <w:tc>
          <w:tcPr>
            <w:tcW w:w="4000" w:type="dxa"/>
            <w:vAlign w:val="bottom"/>
            <w:tcBorders>
              <w:bottom w:val="single" w:sz="8" w:color="8C8272"/>
            </w:tcBorders>
          </w:tcPr>
          <w:p>
            <w:pPr>
              <w:spacing w:after="0"/>
              <w:rPr>
                <w:sz w:val="15"/>
                <w:szCs w:val="15"/>
                <w:color w:val="auto"/>
              </w:rPr>
            </w:pPr>
          </w:p>
        </w:tc>
        <w:tc>
          <w:tcPr>
            <w:tcW w:w="1360" w:type="dxa"/>
            <w:vAlign w:val="bottom"/>
            <w:tcBorders>
              <w:bottom w:val="single" w:sz="8" w:color="8C8272"/>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w w:val="96"/>
              </w:rPr>
              <w:t>2020</w:t>
            </w:r>
          </w:p>
        </w:tc>
        <w:tc>
          <w:tcPr>
            <w:tcW w:w="1100" w:type="dxa"/>
            <w:vAlign w:val="bottom"/>
            <w:tcBorders>
              <w:bottom w:val="single" w:sz="8" w:color="8C8272"/>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8C8272"/>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8C8272"/>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4580" w:type="dxa"/>
            <w:vAlign w:val="bottom"/>
            <w:gridSpan w:val="3"/>
            <w:vMerge w:val="restart"/>
          </w:tcPr>
          <w:p>
            <w:pPr>
              <w:ind w:left="20"/>
              <w:spacing w:after="0"/>
              <w:rPr>
                <w:sz w:val="20"/>
                <w:szCs w:val="20"/>
                <w:color w:val="auto"/>
              </w:rPr>
            </w:pPr>
            <w:r>
              <w:rPr>
                <w:rFonts w:ascii="Arial" w:cs="Arial" w:eastAsia="Arial" w:hAnsi="Arial"/>
                <w:sz w:val="14"/>
                <w:szCs w:val="14"/>
                <w:b w:val="1"/>
                <w:bCs w:val="1"/>
                <w:i w:val="1"/>
                <w:iCs w:val="1"/>
                <w:color w:val="auto"/>
              </w:rPr>
              <w:t>(Millions of Dollars, except per share amounts)</w:t>
            </w:r>
          </w:p>
        </w:tc>
        <w:tc>
          <w:tcPr>
            <w:tcW w:w="1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Net Income for</w:t>
            </w:r>
          </w:p>
        </w:tc>
        <w:tc>
          <w:tcPr>
            <w:tcW w:w="340" w:type="dxa"/>
            <w:vAlign w:val="bottom"/>
          </w:tcPr>
          <w:p>
            <w:pPr>
              <w:spacing w:after="0"/>
              <w:rPr>
                <w:sz w:val="12"/>
                <w:szCs w:val="12"/>
                <w:color w:val="auto"/>
              </w:rPr>
            </w:pPr>
          </w:p>
        </w:tc>
        <w:tc>
          <w:tcPr>
            <w:tcW w:w="1100" w:type="dxa"/>
            <w:vAlign w:val="bottom"/>
          </w:tcPr>
          <w:p>
            <w:pPr>
              <w:ind w:left="340"/>
              <w:spacing w:after="0" w:line="142" w:lineRule="exact"/>
              <w:rPr>
                <w:sz w:val="20"/>
                <w:szCs w:val="20"/>
                <w:color w:val="auto"/>
              </w:rPr>
            </w:pPr>
            <w:r>
              <w:rPr>
                <w:rFonts w:ascii="Arial" w:cs="Arial" w:eastAsia="Arial" w:hAnsi="Arial"/>
                <w:sz w:val="14"/>
                <w:szCs w:val="14"/>
                <w:b w:val="1"/>
                <w:bCs w:val="1"/>
                <w:color w:val="auto"/>
              </w:rPr>
              <w:t>Earnings</w:t>
            </w:r>
          </w:p>
        </w:tc>
        <w:tc>
          <w:tcPr>
            <w:tcW w:w="480" w:type="dxa"/>
            <w:vAlign w:val="bottom"/>
          </w:tcPr>
          <w:p>
            <w:pPr>
              <w:spacing w:after="0"/>
              <w:rPr>
                <w:sz w:val="12"/>
                <w:szCs w:val="12"/>
                <w:color w:val="auto"/>
              </w:rPr>
            </w:pPr>
          </w:p>
        </w:tc>
        <w:tc>
          <w:tcPr>
            <w:tcW w:w="1700" w:type="dxa"/>
            <w:vAlign w:val="bottom"/>
            <w:gridSpan w:val="2"/>
          </w:tcPr>
          <w:p>
            <w:pPr>
              <w:jc w:val="right"/>
              <w:ind w:right="368"/>
              <w:spacing w:after="0" w:line="142" w:lineRule="exact"/>
              <w:rPr>
                <w:sz w:val="20"/>
                <w:szCs w:val="20"/>
                <w:color w:val="auto"/>
              </w:rPr>
            </w:pPr>
            <w:r>
              <w:rPr>
                <w:rFonts w:ascii="Arial" w:cs="Arial" w:eastAsia="Arial" w:hAnsi="Arial"/>
                <w:sz w:val="14"/>
                <w:szCs w:val="14"/>
                <w:b w:val="1"/>
                <w:bCs w:val="1"/>
                <w:color w:val="auto"/>
              </w:rPr>
              <w:t>Net Income for</w:t>
            </w:r>
          </w:p>
        </w:tc>
        <w:tc>
          <w:tcPr>
            <w:tcW w:w="92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Earnings</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80" w:type="dxa"/>
            <w:vAlign w:val="bottom"/>
            <w:tcBorders>
              <w:bottom w:val="single" w:sz="8" w:color="8C8272"/>
            </w:tcBorders>
            <w:gridSpan w:val="3"/>
            <w:vMerge w:val="continue"/>
          </w:tcPr>
          <w:p>
            <w:pPr>
              <w:spacing w:after="0"/>
              <w:rPr>
                <w:sz w:val="15"/>
                <w:szCs w:val="15"/>
                <w:color w:val="auto"/>
              </w:rPr>
            </w:pPr>
          </w:p>
        </w:tc>
        <w:tc>
          <w:tcPr>
            <w:tcW w:w="1700" w:type="dxa"/>
            <w:vAlign w:val="bottom"/>
            <w:tcBorders>
              <w:bottom w:val="single" w:sz="8" w:color="8C8272"/>
            </w:tcBorders>
            <w:gridSpan w:val="2"/>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1100" w:type="dxa"/>
            <w:vAlign w:val="bottom"/>
            <w:tcBorders>
              <w:bottom w:val="single" w:sz="8" w:color="8C8272"/>
            </w:tcBorders>
          </w:tcPr>
          <w:p>
            <w:pPr>
              <w:ind w:left="340"/>
              <w:spacing w:after="0"/>
              <w:rPr>
                <w:sz w:val="20"/>
                <w:szCs w:val="20"/>
                <w:color w:val="auto"/>
              </w:rPr>
            </w:pPr>
            <w:r>
              <w:rPr>
                <w:rFonts w:ascii="Arial" w:cs="Arial" w:eastAsia="Arial" w:hAnsi="Arial"/>
                <w:sz w:val="14"/>
                <w:szCs w:val="14"/>
                <w:b w:val="1"/>
                <w:bCs w:val="1"/>
                <w:color w:val="auto"/>
              </w:rPr>
              <w:t>per Share</w:t>
            </w:r>
          </w:p>
        </w:tc>
        <w:tc>
          <w:tcPr>
            <w:tcW w:w="480" w:type="dxa"/>
            <w:vAlign w:val="bottom"/>
            <w:tcBorders>
              <w:bottom w:val="single" w:sz="8" w:color="8C8272"/>
            </w:tcBorders>
          </w:tcPr>
          <w:p>
            <w:pPr>
              <w:spacing w:after="0"/>
              <w:rPr>
                <w:sz w:val="15"/>
                <w:szCs w:val="15"/>
                <w:color w:val="auto"/>
              </w:rPr>
            </w:pPr>
          </w:p>
        </w:tc>
        <w:tc>
          <w:tcPr>
            <w:tcW w:w="1700" w:type="dxa"/>
            <w:vAlign w:val="bottom"/>
            <w:tcBorders>
              <w:bottom w:val="single" w:sz="8" w:color="8C8272"/>
            </w:tcBorders>
            <w:gridSpan w:val="2"/>
          </w:tcPr>
          <w:p>
            <w:pPr>
              <w:jc w:val="right"/>
              <w:ind w:right="348"/>
              <w:spacing w:after="0"/>
              <w:rPr>
                <w:sz w:val="20"/>
                <w:szCs w:val="20"/>
                <w:color w:val="auto"/>
              </w:rPr>
            </w:pPr>
            <w:r>
              <w:rPr>
                <w:rFonts w:ascii="Arial" w:cs="Arial" w:eastAsia="Arial" w:hAnsi="Arial"/>
                <w:sz w:val="14"/>
                <w:szCs w:val="14"/>
                <w:b w:val="1"/>
                <w:bCs w:val="1"/>
                <w:color w:val="auto"/>
              </w:rPr>
              <w:t>Common Stock</w:t>
            </w:r>
          </w:p>
        </w:tc>
        <w:tc>
          <w:tcPr>
            <w:tcW w:w="920" w:type="dxa"/>
            <w:vAlign w:val="bottom"/>
            <w:tcBorders>
              <w:bottom w:val="single" w:sz="8" w:color="8C8272"/>
            </w:tcBorders>
          </w:tcPr>
          <w:p>
            <w:pPr>
              <w:ind w:left="180"/>
              <w:spacing w:after="0"/>
              <w:rPr>
                <w:sz w:val="20"/>
                <w:szCs w:val="20"/>
                <w:color w:val="auto"/>
              </w:rPr>
            </w:pPr>
            <w:r>
              <w:rPr>
                <w:rFonts w:ascii="Arial" w:cs="Arial" w:eastAsia="Arial" w:hAnsi="Arial"/>
                <w:sz w:val="14"/>
                <w:szCs w:val="14"/>
                <w:b w:val="1"/>
                <w:bCs w:val="1"/>
                <w:color w:val="auto"/>
              </w:rPr>
              <w:t>per Share</w:t>
            </w:r>
          </w:p>
        </w:tc>
        <w:tc>
          <w:tcPr>
            <w:tcW w:w="480" w:type="dxa"/>
            <w:vAlign w:val="bottom"/>
            <w:tcBorders>
              <w:bottom w:val="single" w:sz="8" w:color="8C8272"/>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80" w:type="dxa"/>
            <w:vAlign w:val="bottom"/>
            <w:gridSpan w:val="3"/>
            <w:shd w:val="clear" w:color="auto" w:fill="E5E5E5"/>
          </w:tcPr>
          <w:p>
            <w:pPr>
              <w:ind w:left="20"/>
              <w:spacing w:after="0"/>
              <w:rPr>
                <w:sz w:val="20"/>
                <w:szCs w:val="20"/>
                <w:color w:val="auto"/>
              </w:rPr>
            </w:pPr>
            <w:r>
              <w:rPr>
                <w:rFonts w:ascii="Arial" w:cs="Arial" w:eastAsia="Arial" w:hAnsi="Arial"/>
                <w:sz w:val="14"/>
                <w:szCs w:val="14"/>
                <w:color w:val="auto"/>
              </w:rPr>
              <w:t>CECONY</w:t>
            </w:r>
          </w:p>
        </w:tc>
        <w:tc>
          <w:tcPr>
            <w:tcW w:w="1360" w:type="dxa"/>
            <w:vAlign w:val="bottom"/>
            <w:shd w:val="clear" w:color="auto" w:fill="E5E5E5"/>
          </w:tcPr>
          <w:p>
            <w:pPr>
              <w:jc w:val="right"/>
              <w:ind w:right="448"/>
              <w:spacing w:after="0"/>
              <w:rPr>
                <w:sz w:val="20"/>
                <w:szCs w:val="20"/>
                <w:color w:val="auto"/>
              </w:rPr>
            </w:pPr>
            <w:r>
              <w:rPr>
                <w:rFonts w:ascii="Arial" w:cs="Arial" w:eastAsia="Arial" w:hAnsi="Arial"/>
                <w:sz w:val="14"/>
                <w:szCs w:val="14"/>
                <w:color w:val="auto"/>
              </w:rPr>
              <w:t>$128</w:t>
            </w:r>
          </w:p>
        </w:tc>
        <w:tc>
          <w:tcPr>
            <w:tcW w:w="340" w:type="dxa"/>
            <w:vAlign w:val="bottom"/>
            <w:shd w:val="clear" w:color="auto" w:fill="E5E5E5"/>
          </w:tcPr>
          <w:p>
            <w:pPr>
              <w:jc w:val="right"/>
              <w:spacing w:after="0"/>
              <w:rPr>
                <w:sz w:val="20"/>
                <w:szCs w:val="20"/>
                <w:color w:val="auto"/>
              </w:rPr>
            </w:pPr>
            <w:r>
              <w:rPr>
                <w:rFonts w:ascii="Arial" w:cs="Arial" w:eastAsia="Arial" w:hAnsi="Arial"/>
                <w:sz w:val="14"/>
                <w:szCs w:val="14"/>
                <w:color w:val="auto"/>
                <w:w w:val="96"/>
              </w:rPr>
              <w:t>$152</w:t>
            </w:r>
          </w:p>
        </w:tc>
        <w:tc>
          <w:tcPr>
            <w:tcW w:w="110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$0.37</w:t>
            </w: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$0.45</w:t>
            </w:r>
          </w:p>
        </w:tc>
        <w:tc>
          <w:tcPr>
            <w:tcW w:w="96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$593</w:t>
            </w:r>
          </w:p>
        </w:tc>
        <w:tc>
          <w:tcPr>
            <w:tcW w:w="7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$558</w:t>
            </w:r>
          </w:p>
        </w:tc>
        <w:tc>
          <w:tcPr>
            <w:tcW w:w="9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$1.72</w:t>
            </w: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9"/>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O&amp;R</w:t>
            </w: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(2)</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27</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29</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0.08</w:t>
            </w:r>
          </w:p>
        </w:tc>
        <w:tc>
          <w:tcPr>
            <w:tcW w:w="480" w:type="dxa"/>
            <w:vAlign w:val="bottom"/>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89"/>
        </w:trPr>
        <w:tc>
          <w:tcPr>
            <w:tcW w:w="4580" w:type="dxa"/>
            <w:vAlign w:val="bottom"/>
            <w:gridSpan w:val="3"/>
            <w:shd w:val="clear" w:color="auto" w:fill="E5E5E5"/>
          </w:tcPr>
          <w:p>
            <w:pPr>
              <w:ind w:left="20"/>
              <w:spacing w:after="0"/>
              <w:rPr>
                <w:sz w:val="20"/>
                <w:szCs w:val="20"/>
                <w:color w:val="auto"/>
              </w:rPr>
            </w:pPr>
            <w:r>
              <w:rPr>
                <w:rFonts w:ascii="Arial" w:cs="Arial" w:eastAsia="Arial" w:hAnsi="Arial"/>
                <w:sz w:val="14"/>
                <w:szCs w:val="14"/>
                <w:color w:val="auto"/>
              </w:rPr>
              <w:t>Clean Energy Businesses (a)</w:t>
            </w:r>
          </w:p>
        </w:tc>
        <w:tc>
          <w:tcPr>
            <w:tcW w:w="1360" w:type="dxa"/>
            <w:vAlign w:val="bottom"/>
            <w:shd w:val="clear" w:color="auto" w:fill="E5E5E5"/>
          </w:tcPr>
          <w:p>
            <w:pPr>
              <w:jc w:val="right"/>
              <w:ind w:right="448"/>
              <w:spacing w:after="0"/>
              <w:rPr>
                <w:sz w:val="20"/>
                <w:szCs w:val="20"/>
                <w:color w:val="auto"/>
              </w:rPr>
            </w:pPr>
            <w:r>
              <w:rPr>
                <w:rFonts w:ascii="Arial" w:cs="Arial" w:eastAsia="Arial" w:hAnsi="Arial"/>
                <w:sz w:val="14"/>
                <w:szCs w:val="14"/>
                <w:color w:val="auto"/>
              </w:rPr>
              <w:t>68</w:t>
            </w:r>
          </w:p>
        </w:tc>
        <w:tc>
          <w:tcPr>
            <w:tcW w:w="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w:t>
            </w:r>
          </w:p>
        </w:tc>
        <w:tc>
          <w:tcPr>
            <w:tcW w:w="110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0.19</w:t>
            </w: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w:t>
            </w:r>
          </w:p>
        </w:tc>
        <w:tc>
          <w:tcPr>
            <w:tcW w:w="96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117</w:t>
            </w:r>
          </w:p>
        </w:tc>
        <w:tc>
          <w:tcPr>
            <w:tcW w:w="7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(49)</w:t>
            </w:r>
          </w:p>
        </w:tc>
        <w:tc>
          <w:tcPr>
            <w:tcW w:w="9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0.34</w:t>
            </w: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E5E5E5"/>
            </w:tcBorders>
            <w:gridSpan w:val="3"/>
          </w:tcPr>
          <w:p>
            <w:pPr>
              <w:ind w:left="20"/>
              <w:spacing w:after="0"/>
              <w:rPr>
                <w:sz w:val="20"/>
                <w:szCs w:val="20"/>
                <w:color w:val="auto"/>
              </w:rPr>
            </w:pPr>
            <w:r>
              <w:rPr>
                <w:rFonts w:ascii="Arial" w:cs="Arial" w:eastAsia="Arial" w:hAnsi="Arial"/>
                <w:sz w:val="14"/>
                <w:szCs w:val="14"/>
                <w:color w:val="auto"/>
              </w:rPr>
              <w:t>Con Edison Transmission (b)</w:t>
            </w:r>
          </w:p>
        </w:tc>
        <w:tc>
          <w:tcPr>
            <w:tcW w:w="1360" w:type="dxa"/>
            <w:vAlign w:val="bottom"/>
            <w:tcBorders>
              <w:bottom w:val="single" w:sz="8" w:color="E5E5E5"/>
            </w:tcBorders>
          </w:tcPr>
          <w:p>
            <w:pPr>
              <w:jc w:val="right"/>
              <w:ind w:right="448"/>
              <w:spacing w:after="0"/>
              <w:rPr>
                <w:sz w:val="20"/>
                <w:szCs w:val="20"/>
                <w:color w:val="auto"/>
              </w:rPr>
            </w:pPr>
            <w:r>
              <w:rPr>
                <w:rFonts w:ascii="Arial" w:cs="Arial" w:eastAsia="Arial" w:hAnsi="Arial"/>
                <w:sz w:val="14"/>
                <w:szCs w:val="14"/>
                <w:color w:val="auto"/>
              </w:rPr>
              <w:t>(21)</w:t>
            </w:r>
          </w:p>
        </w:tc>
        <w:tc>
          <w:tcPr>
            <w:tcW w:w="340" w:type="dxa"/>
            <w:vAlign w:val="bottom"/>
            <w:tcBorders>
              <w:bottom w:val="single" w:sz="8" w:color="E5E5E5"/>
            </w:tcBorders>
          </w:tcPr>
          <w:p>
            <w:pPr>
              <w:jc w:val="right"/>
              <w:spacing w:after="0"/>
              <w:rPr>
                <w:sz w:val="20"/>
                <w:szCs w:val="20"/>
                <w:color w:val="auto"/>
              </w:rPr>
            </w:pPr>
            <w:r>
              <w:rPr>
                <w:rFonts w:ascii="Arial" w:cs="Arial" w:eastAsia="Arial" w:hAnsi="Arial"/>
                <w:sz w:val="14"/>
                <w:szCs w:val="14"/>
                <w:color w:val="auto"/>
              </w:rPr>
              <w:t>14</w:t>
            </w:r>
          </w:p>
        </w:tc>
        <w:tc>
          <w:tcPr>
            <w:tcW w:w="1100" w:type="dxa"/>
            <w:vAlign w:val="bottom"/>
            <w:tcBorders>
              <w:bottom w:val="single" w:sz="8" w:color="E5E5E5"/>
            </w:tcBorders>
          </w:tcPr>
          <w:p>
            <w:pPr>
              <w:jc w:val="right"/>
              <w:ind w:right="248"/>
              <w:spacing w:after="0"/>
              <w:rPr>
                <w:sz w:val="20"/>
                <w:szCs w:val="20"/>
                <w:color w:val="auto"/>
              </w:rPr>
            </w:pPr>
            <w:r>
              <w:rPr>
                <w:rFonts w:ascii="Arial" w:cs="Arial" w:eastAsia="Arial" w:hAnsi="Arial"/>
                <w:sz w:val="14"/>
                <w:szCs w:val="14"/>
                <w:color w:val="auto"/>
              </w:rPr>
              <w:t>(0.05)</w:t>
            </w:r>
          </w:p>
        </w:tc>
        <w:tc>
          <w:tcPr>
            <w:tcW w:w="480" w:type="dxa"/>
            <w:vAlign w:val="bottom"/>
            <w:tcBorders>
              <w:bottom w:val="single" w:sz="8" w:color="E5E5E5"/>
            </w:tcBorders>
          </w:tcPr>
          <w:p>
            <w:pPr>
              <w:jc w:val="right"/>
              <w:spacing w:after="0"/>
              <w:rPr>
                <w:sz w:val="20"/>
                <w:szCs w:val="20"/>
                <w:color w:val="auto"/>
              </w:rPr>
            </w:pPr>
            <w:r>
              <w:rPr>
                <w:rFonts w:ascii="Arial" w:cs="Arial" w:eastAsia="Arial" w:hAnsi="Arial"/>
                <w:sz w:val="14"/>
                <w:szCs w:val="14"/>
                <w:color w:val="auto"/>
              </w:rPr>
              <w:t>0.04</w:t>
            </w:r>
          </w:p>
        </w:tc>
        <w:tc>
          <w:tcPr>
            <w:tcW w:w="960" w:type="dxa"/>
            <w:vAlign w:val="bottom"/>
            <w:tcBorders>
              <w:bottom w:val="single" w:sz="8" w:color="E5E5E5"/>
            </w:tcBorders>
          </w:tcPr>
          <w:p>
            <w:pPr>
              <w:jc w:val="right"/>
              <w:ind w:right="148"/>
              <w:spacing w:after="0"/>
              <w:rPr>
                <w:sz w:val="20"/>
                <w:szCs w:val="20"/>
                <w:color w:val="auto"/>
              </w:rPr>
            </w:pPr>
            <w:r>
              <w:rPr>
                <w:rFonts w:ascii="Arial" w:cs="Arial" w:eastAsia="Arial" w:hAnsi="Arial"/>
                <w:sz w:val="14"/>
                <w:szCs w:val="14"/>
                <w:color w:val="auto"/>
              </w:rPr>
              <w:t>(142)</w:t>
            </w:r>
          </w:p>
        </w:tc>
        <w:tc>
          <w:tcPr>
            <w:tcW w:w="740" w:type="dxa"/>
            <w:vAlign w:val="bottom"/>
            <w:tcBorders>
              <w:bottom w:val="single" w:sz="8" w:color="E5E5E5"/>
            </w:tcBorders>
          </w:tcPr>
          <w:p>
            <w:pPr>
              <w:jc w:val="right"/>
              <w:ind w:right="108"/>
              <w:spacing w:after="0"/>
              <w:rPr>
                <w:sz w:val="20"/>
                <w:szCs w:val="20"/>
                <w:color w:val="auto"/>
              </w:rPr>
            </w:pPr>
            <w:r>
              <w:rPr>
                <w:rFonts w:ascii="Arial" w:cs="Arial" w:eastAsia="Arial" w:hAnsi="Arial"/>
                <w:sz w:val="14"/>
                <w:szCs w:val="14"/>
                <w:color w:val="auto"/>
              </w:rPr>
              <w:t>28</w:t>
            </w:r>
          </w:p>
        </w:tc>
        <w:tc>
          <w:tcPr>
            <w:tcW w:w="920" w:type="dxa"/>
            <w:vAlign w:val="bottom"/>
            <w:tcBorders>
              <w:bottom w:val="single" w:sz="8" w:color="E5E5E5"/>
            </w:tcBorders>
          </w:tcPr>
          <w:p>
            <w:pPr>
              <w:jc w:val="right"/>
              <w:ind w:right="248"/>
              <w:spacing w:after="0"/>
              <w:rPr>
                <w:sz w:val="20"/>
                <w:szCs w:val="20"/>
                <w:color w:val="auto"/>
              </w:rPr>
            </w:pPr>
            <w:r>
              <w:rPr>
                <w:rFonts w:ascii="Arial" w:cs="Arial" w:eastAsia="Arial" w:hAnsi="Arial"/>
                <w:sz w:val="14"/>
                <w:szCs w:val="14"/>
                <w:color w:val="auto"/>
              </w:rPr>
              <w:t>(0.41)</w:t>
            </w:r>
          </w:p>
        </w:tc>
        <w:tc>
          <w:tcPr>
            <w:tcW w:w="480" w:type="dxa"/>
            <w:vAlign w:val="bottom"/>
            <w:tcBorders>
              <w:bottom w:val="single" w:sz="8" w:color="E5E5E5"/>
            </w:tcBorders>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63"/>
        </w:trPr>
        <w:tc>
          <w:tcPr>
            <w:tcW w:w="420" w:type="dxa"/>
            <w:vAlign w:val="bottom"/>
            <w:tcBorders>
              <w:bottom w:val="single" w:sz="8" w:color="8C8272"/>
            </w:tcBorders>
            <w:shd w:val="clear" w:color="auto" w:fill="E5E5E5"/>
          </w:tcPr>
          <w:p>
            <w:pPr>
              <w:ind w:left="20"/>
              <w:spacing w:after="0" w:line="155" w:lineRule="exact"/>
              <w:rPr>
                <w:sz w:val="20"/>
                <w:szCs w:val="20"/>
                <w:color w:val="auto"/>
              </w:rPr>
            </w:pPr>
            <w:r>
              <w:rPr>
                <w:rFonts w:ascii="Arial" w:cs="Arial" w:eastAsia="Arial" w:hAnsi="Arial"/>
                <w:sz w:val="14"/>
                <w:szCs w:val="14"/>
                <w:color w:val="auto"/>
              </w:rPr>
              <w:t>Other</w:t>
            </w:r>
          </w:p>
        </w:tc>
        <w:tc>
          <w:tcPr>
            <w:tcW w:w="160" w:type="dxa"/>
            <w:vAlign w:val="bottom"/>
            <w:tcBorders>
              <w:bottom w:val="single" w:sz="8" w:color="8C8272"/>
            </w:tcBorders>
            <w:shd w:val="clear" w:color="auto" w:fill="E7E7E7"/>
          </w:tcPr>
          <w:p>
            <w:pPr>
              <w:spacing w:after="0" w:line="155" w:lineRule="exact"/>
              <w:rPr>
                <w:sz w:val="20"/>
                <w:szCs w:val="20"/>
                <w:color w:val="auto"/>
              </w:rPr>
            </w:pPr>
            <w:r>
              <w:rPr>
                <w:rFonts w:ascii="Arial" w:cs="Arial" w:eastAsia="Arial" w:hAnsi="Arial"/>
                <w:sz w:val="14"/>
                <w:szCs w:val="14"/>
                <w:color w:val="auto"/>
                <w:w w:val="85"/>
                <w:shd w:val="clear" w:color="auto" w:fill="E7E7E7"/>
              </w:rPr>
              <w:t>(c)</w:t>
            </w:r>
          </w:p>
        </w:tc>
        <w:tc>
          <w:tcPr>
            <w:tcW w:w="4000" w:type="dxa"/>
            <w:vAlign w:val="bottom"/>
            <w:tcBorders>
              <w:bottom w:val="single" w:sz="8" w:color="8C8272"/>
            </w:tcBorders>
            <w:shd w:val="clear" w:color="auto" w:fill="E5E5E5"/>
          </w:tcPr>
          <w:p>
            <w:pPr>
              <w:spacing w:after="0"/>
              <w:rPr>
                <w:sz w:val="14"/>
                <w:szCs w:val="14"/>
                <w:color w:val="auto"/>
              </w:rPr>
            </w:pPr>
          </w:p>
        </w:tc>
        <w:tc>
          <w:tcPr>
            <w:tcW w:w="1360" w:type="dxa"/>
            <w:vAlign w:val="bottom"/>
            <w:tcBorders>
              <w:bottom w:val="single" w:sz="8" w:color="8C8272"/>
            </w:tcBorders>
            <w:shd w:val="clear" w:color="auto" w:fill="E5E5E5"/>
          </w:tcPr>
          <w:p>
            <w:pPr>
              <w:jc w:val="right"/>
              <w:ind w:right="468"/>
              <w:spacing w:after="0" w:line="155" w:lineRule="exact"/>
              <w:rPr>
                <w:sz w:val="20"/>
                <w:szCs w:val="20"/>
                <w:color w:val="auto"/>
              </w:rPr>
            </w:pPr>
            <w:r>
              <w:rPr>
                <w:rFonts w:ascii="Arial" w:cs="Arial" w:eastAsia="Arial" w:hAnsi="Arial"/>
                <w:sz w:val="14"/>
                <w:szCs w:val="14"/>
                <w:color w:val="auto"/>
              </w:rPr>
              <w:t>(10)</w:t>
            </w:r>
          </w:p>
        </w:tc>
        <w:tc>
          <w:tcPr>
            <w:tcW w:w="340" w:type="dxa"/>
            <w:vAlign w:val="bottom"/>
            <w:tcBorders>
              <w:bottom w:val="single" w:sz="8" w:color="8C8272"/>
            </w:tcBorders>
            <w:shd w:val="clear" w:color="auto" w:fill="E5E5E5"/>
          </w:tcPr>
          <w:p>
            <w:pPr>
              <w:jc w:val="right"/>
              <w:spacing w:after="0" w:line="155" w:lineRule="exact"/>
              <w:rPr>
                <w:sz w:val="20"/>
                <w:szCs w:val="20"/>
                <w:color w:val="auto"/>
              </w:rPr>
            </w:pPr>
            <w:r>
              <w:rPr>
                <w:rFonts w:ascii="Arial" w:cs="Arial" w:eastAsia="Arial" w:hAnsi="Arial"/>
                <w:sz w:val="14"/>
                <w:szCs w:val="14"/>
                <w:color w:val="auto"/>
              </w:rPr>
              <w:t>(8)</w:t>
            </w:r>
          </w:p>
        </w:tc>
        <w:tc>
          <w:tcPr>
            <w:tcW w:w="1100" w:type="dxa"/>
            <w:vAlign w:val="bottom"/>
            <w:tcBorders>
              <w:bottom w:val="single" w:sz="8" w:color="8C8272"/>
            </w:tcBorders>
            <w:shd w:val="clear" w:color="auto" w:fill="E5E5E5"/>
          </w:tcPr>
          <w:p>
            <w:pPr>
              <w:jc w:val="right"/>
              <w:ind w:right="268"/>
              <w:spacing w:after="0" w:line="155" w:lineRule="exact"/>
              <w:rPr>
                <w:sz w:val="20"/>
                <w:szCs w:val="20"/>
                <w:color w:val="auto"/>
              </w:rPr>
            </w:pPr>
            <w:r>
              <w:rPr>
                <w:rFonts w:ascii="Arial" w:cs="Arial" w:eastAsia="Arial" w:hAnsi="Arial"/>
                <w:sz w:val="14"/>
                <w:szCs w:val="14"/>
                <w:color w:val="auto"/>
              </w:rPr>
              <w:t>(0.03)</w:t>
            </w:r>
          </w:p>
        </w:tc>
        <w:tc>
          <w:tcPr>
            <w:tcW w:w="480" w:type="dxa"/>
            <w:vAlign w:val="bottom"/>
            <w:tcBorders>
              <w:bottom w:val="single" w:sz="8" w:color="8C8272"/>
            </w:tcBorders>
            <w:shd w:val="clear" w:color="auto" w:fill="E5E5E5"/>
          </w:tcPr>
          <w:p>
            <w:pPr>
              <w:jc w:val="right"/>
              <w:spacing w:after="0" w:line="155" w:lineRule="exact"/>
              <w:rPr>
                <w:sz w:val="20"/>
                <w:szCs w:val="20"/>
                <w:color w:val="auto"/>
              </w:rPr>
            </w:pPr>
            <w:r>
              <w:rPr>
                <w:rFonts w:ascii="Arial" w:cs="Arial" w:eastAsia="Arial" w:hAnsi="Arial"/>
                <w:sz w:val="14"/>
                <w:szCs w:val="14"/>
                <w:color w:val="auto"/>
              </w:rPr>
              <w:t>(0.02)</w:t>
            </w:r>
          </w:p>
        </w:tc>
        <w:tc>
          <w:tcPr>
            <w:tcW w:w="960" w:type="dxa"/>
            <w:vAlign w:val="bottom"/>
            <w:tcBorders>
              <w:bottom w:val="single" w:sz="8" w:color="8C8272"/>
            </w:tcBorders>
            <w:shd w:val="clear" w:color="auto" w:fill="E5E5E5"/>
          </w:tcPr>
          <w:p>
            <w:pPr>
              <w:jc w:val="right"/>
              <w:ind w:right="148"/>
              <w:spacing w:after="0" w:line="155" w:lineRule="exact"/>
              <w:rPr>
                <w:sz w:val="20"/>
                <w:szCs w:val="20"/>
                <w:color w:val="auto"/>
              </w:rPr>
            </w:pPr>
            <w:r>
              <w:rPr>
                <w:rFonts w:ascii="Arial" w:cs="Arial" w:eastAsia="Arial" w:hAnsi="Arial"/>
                <w:sz w:val="14"/>
                <w:szCs w:val="14"/>
                <w:color w:val="auto"/>
              </w:rPr>
              <w:t>(11)</w:t>
            </w:r>
          </w:p>
        </w:tc>
        <w:tc>
          <w:tcPr>
            <w:tcW w:w="740" w:type="dxa"/>
            <w:vAlign w:val="bottom"/>
            <w:tcBorders>
              <w:bottom w:val="single" w:sz="8" w:color="8C8272"/>
            </w:tcBorders>
            <w:shd w:val="clear" w:color="auto" w:fill="E5E5E5"/>
          </w:tcPr>
          <w:p>
            <w:pPr>
              <w:jc w:val="right"/>
              <w:ind w:right="108"/>
              <w:spacing w:after="0" w:line="155" w:lineRule="exact"/>
              <w:rPr>
                <w:sz w:val="20"/>
                <w:szCs w:val="20"/>
                <w:color w:val="auto"/>
              </w:rPr>
            </w:pPr>
            <w:r>
              <w:rPr>
                <w:rFonts w:ascii="Arial" w:cs="Arial" w:eastAsia="Arial" w:hAnsi="Arial"/>
                <w:sz w:val="14"/>
                <w:szCs w:val="14"/>
                <w:color w:val="auto"/>
              </w:rPr>
              <w:t>(1)</w:t>
            </w:r>
          </w:p>
        </w:tc>
        <w:tc>
          <w:tcPr>
            <w:tcW w:w="920" w:type="dxa"/>
            <w:vAlign w:val="bottom"/>
            <w:tcBorders>
              <w:bottom w:val="single" w:sz="8" w:color="8C8272"/>
            </w:tcBorders>
            <w:shd w:val="clear" w:color="auto" w:fill="E5E5E5"/>
          </w:tcPr>
          <w:p>
            <w:pPr>
              <w:jc w:val="right"/>
              <w:ind w:right="268"/>
              <w:spacing w:after="0" w:line="155" w:lineRule="exact"/>
              <w:rPr>
                <w:sz w:val="20"/>
                <w:szCs w:val="20"/>
                <w:color w:val="auto"/>
              </w:rPr>
            </w:pPr>
            <w:r>
              <w:rPr>
                <w:rFonts w:ascii="Arial" w:cs="Arial" w:eastAsia="Arial" w:hAnsi="Arial"/>
                <w:sz w:val="14"/>
                <w:szCs w:val="14"/>
                <w:color w:val="auto"/>
              </w:rPr>
              <w:t>(0.03)</w:t>
            </w:r>
          </w:p>
        </w:tc>
        <w:tc>
          <w:tcPr>
            <w:tcW w:w="480" w:type="dxa"/>
            <w:vAlign w:val="bottom"/>
            <w:tcBorders>
              <w:bottom w:val="single" w:sz="8" w:color="8C8272"/>
            </w:tcBorders>
            <w:shd w:val="clear" w:color="auto" w:fill="E5E5E5"/>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8C8272"/>
            </w:tcBorders>
            <w:gridSpan w:val="3"/>
          </w:tcPr>
          <w:p>
            <w:pPr>
              <w:ind w:left="140"/>
              <w:spacing w:after="0"/>
              <w:rPr>
                <w:sz w:val="20"/>
                <w:szCs w:val="20"/>
                <w:color w:val="auto"/>
              </w:rPr>
            </w:pPr>
            <w:r>
              <w:rPr>
                <w:rFonts w:ascii="Arial" w:cs="Arial" w:eastAsia="Arial" w:hAnsi="Arial"/>
                <w:sz w:val="14"/>
                <w:szCs w:val="14"/>
                <w:b w:val="1"/>
                <w:bCs w:val="1"/>
                <w:color w:val="auto"/>
              </w:rPr>
              <w:t>Con Edison (d)</w:t>
            </w:r>
          </w:p>
        </w:tc>
        <w:tc>
          <w:tcPr>
            <w:tcW w:w="1360" w:type="dxa"/>
            <w:vAlign w:val="bottom"/>
            <w:tcBorders>
              <w:bottom w:val="single" w:sz="8" w:color="8C8272"/>
            </w:tcBorders>
          </w:tcPr>
          <w:p>
            <w:pPr>
              <w:jc w:val="right"/>
              <w:ind w:right="448"/>
              <w:spacing w:after="0"/>
              <w:rPr>
                <w:sz w:val="20"/>
                <w:szCs w:val="20"/>
                <w:color w:val="auto"/>
              </w:rPr>
            </w:pPr>
            <w:r>
              <w:rPr>
                <w:rFonts w:ascii="Arial" w:cs="Arial" w:eastAsia="Arial" w:hAnsi="Arial"/>
                <w:sz w:val="14"/>
                <w:szCs w:val="14"/>
                <w:b w:val="1"/>
                <w:bCs w:val="1"/>
                <w:color w:val="auto"/>
              </w:rPr>
              <w:t>$165</w:t>
            </w:r>
          </w:p>
        </w:tc>
        <w:tc>
          <w:tcPr>
            <w:tcW w:w="3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w w:val="96"/>
              </w:rPr>
              <w:t>$190</w:t>
            </w:r>
          </w:p>
        </w:tc>
        <w:tc>
          <w:tcPr>
            <w:tcW w:w="1100" w:type="dxa"/>
            <w:vAlign w:val="bottom"/>
            <w:tcBorders>
              <w:bottom w:val="single" w:sz="8" w:color="828282"/>
            </w:tcBorders>
          </w:tcPr>
          <w:p>
            <w:pPr>
              <w:jc w:val="right"/>
              <w:ind w:right="248"/>
              <w:spacing w:after="0"/>
              <w:rPr>
                <w:sz w:val="20"/>
                <w:szCs w:val="20"/>
                <w:color w:val="auto"/>
              </w:rPr>
            </w:pPr>
            <w:r>
              <w:rPr>
                <w:rFonts w:ascii="Arial" w:cs="Arial" w:eastAsia="Arial" w:hAnsi="Arial"/>
                <w:sz w:val="14"/>
                <w:szCs w:val="14"/>
                <w:b w:val="1"/>
                <w:bCs w:val="1"/>
                <w:color w:val="auto"/>
              </w:rPr>
              <w:t>$0.48</w:t>
            </w:r>
          </w:p>
        </w:tc>
        <w:tc>
          <w:tcPr>
            <w:tcW w:w="480" w:type="dxa"/>
            <w:vAlign w:val="bottom"/>
            <w:tcBorders>
              <w:bottom w:val="single" w:sz="8" w:color="828282"/>
            </w:tcBorders>
          </w:tcPr>
          <w:p>
            <w:pPr>
              <w:jc w:val="right"/>
              <w:spacing w:after="0"/>
              <w:rPr>
                <w:sz w:val="20"/>
                <w:szCs w:val="20"/>
                <w:color w:val="auto"/>
              </w:rPr>
            </w:pPr>
            <w:r>
              <w:rPr>
                <w:rFonts w:ascii="Arial" w:cs="Arial" w:eastAsia="Arial" w:hAnsi="Arial"/>
                <w:sz w:val="14"/>
                <w:szCs w:val="14"/>
                <w:b w:val="1"/>
                <w:bCs w:val="1"/>
                <w:color w:val="auto"/>
              </w:rPr>
              <w:t>$0.57</w:t>
            </w:r>
          </w:p>
        </w:tc>
        <w:tc>
          <w:tcPr>
            <w:tcW w:w="960" w:type="dxa"/>
            <w:vAlign w:val="bottom"/>
            <w:tcBorders>
              <w:bottom w:val="single" w:sz="8" w:color="8C8272"/>
            </w:tcBorders>
          </w:tcPr>
          <w:p>
            <w:pPr>
              <w:jc w:val="right"/>
              <w:ind w:right="148"/>
              <w:spacing w:after="0"/>
              <w:rPr>
                <w:sz w:val="20"/>
                <w:szCs w:val="20"/>
                <w:color w:val="auto"/>
              </w:rPr>
            </w:pPr>
            <w:r>
              <w:rPr>
                <w:rFonts w:ascii="Arial" w:cs="Arial" w:eastAsia="Arial" w:hAnsi="Arial"/>
                <w:sz w:val="14"/>
                <w:szCs w:val="14"/>
                <w:b w:val="1"/>
                <w:bCs w:val="1"/>
                <w:color w:val="auto"/>
              </w:rPr>
              <w:t>$584</w:t>
            </w:r>
          </w:p>
        </w:tc>
        <w:tc>
          <w:tcPr>
            <w:tcW w:w="74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b w:val="1"/>
                <w:bCs w:val="1"/>
                <w:color w:val="auto"/>
              </w:rPr>
              <w:t>$565</w:t>
            </w:r>
          </w:p>
        </w:tc>
        <w:tc>
          <w:tcPr>
            <w:tcW w:w="920" w:type="dxa"/>
            <w:vAlign w:val="bottom"/>
            <w:tcBorders>
              <w:bottom w:val="single" w:sz="8" w:color="8C8272"/>
            </w:tcBorders>
          </w:tcPr>
          <w:p>
            <w:pPr>
              <w:jc w:val="right"/>
              <w:ind w:right="248"/>
              <w:spacing w:after="0"/>
              <w:rPr>
                <w:sz w:val="20"/>
                <w:szCs w:val="20"/>
                <w:color w:val="auto"/>
              </w:rPr>
            </w:pPr>
            <w:r>
              <w:rPr>
                <w:rFonts w:ascii="Arial" w:cs="Arial" w:eastAsia="Arial" w:hAnsi="Arial"/>
                <w:sz w:val="14"/>
                <w:szCs w:val="14"/>
                <w:b w:val="1"/>
                <w:bCs w:val="1"/>
                <w:color w:val="auto"/>
              </w:rPr>
              <w:t>$1.70</w:t>
            </w:r>
          </w:p>
        </w:tc>
        <w:tc>
          <w:tcPr>
            <w:tcW w:w="4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$1.69</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60" w:hanging="332"/>
        <w:spacing w:after="0" w:line="241"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income for common stock from the Clean Energy Businesses for the three and six months ended June 30, 2021 includes $(20) million or $(0.06) a share and $29 million or $0.09 a share, respectively, of net after-tax mark-to-market losses, reflects $36 million or $0.10 a share (after-tax) and $34 million or $0.10 a share (after-tax), respectively, of income attributable to the non-controlling interest of a tax equity investor in renewable electric production projects accounted for under the HLBV method of accounting and includes $(3) million or $(0.01) a share (after-tax) and $(3) million or $(0.01) a share (after-tax), respectively, for the loss from the sale of a renewable electric production project. Net income for common stock from the Clean Energy Businesses for the three and six months ended June 30, 2020 includes $(2) million a share and $(65) million or $(0.19) a share, respectively, of net after-tax mark-to-market losses and reflects $9 million or $0.03 a share (after-tax) and $22 million or $0.07 a share (after-tax), respectively, of income attributable to the non-controlling interest of a tax equity investor in renewable electric production projects accounted for under the HLBV method of accounting. See Note P to the Second Quarter Financial Statements.</w:t>
      </w:r>
    </w:p>
    <w:p>
      <w:pPr>
        <w:spacing w:after="0" w:line="2" w:lineRule="exact"/>
        <w:rPr>
          <w:rFonts w:ascii="Arial" w:cs="Arial" w:eastAsia="Arial" w:hAnsi="Arial"/>
          <w:sz w:val="14"/>
          <w:szCs w:val="14"/>
          <w:color w:val="auto"/>
        </w:rPr>
      </w:pPr>
    </w:p>
    <w:p>
      <w:pPr>
        <w:ind w:left="340" w:right="40" w:hanging="332"/>
        <w:spacing w:after="0" w:line="241"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income for common stock from Con Edison Transmission for the three and six months ended June 30, 2021 includes $(28) million or $(0.08) a share and $(153) million or $(0.44) a share of net after-tax impairment loss related to its investment in Stagecoach. See Note A to the Second Quarter Financial Statements.</w:t>
      </w:r>
    </w:p>
    <w:p>
      <w:pPr>
        <w:ind w:left="340" w:hanging="332"/>
        <w:spacing w:after="0" w:line="241"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Other includes parent company and consolidation adjustments. Net income for common stock for the three and six months ended June 30, 2021 includes $(3) million (after-tax) and $(3) million (after-tax), respectively, of income attributable to the non-controlling interest of a tax equity investor in renewable electric production projects accounted for under the HLBV method of accounting and $1 million and $6 million or $0.01 a share, respectively, of income tax impact for the impairment loss related to Con Edison Transmission’s investment in Stagecoach. See Note A to the Second Quarter Financial Statements.</w:t>
      </w:r>
    </w:p>
    <w:p>
      <w:pPr>
        <w:spacing w:after="0" w:line="1" w:lineRule="exact"/>
        <w:rPr>
          <w:rFonts w:ascii="Arial" w:cs="Arial" w:eastAsia="Arial" w:hAnsi="Arial"/>
          <w:sz w:val="14"/>
          <w:szCs w:val="14"/>
          <w:color w:val="auto"/>
        </w:rPr>
      </w:pPr>
    </w:p>
    <w:p>
      <w:pPr>
        <w:ind w:left="340" w:right="360" w:hanging="332"/>
        <w:spacing w:after="0" w:line="258"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Earnings per share on a diluted basis were $0.48 a share and $0.57 a share for the three months ended June 30, 2021 and 2020, respectively, and $1.70 a share and $1.69 a share for the six months ended June 30, 2021 and 2020.</w:t>
      </w:r>
    </w:p>
    <w:p>
      <w:pPr>
        <w:spacing w:after="0" w:line="200" w:lineRule="exact"/>
        <w:rPr>
          <w:sz w:val="20"/>
          <w:szCs w:val="20"/>
          <w:color w:val="auto"/>
        </w:rPr>
      </w:pPr>
    </w:p>
    <w:p>
      <w:pPr>
        <w:spacing w:after="0" w:line="25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tables present the estimated effect of major factors on earnings per share and net income for common stock for the three and six months ended June 30, 2021 as compared with the 2020 period.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5"/>
        </w:trPr>
        <w:tc>
          <w:tcPr>
            <w:tcW w:w="8520" w:type="dxa"/>
            <w:vAlign w:val="bottom"/>
          </w:tcPr>
          <w:p>
            <w:pPr>
              <w:ind w:left="3300"/>
              <w:spacing w:after="0"/>
              <w:rPr>
                <w:sz w:val="20"/>
                <w:szCs w:val="20"/>
                <w:color w:val="auto"/>
              </w:rPr>
            </w:pPr>
            <w:r>
              <w:rPr>
                <w:rFonts w:ascii="Arial" w:cs="Arial" w:eastAsia="Arial" w:hAnsi="Arial"/>
                <w:sz w:val="16"/>
                <w:szCs w:val="16"/>
                <w:b w:val="1"/>
                <w:bCs w:val="1"/>
                <w:color w:val="auto"/>
              </w:rPr>
              <w:t>Variation for the Three Months Ended June 30, 2021 vs. 2020</w:t>
            </w: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83"/>
        </w:trPr>
        <w:tc>
          <w:tcPr>
            <w:tcW w:w="85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Net Income for</w:t>
            </w:r>
          </w:p>
        </w:tc>
        <w:tc>
          <w:tcPr>
            <w:tcW w:w="1240" w:type="dxa"/>
            <w:vAlign w:val="bottom"/>
          </w:tcPr>
          <w:p>
            <w:pPr>
              <w:spacing w:after="0"/>
              <w:rPr>
                <w:sz w:val="15"/>
                <w:szCs w:val="15"/>
                <w:color w:val="auto"/>
              </w:rPr>
            </w:pPr>
          </w:p>
        </w:tc>
      </w:tr>
      <w:tr>
        <w:trPr>
          <w:trHeight w:val="162"/>
        </w:trPr>
        <w:tc>
          <w:tcPr>
            <w:tcW w:w="852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6"/>
                <w:szCs w:val="16"/>
                <w:color w:val="auto"/>
              </w:rPr>
              <w:t>Common Stock</w:t>
            </w:r>
          </w:p>
        </w:tc>
        <w:tc>
          <w:tcPr>
            <w:tcW w:w="1240" w:type="dxa"/>
            <w:vAlign w:val="bottom"/>
          </w:tcPr>
          <w:p>
            <w:pPr>
              <w:spacing w:after="0"/>
              <w:rPr>
                <w:sz w:val="14"/>
                <w:szCs w:val="14"/>
                <w:color w:val="auto"/>
              </w:rPr>
            </w:pPr>
          </w:p>
        </w:tc>
      </w:tr>
      <w:tr>
        <w:trPr>
          <w:trHeight w:val="162"/>
        </w:trPr>
        <w:tc>
          <w:tcPr>
            <w:tcW w:w="852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6"/>
                <w:szCs w:val="16"/>
                <w:color w:val="auto"/>
              </w:rPr>
              <w:t>(Millions of</w:t>
            </w:r>
          </w:p>
        </w:tc>
        <w:tc>
          <w:tcPr>
            <w:tcW w:w="124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Earnings per</w:t>
            </w:r>
          </w:p>
        </w:tc>
      </w:tr>
      <w:tr>
        <w:trPr>
          <w:trHeight w:val="198"/>
        </w:trPr>
        <w:tc>
          <w:tcPr>
            <w:tcW w:w="85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Dollars)</w:t>
            </w: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Share</w:t>
            </w:r>
          </w:p>
        </w:tc>
      </w:tr>
      <w:tr>
        <w:trPr>
          <w:trHeight w:val="212"/>
        </w:trPr>
        <w:tc>
          <w:tcPr>
            <w:tcW w:w="8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CECONY (a)</w:t>
            </w:r>
          </w:p>
        </w:tc>
        <w:tc>
          <w:tcPr>
            <w:tcW w:w="148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r>
      <w:tr>
        <w:trPr>
          <w:trHeight w:val="191"/>
        </w:trPr>
        <w:tc>
          <w:tcPr>
            <w:tcW w:w="8520" w:type="dxa"/>
            <w:vAlign w:val="bottom"/>
          </w:tcPr>
          <w:p>
            <w:pPr>
              <w:ind w:left="220"/>
              <w:spacing w:after="0"/>
              <w:rPr>
                <w:sz w:val="20"/>
                <w:szCs w:val="20"/>
                <w:color w:val="auto"/>
              </w:rPr>
            </w:pPr>
            <w:r>
              <w:rPr>
                <w:rFonts w:ascii="Arial" w:cs="Arial" w:eastAsia="Arial" w:hAnsi="Arial"/>
                <w:sz w:val="16"/>
                <w:szCs w:val="16"/>
                <w:color w:val="auto"/>
              </w:rPr>
              <w:t>Deferral of increases to reserve for uncollectibles associated with the Coronavirus Disease (COVID-19) pandemic</w:t>
            </w:r>
          </w:p>
        </w:tc>
        <w:tc>
          <w:tcPr>
            <w:tcW w:w="14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1"/>
        </w:trPr>
        <w:tc>
          <w:tcPr>
            <w:tcW w:w="8520" w:type="dxa"/>
            <w:vAlign w:val="bottom"/>
          </w:tcPr>
          <w:p>
            <w:pPr>
              <w:ind w:left="220"/>
              <w:spacing w:after="0"/>
              <w:rPr>
                <w:sz w:val="20"/>
                <w:szCs w:val="20"/>
                <w:color w:val="auto"/>
              </w:rPr>
            </w:pPr>
            <w:r>
              <w:rPr>
                <w:rFonts w:ascii="Arial" w:cs="Arial" w:eastAsia="Arial" w:hAnsi="Arial"/>
                <w:sz w:val="16"/>
                <w:szCs w:val="16"/>
                <w:color w:val="auto"/>
              </w:rPr>
              <w:t>began in the third quarter of 2020</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4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219"/>
        </w:trPr>
        <w:tc>
          <w:tcPr>
            <w:tcW w:w="85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Higher electric rate base</w:t>
            </w:r>
          </w:p>
        </w:tc>
        <w:tc>
          <w:tcPr>
            <w:tcW w:w="14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8</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0.02</w:t>
            </w:r>
          </w:p>
        </w:tc>
      </w:tr>
      <w:tr>
        <w:trPr>
          <w:trHeight w:val="213"/>
        </w:trPr>
        <w:tc>
          <w:tcPr>
            <w:tcW w:w="8520" w:type="dxa"/>
            <w:vAlign w:val="bottom"/>
          </w:tcPr>
          <w:p>
            <w:pPr>
              <w:ind w:left="220"/>
              <w:spacing w:after="0"/>
              <w:rPr>
                <w:sz w:val="20"/>
                <w:szCs w:val="20"/>
                <w:color w:val="auto"/>
              </w:rPr>
            </w:pPr>
            <w:r>
              <w:rPr>
                <w:rFonts w:ascii="Arial" w:cs="Arial" w:eastAsia="Arial" w:hAnsi="Arial"/>
                <w:sz w:val="16"/>
                <w:szCs w:val="16"/>
                <w:color w:val="auto"/>
              </w:rPr>
              <w:t>Higher gas rate base</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9"/>
        </w:trPr>
        <w:tc>
          <w:tcPr>
            <w:tcW w:w="85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Higher healthcare costs</w:t>
            </w:r>
          </w:p>
        </w:tc>
        <w:tc>
          <w:tcPr>
            <w:tcW w:w="14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(19)</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(0.06)</w:t>
            </w:r>
          </w:p>
        </w:tc>
      </w:tr>
      <w:tr>
        <w:trPr>
          <w:trHeight w:val="213"/>
        </w:trPr>
        <w:tc>
          <w:tcPr>
            <w:tcW w:w="8520" w:type="dxa"/>
            <w:vAlign w:val="bottom"/>
          </w:tcPr>
          <w:p>
            <w:pPr>
              <w:ind w:left="220"/>
              <w:spacing w:after="0"/>
              <w:rPr>
                <w:sz w:val="20"/>
                <w:szCs w:val="20"/>
                <w:color w:val="auto"/>
              </w:rPr>
            </w:pPr>
            <w:r>
              <w:rPr>
                <w:rFonts w:ascii="Arial" w:cs="Arial" w:eastAsia="Arial" w:hAnsi="Arial"/>
                <w:sz w:val="16"/>
                <w:szCs w:val="16"/>
                <w:color w:val="auto"/>
              </w:rPr>
              <w:t>Higher costs related to heat events</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4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19"/>
        </w:trPr>
        <w:tc>
          <w:tcPr>
            <w:tcW w:w="85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Weather impact on steam revenues</w:t>
            </w:r>
          </w:p>
        </w:tc>
        <w:tc>
          <w:tcPr>
            <w:tcW w:w="14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(6)</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(0.02)</w:t>
            </w:r>
          </w:p>
        </w:tc>
      </w:tr>
      <w:tr>
        <w:trPr>
          <w:trHeight w:val="177"/>
        </w:trPr>
        <w:tc>
          <w:tcPr>
            <w:tcW w:w="8520" w:type="dxa"/>
            <w:vAlign w:val="bottom"/>
          </w:tcPr>
          <w:p>
            <w:pPr>
              <w:ind w:left="220"/>
              <w:spacing w:after="0" w:line="178" w:lineRule="exact"/>
              <w:rPr>
                <w:sz w:val="20"/>
                <w:szCs w:val="20"/>
                <w:color w:val="auto"/>
              </w:rPr>
            </w:pPr>
            <w:r>
              <w:rPr>
                <w:rFonts w:ascii="Arial" w:cs="Arial" w:eastAsia="Arial" w:hAnsi="Arial"/>
                <w:sz w:val="16"/>
                <w:szCs w:val="16"/>
                <w:color w:val="auto"/>
              </w:rPr>
              <w:t>Lower Employee Retention Tax Credit received under the Coronavirus Aid, Relief, and Economic Security Act</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8"/>
        </w:trPr>
        <w:tc>
          <w:tcPr>
            <w:tcW w:w="8520" w:type="dxa"/>
            <w:vAlign w:val="bottom"/>
          </w:tcPr>
          <w:p>
            <w:pPr>
              <w:ind w:left="220"/>
              <w:spacing w:after="0"/>
              <w:rPr>
                <w:sz w:val="20"/>
                <w:szCs w:val="20"/>
                <w:color w:val="auto"/>
              </w:rPr>
            </w:pPr>
            <w:r>
              <w:rPr>
                <w:rFonts w:ascii="Arial" w:cs="Arial" w:eastAsia="Arial" w:hAnsi="Arial"/>
                <w:sz w:val="16"/>
                <w:szCs w:val="16"/>
                <w:color w:val="auto"/>
              </w:rPr>
              <w:t>(CARES Act) in 2021</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9"/>
        </w:trPr>
        <w:tc>
          <w:tcPr>
            <w:tcW w:w="85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Lower purchase of receivables discount revenue in 2021</w:t>
            </w:r>
          </w:p>
        </w:tc>
        <w:tc>
          <w:tcPr>
            <w:tcW w:w="14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(2)</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(0.01)</w:t>
            </w:r>
          </w:p>
        </w:tc>
      </w:tr>
      <w:tr>
        <w:trPr>
          <w:trHeight w:val="213"/>
        </w:trPr>
        <w:tc>
          <w:tcPr>
            <w:tcW w:w="8520" w:type="dxa"/>
            <w:vAlign w:val="bottom"/>
          </w:tcPr>
          <w:p>
            <w:pPr>
              <w:ind w:left="220"/>
              <w:spacing w:after="0"/>
              <w:rPr>
                <w:sz w:val="20"/>
                <w:szCs w:val="20"/>
                <w:color w:val="auto"/>
              </w:rPr>
            </w:pPr>
            <w:r>
              <w:rPr>
                <w:rFonts w:ascii="Arial" w:cs="Arial" w:eastAsia="Arial" w:hAnsi="Arial"/>
                <w:sz w:val="16"/>
                <w:szCs w:val="16"/>
                <w:color w:val="auto"/>
              </w:rPr>
              <w:t>Lower Earnings Adjustment Mechanisms recorded in 2021</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9"/>
        </w:trPr>
        <w:tc>
          <w:tcPr>
            <w:tcW w:w="85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Dilutive effect of stock issuances</w:t>
            </w:r>
          </w:p>
        </w:tc>
        <w:tc>
          <w:tcPr>
            <w:tcW w:w="14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(0.01)</w:t>
            </w:r>
          </w:p>
        </w:tc>
      </w:tr>
      <w:tr>
        <w:trPr>
          <w:trHeight w:val="213"/>
        </w:trPr>
        <w:tc>
          <w:tcPr>
            <w:tcW w:w="8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520" w:type="dxa"/>
            <w:vAlign w:val="bottom"/>
            <w:tcBorders>
              <w:bottom w:val="single" w:sz="8" w:color="auto"/>
            </w:tcBorders>
            <w:shd w:val="clear" w:color="auto" w:fill="E5E5E5"/>
          </w:tcPr>
          <w:p>
            <w:pPr>
              <w:ind w:left="680"/>
              <w:spacing w:after="0"/>
              <w:rPr>
                <w:sz w:val="20"/>
                <w:szCs w:val="20"/>
                <w:color w:val="auto"/>
              </w:rPr>
            </w:pPr>
            <w:r>
              <w:rPr>
                <w:rFonts w:ascii="Arial" w:cs="Arial" w:eastAsia="Arial" w:hAnsi="Arial"/>
                <w:sz w:val="16"/>
                <w:szCs w:val="16"/>
                <w:color w:val="auto"/>
              </w:rPr>
              <w:t>Total CECONY</w:t>
            </w:r>
          </w:p>
        </w:tc>
        <w:tc>
          <w:tcPr>
            <w:tcW w:w="148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6"/>
                <w:szCs w:val="16"/>
                <w:color w:val="auto"/>
              </w:rPr>
              <w:t>(24)</w:t>
            </w: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(0.08)</w:t>
            </w:r>
          </w:p>
        </w:tc>
      </w:tr>
      <w:tr>
        <w:trPr>
          <w:trHeight w:val="209"/>
        </w:trPr>
        <w:tc>
          <w:tcPr>
            <w:tcW w:w="8520" w:type="dxa"/>
            <w:vAlign w:val="bottom"/>
          </w:tcPr>
          <w:p>
            <w:pPr>
              <w:ind w:left="20"/>
              <w:spacing w:after="0"/>
              <w:rPr>
                <w:sz w:val="20"/>
                <w:szCs w:val="20"/>
                <w:color w:val="auto"/>
              </w:rPr>
            </w:pPr>
            <w:r>
              <w:rPr>
                <w:rFonts w:ascii="Arial" w:cs="Arial" w:eastAsia="Arial" w:hAnsi="Arial"/>
                <w:sz w:val="16"/>
                <w:szCs w:val="16"/>
                <w:color w:val="auto"/>
              </w:rPr>
              <w:t>O&amp;R (a)</w:t>
            </w: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5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6"/>
                <w:szCs w:val="16"/>
                <w:color w:val="auto"/>
              </w:rPr>
              <w:t>Other</w:t>
            </w:r>
          </w:p>
        </w:tc>
        <w:tc>
          <w:tcPr>
            <w:tcW w:w="148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6"/>
                <w:szCs w:val="16"/>
                <w:color w:val="auto"/>
              </w:rPr>
              <w:t>2</w:t>
            </w: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5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O&amp;R</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Clean Energy Businesses</w:t>
            </w:r>
          </w:p>
        </w:tc>
        <w:tc>
          <w:tcPr>
            <w:tcW w:w="148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r>
      <w:tr>
        <w:trPr>
          <w:trHeight w:val="213"/>
        </w:trPr>
        <w:tc>
          <w:tcPr>
            <w:tcW w:w="8520" w:type="dxa"/>
            <w:vAlign w:val="bottom"/>
          </w:tcPr>
          <w:p>
            <w:pPr>
              <w:ind w:left="220"/>
              <w:spacing w:after="0"/>
              <w:rPr>
                <w:sz w:val="20"/>
                <w:szCs w:val="20"/>
                <w:color w:val="auto"/>
              </w:rPr>
            </w:pPr>
            <w:r>
              <w:rPr>
                <w:rFonts w:ascii="Arial" w:cs="Arial" w:eastAsia="Arial" w:hAnsi="Arial"/>
                <w:sz w:val="16"/>
                <w:szCs w:val="16"/>
                <w:color w:val="auto"/>
              </w:rPr>
              <w:t>Higher revenues</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240" w:type="dxa"/>
            <w:vAlign w:val="bottom"/>
          </w:tcPr>
          <w:p>
            <w:pPr>
              <w:jc w:val="right"/>
              <w:spacing w:after="0"/>
              <w:rPr>
                <w:sz w:val="20"/>
                <w:szCs w:val="20"/>
                <w:color w:val="auto"/>
              </w:rPr>
            </w:pPr>
            <w:r>
              <w:rPr>
                <w:rFonts w:ascii="Arial" w:cs="Arial" w:eastAsia="Arial" w:hAnsi="Arial"/>
                <w:sz w:val="16"/>
                <w:szCs w:val="16"/>
                <w:color w:val="auto"/>
              </w:rPr>
              <w:t>0.20</w:t>
            </w:r>
          </w:p>
        </w:tc>
      </w:tr>
      <w:tr>
        <w:trPr>
          <w:trHeight w:val="219"/>
        </w:trPr>
        <w:tc>
          <w:tcPr>
            <w:tcW w:w="85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HLBV effects</w:t>
            </w:r>
          </w:p>
        </w:tc>
        <w:tc>
          <w:tcPr>
            <w:tcW w:w="14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45</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0.13</w:t>
            </w:r>
          </w:p>
        </w:tc>
      </w:tr>
      <w:tr>
        <w:trPr>
          <w:trHeight w:val="213"/>
        </w:trPr>
        <w:tc>
          <w:tcPr>
            <w:tcW w:w="8520" w:type="dxa"/>
            <w:vAlign w:val="bottom"/>
          </w:tcPr>
          <w:p>
            <w:pPr>
              <w:ind w:left="220"/>
              <w:spacing w:after="0"/>
              <w:rPr>
                <w:sz w:val="20"/>
                <w:szCs w:val="20"/>
                <w:color w:val="auto"/>
              </w:rPr>
            </w:pPr>
            <w:r>
              <w:rPr>
                <w:rFonts w:ascii="Arial" w:cs="Arial" w:eastAsia="Arial" w:hAnsi="Arial"/>
                <w:sz w:val="16"/>
                <w:szCs w:val="16"/>
                <w:color w:val="auto"/>
              </w:rPr>
              <w:t>Gain on sale of a renewable electric project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9"/>
        </w:trPr>
        <w:tc>
          <w:tcPr>
            <w:tcW w:w="85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Higher operations and maintenance expenses</w:t>
            </w:r>
          </w:p>
        </w:tc>
        <w:tc>
          <w:tcPr>
            <w:tcW w:w="14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(62)</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(0.18)</w:t>
            </w:r>
          </w:p>
        </w:tc>
      </w:tr>
      <w:tr>
        <w:trPr>
          <w:trHeight w:val="213"/>
        </w:trPr>
        <w:tc>
          <w:tcPr>
            <w:tcW w:w="8520" w:type="dxa"/>
            <w:vAlign w:val="bottom"/>
          </w:tcPr>
          <w:p>
            <w:pPr>
              <w:ind w:left="220"/>
              <w:spacing w:after="0"/>
              <w:rPr>
                <w:sz w:val="20"/>
                <w:szCs w:val="20"/>
                <w:color w:val="auto"/>
              </w:rPr>
            </w:pPr>
            <w:r>
              <w:rPr>
                <w:rFonts w:ascii="Arial" w:cs="Arial" w:eastAsia="Arial" w:hAnsi="Arial"/>
                <w:sz w:val="16"/>
                <w:szCs w:val="16"/>
                <w:color w:val="auto"/>
              </w:rPr>
              <w:t>Net mark-to-market effects of the Clean Energy Businesses</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4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216"/>
        </w:trPr>
        <w:tc>
          <w:tcPr>
            <w:tcW w:w="85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6"/>
                <w:szCs w:val="16"/>
                <w:color w:val="auto"/>
              </w:rPr>
              <w:t>Loss from sale of a renewable electric production project</w:t>
            </w:r>
          </w:p>
        </w:tc>
        <w:tc>
          <w:tcPr>
            <w:tcW w:w="148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6"/>
                <w:szCs w:val="16"/>
                <w:color w:val="auto"/>
              </w:rPr>
              <w:t>(3)</w:t>
            </w: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(0.01)</w:t>
            </w:r>
          </w:p>
        </w:tc>
      </w:tr>
      <w:tr>
        <w:trPr>
          <w:trHeight w:val="210"/>
        </w:trPr>
        <w:tc>
          <w:tcPr>
            <w:tcW w:w="85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Clean Energy Businesses</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r>
      <w:tr>
        <w:trPr>
          <w:trHeight w:val="213"/>
        </w:trPr>
        <w:tc>
          <w:tcPr>
            <w:tcW w:w="8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Con Edison Transmission</w:t>
            </w:r>
          </w:p>
        </w:tc>
        <w:tc>
          <w:tcPr>
            <w:tcW w:w="148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r>
      <w:tr>
        <w:trPr>
          <w:trHeight w:val="213"/>
        </w:trPr>
        <w:tc>
          <w:tcPr>
            <w:tcW w:w="8520" w:type="dxa"/>
            <w:vAlign w:val="bottom"/>
          </w:tcPr>
          <w:p>
            <w:pPr>
              <w:ind w:left="220"/>
              <w:spacing w:after="0"/>
              <w:rPr>
                <w:sz w:val="20"/>
                <w:szCs w:val="20"/>
                <w:color w:val="auto"/>
              </w:rPr>
            </w:pPr>
            <w:r>
              <w:rPr>
                <w:rFonts w:ascii="Arial" w:cs="Arial" w:eastAsia="Arial" w:hAnsi="Arial"/>
                <w:sz w:val="16"/>
                <w:szCs w:val="16"/>
                <w:color w:val="auto"/>
              </w:rPr>
              <w:t>Impairment loss on Stagecoach</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40" w:type="dxa"/>
            <w:vAlign w:val="bottom"/>
          </w:tcPr>
          <w:p>
            <w:pPr>
              <w:jc w:val="right"/>
              <w:spacing w:after="0"/>
              <w:rPr>
                <w:sz w:val="20"/>
                <w:szCs w:val="20"/>
                <w:color w:val="auto"/>
              </w:rPr>
            </w:pPr>
            <w:r>
              <w:rPr>
                <w:rFonts w:ascii="Arial" w:cs="Arial" w:eastAsia="Arial" w:hAnsi="Arial"/>
                <w:sz w:val="16"/>
                <w:szCs w:val="16"/>
                <w:color w:val="auto"/>
              </w:rPr>
              <w:t>(0.08)</w:t>
            </w:r>
          </w:p>
        </w:tc>
      </w:tr>
      <w:tr>
        <w:trPr>
          <w:trHeight w:val="180"/>
        </w:trPr>
        <w:tc>
          <w:tcPr>
            <w:tcW w:w="8520" w:type="dxa"/>
            <w:vAlign w:val="bottom"/>
            <w:shd w:val="clear" w:color="auto" w:fill="E5E5E5"/>
          </w:tcPr>
          <w:p>
            <w:pPr>
              <w:ind w:left="220"/>
              <w:spacing w:after="0" w:line="181" w:lineRule="exact"/>
              <w:rPr>
                <w:sz w:val="20"/>
                <w:szCs w:val="20"/>
                <w:color w:val="auto"/>
              </w:rPr>
            </w:pPr>
            <w:r>
              <w:rPr>
                <w:rFonts w:ascii="Arial" w:cs="Arial" w:eastAsia="Arial" w:hAnsi="Arial"/>
                <w:sz w:val="16"/>
                <w:szCs w:val="16"/>
                <w:color w:val="auto"/>
              </w:rPr>
              <w:t>Foregoing Allowance for Funds Used During Construction income starting in January 2021 until significant</w:t>
            </w:r>
          </w:p>
        </w:tc>
        <w:tc>
          <w:tcPr>
            <w:tcW w:w="1480" w:type="dxa"/>
            <w:vAlign w:val="bottom"/>
            <w:shd w:val="clear" w:color="auto" w:fill="E5E5E5"/>
          </w:tcPr>
          <w:p>
            <w:pPr>
              <w:jc w:val="right"/>
              <w:ind w:right="19"/>
              <w:spacing w:after="0" w:line="181" w:lineRule="exact"/>
              <w:rPr>
                <w:sz w:val="20"/>
                <w:szCs w:val="20"/>
                <w:color w:val="auto"/>
              </w:rPr>
            </w:pPr>
            <w:r>
              <w:rPr>
                <w:rFonts w:ascii="Arial" w:cs="Arial" w:eastAsia="Arial" w:hAnsi="Arial"/>
                <w:sz w:val="16"/>
                <w:szCs w:val="16"/>
                <w:color w:val="auto"/>
              </w:rPr>
              <w:t>(11)</w:t>
            </w:r>
          </w:p>
        </w:tc>
        <w:tc>
          <w:tcPr>
            <w:tcW w:w="1240" w:type="dxa"/>
            <w:vAlign w:val="bottom"/>
            <w:shd w:val="clear" w:color="auto" w:fill="E5E5E5"/>
          </w:tcPr>
          <w:p>
            <w:pPr>
              <w:jc w:val="right"/>
              <w:spacing w:after="0" w:line="181" w:lineRule="exact"/>
              <w:rPr>
                <w:sz w:val="20"/>
                <w:szCs w:val="20"/>
                <w:color w:val="auto"/>
              </w:rPr>
            </w:pPr>
            <w:r>
              <w:rPr>
                <w:rFonts w:ascii="Arial" w:cs="Arial" w:eastAsia="Arial" w:hAnsi="Arial"/>
                <w:sz w:val="16"/>
                <w:szCs w:val="16"/>
                <w:color w:val="auto"/>
              </w:rPr>
              <w:t>(0.03)</w:t>
            </w:r>
          </w:p>
        </w:tc>
      </w:tr>
      <w:tr>
        <w:trPr>
          <w:trHeight w:val="201"/>
        </w:trPr>
        <w:tc>
          <w:tcPr>
            <w:tcW w:w="85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construction resumes on the Mountain Valley Pipeline</w:t>
            </w:r>
          </w:p>
        </w:tc>
        <w:tc>
          <w:tcPr>
            <w:tcW w:w="1480" w:type="dxa"/>
            <w:vAlign w:val="bottom"/>
            <w:shd w:val="clear" w:color="auto" w:fill="E5E5E5"/>
          </w:tcPr>
          <w:p>
            <w:pPr>
              <w:spacing w:after="0"/>
              <w:rPr>
                <w:sz w:val="17"/>
                <w:szCs w:val="17"/>
                <w:color w:val="auto"/>
              </w:rPr>
            </w:pPr>
          </w:p>
        </w:tc>
        <w:tc>
          <w:tcPr>
            <w:tcW w:w="1240" w:type="dxa"/>
            <w:vAlign w:val="bottom"/>
            <w:shd w:val="clear" w:color="auto" w:fill="E5E5E5"/>
          </w:tcPr>
          <w:p>
            <w:pPr>
              <w:spacing w:after="0"/>
              <w:rPr>
                <w:sz w:val="17"/>
                <w:szCs w:val="17"/>
                <w:color w:val="auto"/>
              </w:rPr>
            </w:pPr>
          </w:p>
        </w:tc>
      </w:tr>
      <w:tr>
        <w:trPr>
          <w:trHeight w:val="213"/>
        </w:trPr>
        <w:tc>
          <w:tcPr>
            <w:tcW w:w="8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r>
      <w:tr>
        <w:trPr>
          <w:trHeight w:val="210"/>
        </w:trPr>
        <w:tc>
          <w:tcPr>
            <w:tcW w:w="8520" w:type="dxa"/>
            <w:vAlign w:val="bottom"/>
            <w:tcBorders>
              <w:bottom w:val="single" w:sz="8" w:color="auto"/>
            </w:tcBorders>
            <w:shd w:val="clear" w:color="auto" w:fill="E5E5E5"/>
          </w:tcPr>
          <w:p>
            <w:pPr>
              <w:ind w:left="680"/>
              <w:spacing w:after="0"/>
              <w:rPr>
                <w:sz w:val="20"/>
                <w:szCs w:val="20"/>
                <w:color w:val="auto"/>
              </w:rPr>
            </w:pPr>
            <w:r>
              <w:rPr>
                <w:rFonts w:ascii="Arial" w:cs="Arial" w:eastAsia="Arial" w:hAnsi="Arial"/>
                <w:sz w:val="16"/>
                <w:szCs w:val="16"/>
                <w:color w:val="auto"/>
              </w:rPr>
              <w:t>Total Con Edison Transmission</w:t>
            </w:r>
          </w:p>
        </w:tc>
        <w:tc>
          <w:tcPr>
            <w:tcW w:w="148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6"/>
                <w:szCs w:val="16"/>
                <w:color w:val="auto"/>
              </w:rPr>
              <w:t>(35)</w:t>
            </w: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(0.09)</w:t>
            </w:r>
          </w:p>
        </w:tc>
      </w:tr>
      <w:tr>
        <w:trPr>
          <w:trHeight w:val="210"/>
        </w:trPr>
        <w:tc>
          <w:tcPr>
            <w:tcW w:w="8520" w:type="dxa"/>
            <w:vAlign w:val="bottom"/>
          </w:tcPr>
          <w:p>
            <w:pPr>
              <w:ind w:left="20"/>
              <w:spacing w:after="0"/>
              <w:rPr>
                <w:sz w:val="20"/>
                <w:szCs w:val="20"/>
                <w:color w:val="auto"/>
              </w:rPr>
            </w:pPr>
            <w:r>
              <w:rPr>
                <w:rFonts w:ascii="Arial" w:cs="Arial" w:eastAsia="Arial" w:hAnsi="Arial"/>
                <w:sz w:val="16"/>
                <w:szCs w:val="16"/>
                <w:color w:val="auto"/>
              </w:rPr>
              <w:t>Other, including parent company expenses</w:t>
            </w: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5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HLBV tax effects</w:t>
            </w:r>
          </w:p>
        </w:tc>
        <w:tc>
          <w:tcPr>
            <w:tcW w:w="14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(3)</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20" w:type="dxa"/>
            <w:vAlign w:val="bottom"/>
          </w:tcPr>
          <w:p>
            <w:pPr>
              <w:ind w:left="220"/>
              <w:spacing w:after="0"/>
              <w:rPr>
                <w:sz w:val="20"/>
                <w:szCs w:val="20"/>
                <w:color w:val="auto"/>
              </w:rPr>
            </w:pPr>
            <w:r>
              <w:rPr>
                <w:rFonts w:ascii="Arial" w:cs="Arial" w:eastAsia="Arial" w:hAnsi="Arial"/>
                <w:sz w:val="16"/>
                <w:szCs w:val="16"/>
                <w:color w:val="auto"/>
              </w:rPr>
              <w:t>Impairment tax benefit on Stagecoach</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5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6"/>
                <w:szCs w:val="16"/>
                <w:color w:val="auto"/>
              </w:rPr>
              <w:t>Other</w:t>
            </w:r>
          </w:p>
        </w:tc>
        <w:tc>
          <w:tcPr>
            <w:tcW w:w="148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(0.01)</w:t>
            </w:r>
          </w:p>
        </w:tc>
      </w:tr>
      <w:tr>
        <w:trPr>
          <w:trHeight w:val="210"/>
        </w:trPr>
        <w:tc>
          <w:tcPr>
            <w:tcW w:w="85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Other, including parent company expenses</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09"/>
        </w:trPr>
        <w:tc>
          <w:tcPr>
            <w:tcW w:w="8520" w:type="dxa"/>
            <w:vAlign w:val="bottom"/>
            <w:tcBorders>
              <w:bottom w:val="single" w:sz="8" w:color="auto"/>
            </w:tcBorders>
            <w:shd w:val="clear" w:color="auto" w:fill="E5E5E5"/>
          </w:tcPr>
          <w:p>
            <w:pPr>
              <w:ind w:left="680"/>
              <w:spacing w:after="0"/>
              <w:rPr>
                <w:sz w:val="20"/>
                <w:szCs w:val="20"/>
                <w:color w:val="auto"/>
              </w:rPr>
            </w:pPr>
            <w:r>
              <w:rPr>
                <w:rFonts w:ascii="Arial" w:cs="Arial" w:eastAsia="Arial" w:hAnsi="Arial"/>
                <w:sz w:val="16"/>
                <w:szCs w:val="16"/>
                <w:color w:val="auto"/>
              </w:rPr>
              <w:t>Total Reported (GAAP basis)</w:t>
            </w:r>
          </w:p>
        </w:tc>
        <w:tc>
          <w:tcPr>
            <w:tcW w:w="148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6"/>
                <w:szCs w:val="16"/>
                <w:color w:val="auto"/>
              </w:rPr>
              <w:t>$(25)</w:t>
            </w: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$(0.09)</w:t>
            </w:r>
          </w:p>
        </w:tc>
      </w:tr>
    </w:tbl>
    <w:p>
      <w:pPr>
        <w:spacing w:after="0" w:line="59" w:lineRule="exact"/>
        <w:rPr>
          <w:sz w:val="20"/>
          <w:szCs w:val="20"/>
          <w:color w:val="auto"/>
        </w:rPr>
      </w:pPr>
    </w:p>
    <w:p>
      <w:pPr>
        <w:ind w:left="360" w:right="60" w:hanging="334"/>
        <w:spacing w:after="0" w:line="215" w:lineRule="auto"/>
        <w:tabs>
          <w:tab w:leader="none" w:pos="3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Under the revenue decoupling mechanisms in the Utilities’ New York electric and gas rate plans and the weather-normalization clause applicable to their gas businesses, revenues are generally not affected by changes in delivery volumes from levels assumed when rates were approved. In general, the Utilities recover on a current basis the fuel, gas purchased for resale and purchased power costs they incur in supplying energy to their full-service customers. Accordingly, such costs do not generally affect Con Edison’s results of operations.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8" w:name="page59"/>
    <w:bookmarkEnd w:id="58"/>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20" w:type="dxa"/>
            <w:vAlign w:val="bottom"/>
          </w:tcPr>
          <w:p>
            <w:pPr>
              <w:ind w:left="3400"/>
              <w:spacing w:after="0"/>
              <w:rPr>
                <w:sz w:val="20"/>
                <w:szCs w:val="20"/>
                <w:color w:val="auto"/>
              </w:rPr>
            </w:pPr>
            <w:r>
              <w:rPr>
                <w:rFonts w:ascii="Arial" w:cs="Arial" w:eastAsia="Arial" w:hAnsi="Arial"/>
                <w:sz w:val="16"/>
                <w:szCs w:val="16"/>
                <w:b w:val="1"/>
                <w:bCs w:val="1"/>
                <w:color w:val="auto"/>
              </w:rPr>
              <w:t>Variation for the Six Months Ended June 30, 2021 vs. 2020</w:t>
            </w: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83"/>
        </w:trPr>
        <w:tc>
          <w:tcPr>
            <w:tcW w:w="8620" w:type="dxa"/>
            <w:vAlign w:val="bottom"/>
          </w:tcPr>
          <w:p>
            <w:pPr>
              <w:spacing w:after="0"/>
              <w:rPr>
                <w:sz w:val="15"/>
                <w:szCs w:val="15"/>
                <w:color w:val="auto"/>
              </w:rPr>
            </w:pPr>
          </w:p>
        </w:tc>
        <w:tc>
          <w:tcPr>
            <w:tcW w:w="1380" w:type="dxa"/>
            <w:vAlign w:val="bottom"/>
          </w:tcPr>
          <w:p>
            <w:pPr>
              <w:jc w:val="center"/>
              <w:ind w:right="39"/>
              <w:spacing w:after="0"/>
              <w:rPr>
                <w:sz w:val="20"/>
                <w:szCs w:val="20"/>
                <w:color w:val="auto"/>
              </w:rPr>
            </w:pPr>
            <w:r>
              <w:rPr>
                <w:rFonts w:ascii="Arial" w:cs="Arial" w:eastAsia="Arial" w:hAnsi="Arial"/>
                <w:sz w:val="16"/>
                <w:szCs w:val="16"/>
                <w:color w:val="auto"/>
              </w:rPr>
              <w:t>Net Income for</w:t>
            </w:r>
          </w:p>
        </w:tc>
        <w:tc>
          <w:tcPr>
            <w:tcW w:w="1240" w:type="dxa"/>
            <w:vAlign w:val="bottom"/>
          </w:tcPr>
          <w:p>
            <w:pPr>
              <w:spacing w:after="0"/>
              <w:rPr>
                <w:sz w:val="15"/>
                <w:szCs w:val="15"/>
                <w:color w:val="auto"/>
              </w:rPr>
            </w:pPr>
          </w:p>
        </w:tc>
      </w:tr>
      <w:tr>
        <w:trPr>
          <w:trHeight w:val="162"/>
        </w:trPr>
        <w:tc>
          <w:tcPr>
            <w:tcW w:w="8620" w:type="dxa"/>
            <w:vAlign w:val="bottom"/>
          </w:tcPr>
          <w:p>
            <w:pPr>
              <w:spacing w:after="0"/>
              <w:rPr>
                <w:sz w:val="14"/>
                <w:szCs w:val="14"/>
                <w:color w:val="auto"/>
              </w:rPr>
            </w:pPr>
          </w:p>
        </w:tc>
        <w:tc>
          <w:tcPr>
            <w:tcW w:w="138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Common Stock</w:t>
            </w:r>
          </w:p>
        </w:tc>
        <w:tc>
          <w:tcPr>
            <w:tcW w:w="1240" w:type="dxa"/>
            <w:vAlign w:val="bottom"/>
          </w:tcPr>
          <w:p>
            <w:pPr>
              <w:spacing w:after="0"/>
              <w:rPr>
                <w:sz w:val="14"/>
                <w:szCs w:val="14"/>
                <w:color w:val="auto"/>
              </w:rPr>
            </w:pPr>
          </w:p>
        </w:tc>
      </w:tr>
      <w:tr>
        <w:trPr>
          <w:trHeight w:val="162"/>
        </w:trPr>
        <w:tc>
          <w:tcPr>
            <w:tcW w:w="8620" w:type="dxa"/>
            <w:vAlign w:val="bottom"/>
          </w:tcPr>
          <w:p>
            <w:pPr>
              <w:spacing w:after="0"/>
              <w:rPr>
                <w:sz w:val="14"/>
                <w:szCs w:val="14"/>
                <w:color w:val="auto"/>
              </w:rPr>
            </w:pPr>
          </w:p>
        </w:tc>
        <w:tc>
          <w:tcPr>
            <w:tcW w:w="138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(Millions of</w:t>
            </w:r>
          </w:p>
        </w:tc>
        <w:tc>
          <w:tcPr>
            <w:tcW w:w="124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Earnings per</w:t>
            </w:r>
          </w:p>
        </w:tc>
      </w:tr>
      <w:tr>
        <w:trPr>
          <w:trHeight w:val="198"/>
        </w:trPr>
        <w:tc>
          <w:tcPr>
            <w:tcW w:w="86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Dollars)</w:t>
            </w: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Share</w:t>
            </w:r>
          </w:p>
        </w:tc>
      </w:tr>
      <w:tr>
        <w:trPr>
          <w:trHeight w:val="212"/>
        </w:trPr>
        <w:tc>
          <w:tcPr>
            <w:tcW w:w="8620" w:type="dxa"/>
            <w:vAlign w:val="bottom"/>
            <w:shd w:val="clear" w:color="auto" w:fill="E5E5E5"/>
          </w:tcPr>
          <w:p>
            <w:pPr>
              <w:ind w:left="20"/>
              <w:spacing w:after="0"/>
              <w:rPr>
                <w:sz w:val="20"/>
                <w:szCs w:val="20"/>
                <w:color w:val="auto"/>
              </w:rPr>
            </w:pPr>
            <w:r>
              <w:rPr>
                <w:rFonts w:ascii="Arial" w:cs="Arial" w:eastAsia="Arial" w:hAnsi="Arial"/>
                <w:sz w:val="16"/>
                <w:szCs w:val="16"/>
                <w:color w:val="auto"/>
              </w:rPr>
              <w:t>CECONY (a)</w:t>
            </w:r>
          </w:p>
        </w:tc>
        <w:tc>
          <w:tcPr>
            <w:tcW w:w="138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r>
      <w:tr>
        <w:trPr>
          <w:trHeight w:val="213"/>
        </w:trPr>
        <w:tc>
          <w:tcPr>
            <w:tcW w:w="8620" w:type="dxa"/>
            <w:vAlign w:val="bottom"/>
          </w:tcPr>
          <w:p>
            <w:pPr>
              <w:ind w:left="220"/>
              <w:spacing w:after="0"/>
              <w:rPr>
                <w:sz w:val="20"/>
                <w:szCs w:val="20"/>
                <w:color w:val="auto"/>
              </w:rPr>
            </w:pPr>
            <w:r>
              <w:rPr>
                <w:rFonts w:ascii="Arial" w:cs="Arial" w:eastAsia="Arial" w:hAnsi="Arial"/>
                <w:sz w:val="16"/>
                <w:szCs w:val="16"/>
                <w:color w:val="auto"/>
              </w:rPr>
              <w:t>Higher gas rate base</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40" w:type="dxa"/>
            <w:vAlign w:val="bottom"/>
          </w:tcPr>
          <w:p>
            <w:pPr>
              <w:jc w:val="right"/>
              <w:spacing w:after="0"/>
              <w:rPr>
                <w:sz w:val="20"/>
                <w:szCs w:val="20"/>
                <w:color w:val="auto"/>
              </w:rPr>
            </w:pPr>
            <w:r>
              <w:rPr>
                <w:rFonts w:ascii="Arial" w:cs="Arial" w:eastAsia="Arial" w:hAnsi="Arial"/>
                <w:sz w:val="16"/>
                <w:szCs w:val="16"/>
                <w:color w:val="auto"/>
              </w:rPr>
              <w:t>$0.07</w:t>
            </w:r>
          </w:p>
        </w:tc>
      </w:tr>
      <w:tr>
        <w:trPr>
          <w:trHeight w:val="219"/>
        </w:trPr>
        <w:tc>
          <w:tcPr>
            <w:tcW w:w="86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Weather impact on steam revenues</w:t>
            </w:r>
          </w:p>
        </w:tc>
        <w:tc>
          <w:tcPr>
            <w:tcW w:w="13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15</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0.05</w:t>
            </w:r>
          </w:p>
        </w:tc>
      </w:tr>
      <w:tr>
        <w:trPr>
          <w:trHeight w:val="213"/>
        </w:trPr>
        <w:tc>
          <w:tcPr>
            <w:tcW w:w="8620" w:type="dxa"/>
            <w:vAlign w:val="bottom"/>
          </w:tcPr>
          <w:p>
            <w:pPr>
              <w:ind w:left="220"/>
              <w:spacing w:after="0"/>
              <w:rPr>
                <w:sz w:val="20"/>
                <w:szCs w:val="20"/>
                <w:color w:val="auto"/>
              </w:rPr>
            </w:pPr>
            <w:r>
              <w:rPr>
                <w:rFonts w:ascii="Arial" w:cs="Arial" w:eastAsia="Arial" w:hAnsi="Arial"/>
                <w:sz w:val="16"/>
                <w:szCs w:val="16"/>
                <w:color w:val="auto"/>
              </w:rPr>
              <w:t>Higher electric rate base</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4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194"/>
        </w:trPr>
        <w:tc>
          <w:tcPr>
            <w:tcW w:w="86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Deferral of increases to reserve for uncollectibles associated with the COVID-19 pandemic began in the third quarter</w:t>
            </w:r>
          </w:p>
        </w:tc>
        <w:tc>
          <w:tcPr>
            <w:tcW w:w="13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14</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0.04</w:t>
            </w:r>
          </w:p>
        </w:tc>
      </w:tr>
      <w:tr>
        <w:trPr>
          <w:trHeight w:val="214"/>
        </w:trPr>
        <w:tc>
          <w:tcPr>
            <w:tcW w:w="86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of 2020</w:t>
            </w:r>
          </w:p>
        </w:tc>
        <w:tc>
          <w:tcPr>
            <w:tcW w:w="138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r>
      <w:tr>
        <w:trPr>
          <w:trHeight w:val="213"/>
        </w:trPr>
        <w:tc>
          <w:tcPr>
            <w:tcW w:w="8620" w:type="dxa"/>
            <w:vAlign w:val="bottom"/>
          </w:tcPr>
          <w:p>
            <w:pPr>
              <w:ind w:left="220"/>
              <w:spacing w:after="0"/>
              <w:rPr>
                <w:sz w:val="20"/>
                <w:szCs w:val="20"/>
                <w:color w:val="auto"/>
              </w:rPr>
            </w:pPr>
            <w:r>
              <w:rPr>
                <w:rFonts w:ascii="Arial" w:cs="Arial" w:eastAsia="Arial" w:hAnsi="Arial"/>
                <w:sz w:val="16"/>
                <w:szCs w:val="16"/>
                <w:color w:val="auto"/>
              </w:rPr>
              <w:t>Timing of compensation cost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4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219"/>
        </w:trPr>
        <w:tc>
          <w:tcPr>
            <w:tcW w:w="86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Lower incremental costs associated with the COVID-19 pandemic</w:t>
            </w:r>
          </w:p>
        </w:tc>
        <w:tc>
          <w:tcPr>
            <w:tcW w:w="13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7</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0.02</w:t>
            </w:r>
          </w:p>
        </w:tc>
      </w:tr>
      <w:tr>
        <w:trPr>
          <w:trHeight w:val="213"/>
        </w:trPr>
        <w:tc>
          <w:tcPr>
            <w:tcW w:w="8620" w:type="dxa"/>
            <w:vAlign w:val="bottom"/>
          </w:tcPr>
          <w:p>
            <w:pPr>
              <w:ind w:left="220"/>
              <w:spacing w:after="0"/>
              <w:rPr>
                <w:sz w:val="20"/>
                <w:szCs w:val="20"/>
                <w:color w:val="auto"/>
              </w:rPr>
            </w:pPr>
            <w:r>
              <w:rPr>
                <w:rFonts w:ascii="Arial" w:cs="Arial" w:eastAsia="Arial" w:hAnsi="Arial"/>
                <w:sz w:val="16"/>
                <w:szCs w:val="16"/>
                <w:color w:val="auto"/>
              </w:rPr>
              <w:t>Higher costs related to winter storms and heat events</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40" w:type="dxa"/>
            <w:vAlign w:val="bottom"/>
          </w:tcPr>
          <w:p>
            <w:pPr>
              <w:jc w:val="right"/>
              <w:spacing w:after="0"/>
              <w:rPr>
                <w:sz w:val="20"/>
                <w:szCs w:val="20"/>
                <w:color w:val="auto"/>
              </w:rPr>
            </w:pPr>
            <w:r>
              <w:rPr>
                <w:rFonts w:ascii="Arial" w:cs="Arial" w:eastAsia="Arial" w:hAnsi="Arial"/>
                <w:sz w:val="16"/>
                <w:szCs w:val="16"/>
                <w:color w:val="auto"/>
              </w:rPr>
              <w:t>(0.08)</w:t>
            </w:r>
          </w:p>
        </w:tc>
      </w:tr>
      <w:tr>
        <w:trPr>
          <w:trHeight w:val="219"/>
        </w:trPr>
        <w:tc>
          <w:tcPr>
            <w:tcW w:w="86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Higher healthcare costs</w:t>
            </w:r>
          </w:p>
        </w:tc>
        <w:tc>
          <w:tcPr>
            <w:tcW w:w="13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(19)</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(0.06)</w:t>
            </w:r>
          </w:p>
        </w:tc>
      </w:tr>
      <w:tr>
        <w:trPr>
          <w:trHeight w:val="213"/>
        </w:trPr>
        <w:tc>
          <w:tcPr>
            <w:tcW w:w="8620" w:type="dxa"/>
            <w:vAlign w:val="bottom"/>
          </w:tcPr>
          <w:p>
            <w:pPr>
              <w:ind w:left="220"/>
              <w:spacing w:after="0"/>
              <w:rPr>
                <w:sz w:val="20"/>
                <w:szCs w:val="20"/>
                <w:color w:val="auto"/>
              </w:rPr>
            </w:pPr>
            <w:r>
              <w:rPr>
                <w:rFonts w:ascii="Arial" w:cs="Arial" w:eastAsia="Arial" w:hAnsi="Arial"/>
                <w:sz w:val="16"/>
                <w:szCs w:val="16"/>
                <w:color w:val="auto"/>
              </w:rPr>
              <w:t>Uncollected late payment charges and certain other fees associated with the COVID-19 pandemic</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4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219"/>
        </w:trPr>
        <w:tc>
          <w:tcPr>
            <w:tcW w:w="86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Dilutive effect of stock issuances</w:t>
            </w:r>
          </w:p>
        </w:tc>
        <w:tc>
          <w:tcPr>
            <w:tcW w:w="13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(0.05)</w:t>
            </w:r>
          </w:p>
        </w:tc>
      </w:tr>
      <w:tr>
        <w:trPr>
          <w:trHeight w:val="213"/>
        </w:trPr>
        <w:tc>
          <w:tcPr>
            <w:tcW w:w="86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r>
      <w:tr>
        <w:trPr>
          <w:trHeight w:val="209"/>
        </w:trPr>
        <w:tc>
          <w:tcPr>
            <w:tcW w:w="8620" w:type="dxa"/>
            <w:vAlign w:val="bottom"/>
            <w:tcBorders>
              <w:bottom w:val="single" w:sz="8" w:color="auto"/>
            </w:tcBorders>
            <w:shd w:val="clear" w:color="auto" w:fill="E5E5E5"/>
          </w:tcPr>
          <w:p>
            <w:pPr>
              <w:ind w:left="680"/>
              <w:spacing w:after="0"/>
              <w:rPr>
                <w:sz w:val="20"/>
                <w:szCs w:val="20"/>
                <w:color w:val="auto"/>
              </w:rPr>
            </w:pPr>
            <w:r>
              <w:rPr>
                <w:rFonts w:ascii="Arial" w:cs="Arial" w:eastAsia="Arial" w:hAnsi="Arial"/>
                <w:sz w:val="16"/>
                <w:szCs w:val="16"/>
                <w:color w:val="auto"/>
              </w:rPr>
              <w:t>Total CECONY</w:t>
            </w:r>
          </w:p>
        </w:tc>
        <w:tc>
          <w:tcPr>
            <w:tcW w:w="138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6"/>
                <w:szCs w:val="16"/>
                <w:color w:val="auto"/>
              </w:rPr>
              <w:t>35</w:t>
            </w: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0.05</w:t>
            </w:r>
          </w:p>
        </w:tc>
      </w:tr>
      <w:tr>
        <w:trPr>
          <w:trHeight w:val="209"/>
        </w:trPr>
        <w:tc>
          <w:tcPr>
            <w:tcW w:w="8620" w:type="dxa"/>
            <w:vAlign w:val="bottom"/>
          </w:tcPr>
          <w:p>
            <w:pPr>
              <w:ind w:left="20"/>
              <w:spacing w:after="0"/>
              <w:rPr>
                <w:sz w:val="20"/>
                <w:szCs w:val="20"/>
                <w:color w:val="auto"/>
              </w:rPr>
            </w:pPr>
            <w:r>
              <w:rPr>
                <w:rFonts w:ascii="Arial" w:cs="Arial" w:eastAsia="Arial" w:hAnsi="Arial"/>
                <w:sz w:val="16"/>
                <w:szCs w:val="16"/>
                <w:color w:val="auto"/>
              </w:rPr>
              <w:t>O&amp;R (a)</w:t>
            </w: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6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Higher storm-related costs</w:t>
            </w:r>
          </w:p>
        </w:tc>
        <w:tc>
          <w:tcPr>
            <w:tcW w:w="13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(4)</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(0.01)</w:t>
            </w:r>
          </w:p>
        </w:tc>
      </w:tr>
      <w:tr>
        <w:trPr>
          <w:trHeight w:val="213"/>
        </w:trPr>
        <w:tc>
          <w:tcPr>
            <w:tcW w:w="86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620" w:type="dxa"/>
            <w:vAlign w:val="bottom"/>
            <w:tcBorders>
              <w:bottom w:val="single" w:sz="8" w:color="auto"/>
            </w:tcBorders>
            <w:shd w:val="clear" w:color="auto" w:fill="E5E5E5"/>
          </w:tcPr>
          <w:p>
            <w:pPr>
              <w:ind w:left="680"/>
              <w:spacing w:after="0"/>
              <w:rPr>
                <w:sz w:val="20"/>
                <w:szCs w:val="20"/>
                <w:color w:val="auto"/>
              </w:rPr>
            </w:pPr>
            <w:r>
              <w:rPr>
                <w:rFonts w:ascii="Arial" w:cs="Arial" w:eastAsia="Arial" w:hAnsi="Arial"/>
                <w:sz w:val="16"/>
                <w:szCs w:val="16"/>
                <w:color w:val="auto"/>
              </w:rPr>
              <w:t>Total O&amp;R</w:t>
            </w:r>
          </w:p>
        </w:tc>
        <w:tc>
          <w:tcPr>
            <w:tcW w:w="138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6"/>
                <w:szCs w:val="16"/>
                <w:color w:val="auto"/>
              </w:rPr>
              <w:t>(2)</w:t>
            </w: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(0.01)</w:t>
            </w:r>
          </w:p>
        </w:tc>
      </w:tr>
      <w:tr>
        <w:trPr>
          <w:trHeight w:val="210"/>
        </w:trPr>
        <w:tc>
          <w:tcPr>
            <w:tcW w:w="8620" w:type="dxa"/>
            <w:vAlign w:val="bottom"/>
          </w:tcPr>
          <w:p>
            <w:pPr>
              <w:ind w:left="20"/>
              <w:spacing w:after="0"/>
              <w:rPr>
                <w:sz w:val="20"/>
                <w:szCs w:val="20"/>
                <w:color w:val="auto"/>
              </w:rPr>
            </w:pPr>
            <w:r>
              <w:rPr>
                <w:rFonts w:ascii="Arial" w:cs="Arial" w:eastAsia="Arial" w:hAnsi="Arial"/>
                <w:sz w:val="16"/>
                <w:szCs w:val="16"/>
                <w:color w:val="auto"/>
              </w:rPr>
              <w:t>Clean Energy Businesses</w:t>
            </w: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6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Higher revenues</w:t>
            </w:r>
          </w:p>
        </w:tc>
        <w:tc>
          <w:tcPr>
            <w:tcW w:w="13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125</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0.37</w:t>
            </w:r>
          </w:p>
        </w:tc>
      </w:tr>
      <w:tr>
        <w:trPr>
          <w:trHeight w:val="213"/>
        </w:trPr>
        <w:tc>
          <w:tcPr>
            <w:tcW w:w="8620" w:type="dxa"/>
            <w:vAlign w:val="bottom"/>
          </w:tcPr>
          <w:p>
            <w:pPr>
              <w:ind w:left="220"/>
              <w:spacing w:after="0"/>
              <w:rPr>
                <w:sz w:val="20"/>
                <w:szCs w:val="20"/>
                <w:color w:val="auto"/>
              </w:rPr>
            </w:pPr>
            <w:r>
              <w:rPr>
                <w:rFonts w:ascii="Arial" w:cs="Arial" w:eastAsia="Arial" w:hAnsi="Arial"/>
                <w:sz w:val="16"/>
                <w:szCs w:val="16"/>
                <w:color w:val="auto"/>
              </w:rPr>
              <w:t>Net mark-to-market effects of the Clean Energy Businesses</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240" w:type="dxa"/>
            <w:vAlign w:val="bottom"/>
          </w:tcPr>
          <w:p>
            <w:pPr>
              <w:jc w:val="right"/>
              <w:spacing w:after="0"/>
              <w:rPr>
                <w:sz w:val="20"/>
                <w:szCs w:val="20"/>
                <w:color w:val="auto"/>
              </w:rPr>
            </w:pPr>
            <w:r>
              <w:rPr>
                <w:rFonts w:ascii="Arial" w:cs="Arial" w:eastAsia="Arial" w:hAnsi="Arial"/>
                <w:sz w:val="16"/>
                <w:szCs w:val="16"/>
                <w:color w:val="auto"/>
              </w:rPr>
              <w:t>0.28</w:t>
            </w:r>
          </w:p>
        </w:tc>
      </w:tr>
      <w:tr>
        <w:trPr>
          <w:trHeight w:val="219"/>
        </w:trPr>
        <w:tc>
          <w:tcPr>
            <w:tcW w:w="86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HLBV effects</w:t>
            </w:r>
          </w:p>
        </w:tc>
        <w:tc>
          <w:tcPr>
            <w:tcW w:w="13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56</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0.17</w:t>
            </w:r>
          </w:p>
        </w:tc>
      </w:tr>
      <w:tr>
        <w:trPr>
          <w:trHeight w:val="213"/>
        </w:trPr>
        <w:tc>
          <w:tcPr>
            <w:tcW w:w="8620" w:type="dxa"/>
            <w:vAlign w:val="bottom"/>
          </w:tcPr>
          <w:p>
            <w:pPr>
              <w:ind w:left="220"/>
              <w:spacing w:after="0"/>
              <w:rPr>
                <w:sz w:val="20"/>
                <w:szCs w:val="20"/>
                <w:color w:val="auto"/>
              </w:rPr>
            </w:pPr>
            <w:r>
              <w:rPr>
                <w:rFonts w:ascii="Arial" w:cs="Arial" w:eastAsia="Arial" w:hAnsi="Arial"/>
                <w:sz w:val="16"/>
                <w:szCs w:val="16"/>
                <w:color w:val="auto"/>
              </w:rPr>
              <w:t>Gain on sale of a renewable electric project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9"/>
        </w:trPr>
        <w:tc>
          <w:tcPr>
            <w:tcW w:w="86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Higher operations and maintenance expenses</w:t>
            </w:r>
          </w:p>
        </w:tc>
        <w:tc>
          <w:tcPr>
            <w:tcW w:w="13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(96)</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(0.29)</w:t>
            </w:r>
          </w:p>
        </w:tc>
      </w:tr>
      <w:tr>
        <w:trPr>
          <w:trHeight w:val="213"/>
        </w:trPr>
        <w:tc>
          <w:tcPr>
            <w:tcW w:w="8620" w:type="dxa"/>
            <w:vAlign w:val="bottom"/>
          </w:tcPr>
          <w:p>
            <w:pPr>
              <w:ind w:left="220"/>
              <w:spacing w:after="0"/>
              <w:rPr>
                <w:sz w:val="20"/>
                <w:szCs w:val="20"/>
                <w:color w:val="auto"/>
              </w:rPr>
            </w:pPr>
            <w:r>
              <w:rPr>
                <w:rFonts w:ascii="Arial" w:cs="Arial" w:eastAsia="Arial" w:hAnsi="Arial"/>
                <w:sz w:val="16"/>
                <w:szCs w:val="16"/>
                <w:color w:val="auto"/>
              </w:rPr>
              <w:t>Higher gas purchased for resale</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4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19"/>
        </w:trPr>
        <w:tc>
          <w:tcPr>
            <w:tcW w:w="86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Loss from sale of a renewable electric production project</w:t>
            </w:r>
          </w:p>
        </w:tc>
        <w:tc>
          <w:tcPr>
            <w:tcW w:w="13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(3)</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(0.01)</w:t>
            </w:r>
          </w:p>
        </w:tc>
      </w:tr>
      <w:tr>
        <w:trPr>
          <w:trHeight w:val="213"/>
        </w:trPr>
        <w:tc>
          <w:tcPr>
            <w:tcW w:w="86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10"/>
        </w:trPr>
        <w:tc>
          <w:tcPr>
            <w:tcW w:w="8620" w:type="dxa"/>
            <w:vAlign w:val="bottom"/>
            <w:tcBorders>
              <w:bottom w:val="single" w:sz="8" w:color="auto"/>
            </w:tcBorders>
            <w:shd w:val="clear" w:color="auto" w:fill="E5E5E5"/>
          </w:tcPr>
          <w:p>
            <w:pPr>
              <w:ind w:left="680"/>
              <w:spacing w:after="0"/>
              <w:rPr>
                <w:sz w:val="20"/>
                <w:szCs w:val="20"/>
                <w:color w:val="auto"/>
              </w:rPr>
            </w:pPr>
            <w:r>
              <w:rPr>
                <w:rFonts w:ascii="Arial" w:cs="Arial" w:eastAsia="Arial" w:hAnsi="Arial"/>
                <w:sz w:val="16"/>
                <w:szCs w:val="16"/>
                <w:color w:val="auto"/>
              </w:rPr>
              <w:t>Total Clean Energy Businesses</w:t>
            </w:r>
          </w:p>
        </w:tc>
        <w:tc>
          <w:tcPr>
            <w:tcW w:w="138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6"/>
                <w:szCs w:val="16"/>
                <w:color w:val="auto"/>
              </w:rPr>
              <w:t>166</w:t>
            </w: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0.49</w:t>
            </w:r>
          </w:p>
        </w:tc>
      </w:tr>
      <w:tr>
        <w:trPr>
          <w:trHeight w:val="209"/>
        </w:trPr>
        <w:tc>
          <w:tcPr>
            <w:tcW w:w="8620" w:type="dxa"/>
            <w:vAlign w:val="bottom"/>
          </w:tcPr>
          <w:p>
            <w:pPr>
              <w:ind w:left="20"/>
              <w:spacing w:after="0"/>
              <w:rPr>
                <w:sz w:val="20"/>
                <w:szCs w:val="20"/>
                <w:color w:val="auto"/>
              </w:rPr>
            </w:pPr>
            <w:r>
              <w:rPr>
                <w:rFonts w:ascii="Arial" w:cs="Arial" w:eastAsia="Arial" w:hAnsi="Arial"/>
                <w:sz w:val="16"/>
                <w:szCs w:val="16"/>
                <w:color w:val="auto"/>
              </w:rPr>
              <w:t>Con Edison Transmission</w:t>
            </w: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6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Impairment losses on Stagecoach</w:t>
            </w:r>
          </w:p>
        </w:tc>
        <w:tc>
          <w:tcPr>
            <w:tcW w:w="13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(153)</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(0.44)</w:t>
            </w:r>
          </w:p>
        </w:tc>
      </w:tr>
      <w:tr>
        <w:trPr>
          <w:trHeight w:val="177"/>
        </w:trPr>
        <w:tc>
          <w:tcPr>
            <w:tcW w:w="8620" w:type="dxa"/>
            <w:vAlign w:val="bottom"/>
          </w:tcPr>
          <w:p>
            <w:pPr>
              <w:ind w:left="220"/>
              <w:spacing w:after="0" w:line="178" w:lineRule="exact"/>
              <w:rPr>
                <w:sz w:val="20"/>
                <w:szCs w:val="20"/>
                <w:color w:val="auto"/>
              </w:rPr>
            </w:pPr>
            <w:r>
              <w:rPr>
                <w:rFonts w:ascii="Arial" w:cs="Arial" w:eastAsia="Arial" w:hAnsi="Arial"/>
                <w:sz w:val="16"/>
                <w:szCs w:val="16"/>
                <w:color w:val="auto"/>
              </w:rPr>
              <w:t>Foregoing Allowance for Funds Used During Construction income starting in January 2021 until significant</w:t>
            </w:r>
          </w:p>
        </w:tc>
        <w:tc>
          <w:tcPr>
            <w:tcW w:w="1380" w:type="dxa"/>
            <w:vAlign w:val="bottom"/>
          </w:tcPr>
          <w:p>
            <w:pPr>
              <w:jc w:val="right"/>
              <w:ind w:right="19"/>
              <w:spacing w:after="0" w:line="178" w:lineRule="exact"/>
              <w:rPr>
                <w:sz w:val="20"/>
                <w:szCs w:val="20"/>
                <w:color w:val="auto"/>
              </w:rPr>
            </w:pPr>
            <w:r>
              <w:rPr>
                <w:rFonts w:ascii="Arial" w:cs="Arial" w:eastAsia="Arial" w:hAnsi="Arial"/>
                <w:sz w:val="16"/>
                <w:szCs w:val="16"/>
                <w:color w:val="auto"/>
              </w:rPr>
              <w:t>(21)</w:t>
            </w:r>
          </w:p>
        </w:tc>
        <w:tc>
          <w:tcPr>
            <w:tcW w:w="1240" w:type="dxa"/>
            <w:vAlign w:val="bottom"/>
          </w:tcPr>
          <w:p>
            <w:pPr>
              <w:jc w:val="right"/>
              <w:spacing w:after="0" w:line="178" w:lineRule="exact"/>
              <w:rPr>
                <w:sz w:val="20"/>
                <w:szCs w:val="20"/>
                <w:color w:val="auto"/>
              </w:rPr>
            </w:pPr>
            <w:r>
              <w:rPr>
                <w:rFonts w:ascii="Arial" w:cs="Arial" w:eastAsia="Arial" w:hAnsi="Arial"/>
                <w:sz w:val="16"/>
                <w:szCs w:val="16"/>
                <w:color w:val="auto"/>
              </w:rPr>
              <w:t>(0.06)</w:t>
            </w:r>
          </w:p>
        </w:tc>
      </w:tr>
      <w:tr>
        <w:trPr>
          <w:trHeight w:val="198"/>
        </w:trPr>
        <w:tc>
          <w:tcPr>
            <w:tcW w:w="8620" w:type="dxa"/>
            <w:vAlign w:val="bottom"/>
          </w:tcPr>
          <w:p>
            <w:pPr>
              <w:ind w:left="220"/>
              <w:spacing w:after="0"/>
              <w:rPr>
                <w:sz w:val="20"/>
                <w:szCs w:val="20"/>
                <w:color w:val="auto"/>
              </w:rPr>
            </w:pPr>
            <w:r>
              <w:rPr>
                <w:rFonts w:ascii="Arial" w:cs="Arial" w:eastAsia="Arial" w:hAnsi="Arial"/>
                <w:sz w:val="16"/>
                <w:szCs w:val="16"/>
                <w:color w:val="auto"/>
              </w:rPr>
              <w:t>construction resumes on the Mountain Valley Pipeline</w:t>
            </w: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86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6"/>
                <w:szCs w:val="16"/>
                <w:color w:val="auto"/>
              </w:rPr>
              <w:t>Other</w:t>
            </w:r>
          </w:p>
        </w:tc>
        <w:tc>
          <w:tcPr>
            <w:tcW w:w="138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6"/>
                <w:szCs w:val="16"/>
                <w:color w:val="auto"/>
              </w:rPr>
              <w:t>4</w:t>
            </w: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0.01</w:t>
            </w:r>
          </w:p>
        </w:tc>
      </w:tr>
      <w:tr>
        <w:trPr>
          <w:trHeight w:val="210"/>
        </w:trPr>
        <w:tc>
          <w:tcPr>
            <w:tcW w:w="86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Con Edison Transmission</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(0.49)</w:t>
            </w:r>
          </w:p>
        </w:tc>
      </w:tr>
      <w:tr>
        <w:trPr>
          <w:trHeight w:val="213"/>
        </w:trPr>
        <w:tc>
          <w:tcPr>
            <w:tcW w:w="8620" w:type="dxa"/>
            <w:vAlign w:val="bottom"/>
            <w:shd w:val="clear" w:color="auto" w:fill="E5E5E5"/>
          </w:tcPr>
          <w:p>
            <w:pPr>
              <w:ind w:left="20"/>
              <w:spacing w:after="0"/>
              <w:rPr>
                <w:sz w:val="20"/>
                <w:szCs w:val="20"/>
                <w:color w:val="auto"/>
              </w:rPr>
            </w:pPr>
            <w:r>
              <w:rPr>
                <w:rFonts w:ascii="Arial" w:cs="Arial" w:eastAsia="Arial" w:hAnsi="Arial"/>
                <w:sz w:val="16"/>
                <w:szCs w:val="16"/>
                <w:color w:val="auto"/>
              </w:rPr>
              <w:t>Other, including parent company expenses</w:t>
            </w:r>
          </w:p>
        </w:tc>
        <w:tc>
          <w:tcPr>
            <w:tcW w:w="138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r>
      <w:tr>
        <w:trPr>
          <w:trHeight w:val="213"/>
        </w:trPr>
        <w:tc>
          <w:tcPr>
            <w:tcW w:w="8620" w:type="dxa"/>
            <w:vAlign w:val="bottom"/>
          </w:tcPr>
          <w:p>
            <w:pPr>
              <w:ind w:left="220"/>
              <w:spacing w:after="0"/>
              <w:rPr>
                <w:sz w:val="20"/>
                <w:szCs w:val="20"/>
                <w:color w:val="auto"/>
              </w:rPr>
            </w:pPr>
            <w:r>
              <w:rPr>
                <w:rFonts w:ascii="Arial" w:cs="Arial" w:eastAsia="Arial" w:hAnsi="Arial"/>
                <w:sz w:val="16"/>
                <w:szCs w:val="16"/>
                <w:color w:val="auto"/>
              </w:rPr>
              <w:t>Impairment tax benefits on Stagecoach</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9"/>
        </w:trPr>
        <w:tc>
          <w:tcPr>
            <w:tcW w:w="86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Lower consolidated state income tax benefit</w:t>
            </w:r>
          </w:p>
        </w:tc>
        <w:tc>
          <w:tcPr>
            <w:tcW w:w="13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(12)</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(0.04)</w:t>
            </w:r>
          </w:p>
        </w:tc>
      </w:tr>
      <w:tr>
        <w:trPr>
          <w:trHeight w:val="213"/>
        </w:trPr>
        <w:tc>
          <w:tcPr>
            <w:tcW w:w="8620" w:type="dxa"/>
            <w:vAlign w:val="bottom"/>
          </w:tcPr>
          <w:p>
            <w:pPr>
              <w:ind w:left="220"/>
              <w:spacing w:after="0"/>
              <w:rPr>
                <w:sz w:val="20"/>
                <w:szCs w:val="20"/>
                <w:color w:val="auto"/>
              </w:rPr>
            </w:pPr>
            <w:r>
              <w:rPr>
                <w:rFonts w:ascii="Arial" w:cs="Arial" w:eastAsia="Arial" w:hAnsi="Arial"/>
                <w:sz w:val="16"/>
                <w:szCs w:val="16"/>
                <w:color w:val="auto"/>
              </w:rPr>
              <w:t>HLBV tax effects</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6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6"/>
                <w:szCs w:val="16"/>
                <w:color w:val="auto"/>
              </w:rPr>
              <w:t>Other</w:t>
            </w:r>
          </w:p>
        </w:tc>
        <w:tc>
          <w:tcPr>
            <w:tcW w:w="138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6"/>
                <w:szCs w:val="16"/>
                <w:color w:val="auto"/>
              </w:rPr>
              <w:t>(1)</w:t>
            </w: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6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Other, including parent company expenses</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r>
      <w:tr>
        <w:trPr>
          <w:trHeight w:val="209"/>
        </w:trPr>
        <w:tc>
          <w:tcPr>
            <w:tcW w:w="8620" w:type="dxa"/>
            <w:vAlign w:val="bottom"/>
            <w:tcBorders>
              <w:bottom w:val="single" w:sz="8" w:color="auto"/>
            </w:tcBorders>
            <w:shd w:val="clear" w:color="auto" w:fill="E5E5E5"/>
          </w:tcPr>
          <w:p>
            <w:pPr>
              <w:ind w:left="680"/>
              <w:spacing w:after="0"/>
              <w:rPr>
                <w:sz w:val="20"/>
                <w:szCs w:val="20"/>
                <w:color w:val="auto"/>
              </w:rPr>
            </w:pPr>
            <w:r>
              <w:rPr>
                <w:rFonts w:ascii="Arial" w:cs="Arial" w:eastAsia="Arial" w:hAnsi="Arial"/>
                <w:sz w:val="16"/>
                <w:szCs w:val="16"/>
                <w:color w:val="auto"/>
              </w:rPr>
              <w:t>Total Reported (GAAP basis)</w:t>
            </w:r>
          </w:p>
        </w:tc>
        <w:tc>
          <w:tcPr>
            <w:tcW w:w="138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6"/>
                <w:szCs w:val="16"/>
                <w:color w:val="auto"/>
              </w:rPr>
              <w:t>$19</w:t>
            </w: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$0.01</w:t>
            </w:r>
          </w:p>
        </w:tc>
      </w:tr>
    </w:tbl>
    <w:p>
      <w:pPr>
        <w:spacing w:after="0" w:line="59" w:lineRule="exact"/>
        <w:rPr>
          <w:sz w:val="20"/>
          <w:szCs w:val="20"/>
          <w:color w:val="auto"/>
        </w:rPr>
      </w:pPr>
    </w:p>
    <w:p>
      <w:pPr>
        <w:ind w:left="360" w:right="60" w:hanging="334"/>
        <w:spacing w:after="0" w:line="215" w:lineRule="auto"/>
        <w:tabs>
          <w:tab w:leader="none" w:pos="3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Under the revenue decoupling mechanisms in the Utilities’ New York electric and gas rate plans and the weather-normalization clause applicable to their gas businesses, revenues are generally not affected by changes in delivery volumes from levels assumed when rates were approved. In general, the Utilities recover on a current basis the fuel, gas purchased for resale and purchased power costs they incur in supplying energy to their full-service customers. Accordingly, such costs do not generally affect Con Edison’s results of operations.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Companies’ other operations and maintenance expenses for the three and six months ended June 30, 2021 and 2020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Borders>
              <w:bottom w:val="single" w:sz="8" w:color="8C8272"/>
            </w:tcBorders>
          </w:tcPr>
          <w:p>
            <w:pPr>
              <w:spacing w:after="0"/>
              <w:rPr>
                <w:sz w:val="16"/>
                <w:szCs w:val="16"/>
                <w:color w:val="auto"/>
              </w:rPr>
            </w:pPr>
          </w:p>
        </w:tc>
        <w:tc>
          <w:tcPr>
            <w:tcW w:w="3840" w:type="dxa"/>
            <w:vAlign w:val="bottom"/>
            <w:tcBorders>
              <w:bottom w:val="single" w:sz="8" w:color="8C8272"/>
            </w:tcBorders>
            <w:gridSpan w:val="2"/>
          </w:tcPr>
          <w:p>
            <w:pPr>
              <w:jc w:val="right"/>
              <w:ind w:right="28"/>
              <w:spacing w:after="0"/>
              <w:rPr>
                <w:sz w:val="20"/>
                <w:szCs w:val="20"/>
                <w:color w:val="auto"/>
              </w:rPr>
            </w:pPr>
            <w:r>
              <w:rPr>
                <w:rFonts w:ascii="Arial" w:cs="Arial" w:eastAsia="Arial" w:hAnsi="Arial"/>
                <w:sz w:val="14"/>
                <w:szCs w:val="14"/>
                <w:b w:val="1"/>
                <w:bCs w:val="1"/>
                <w:color w:val="auto"/>
              </w:rPr>
              <w:t>For the Three Months Ended June 30,</w:t>
            </w:r>
          </w:p>
        </w:tc>
        <w:tc>
          <w:tcPr>
            <w:tcW w:w="2580" w:type="dxa"/>
            <w:vAlign w:val="bottom"/>
            <w:tcBorders>
              <w:bottom w:val="single" w:sz="8" w:color="8C8272"/>
            </w:tcBorders>
            <w:gridSpan w:val="2"/>
          </w:tcPr>
          <w:p>
            <w:pPr>
              <w:jc w:val="right"/>
              <w:ind w:right="48"/>
              <w:spacing w:after="0"/>
              <w:rPr>
                <w:sz w:val="20"/>
                <w:szCs w:val="20"/>
                <w:color w:val="auto"/>
              </w:rPr>
            </w:pPr>
            <w:r>
              <w:rPr>
                <w:rFonts w:ascii="Arial" w:cs="Arial" w:eastAsia="Arial" w:hAnsi="Arial"/>
                <w:sz w:val="14"/>
                <w:szCs w:val="14"/>
                <w:b w:val="1"/>
                <w:bCs w:val="1"/>
                <w:color w:val="auto"/>
              </w:rPr>
              <w:t>For the Six Months Ended June 30,</w:t>
            </w:r>
          </w:p>
        </w:tc>
      </w:tr>
      <w:tr>
        <w:trPr>
          <w:trHeight w:val="183"/>
        </w:trPr>
        <w:tc>
          <w:tcPr>
            <w:tcW w:w="476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2940" w:type="dxa"/>
            <w:vAlign w:val="bottom"/>
            <w:tcBorders>
              <w:bottom w:val="single" w:sz="8" w:color="8C8272"/>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680" w:type="dxa"/>
            <w:vAlign w:val="bottom"/>
            <w:tcBorders>
              <w:bottom w:val="single" w:sz="8" w:color="8C8272"/>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4760" w:type="dxa"/>
            <w:vAlign w:val="bottom"/>
            <w:shd w:val="clear" w:color="auto" w:fill="E5E5E5"/>
          </w:tcPr>
          <w:p>
            <w:pPr>
              <w:ind w:left="20"/>
              <w:spacing w:after="0"/>
              <w:rPr>
                <w:sz w:val="20"/>
                <w:szCs w:val="20"/>
                <w:color w:val="auto"/>
              </w:rPr>
            </w:pPr>
            <w:r>
              <w:rPr>
                <w:rFonts w:ascii="Arial" w:cs="Arial" w:eastAsia="Arial" w:hAnsi="Arial"/>
                <w:sz w:val="14"/>
                <w:szCs w:val="14"/>
                <w:color w:val="auto"/>
              </w:rPr>
              <w:t>CECONY</w:t>
            </w:r>
          </w:p>
        </w:tc>
        <w:tc>
          <w:tcPr>
            <w:tcW w:w="294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168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r>
      <w:tr>
        <w:trPr>
          <w:trHeight w:val="189"/>
        </w:trPr>
        <w:tc>
          <w:tcPr>
            <w:tcW w:w="4760" w:type="dxa"/>
            <w:vAlign w:val="bottom"/>
          </w:tcPr>
          <w:p>
            <w:pPr>
              <w:ind w:left="140"/>
              <w:spacing w:after="0"/>
              <w:rPr>
                <w:sz w:val="20"/>
                <w:szCs w:val="20"/>
                <w:color w:val="auto"/>
              </w:rPr>
            </w:pPr>
            <w:r>
              <w:rPr>
                <w:rFonts w:ascii="Arial" w:cs="Arial" w:eastAsia="Arial" w:hAnsi="Arial"/>
                <w:sz w:val="14"/>
                <w:szCs w:val="14"/>
                <w:color w:val="auto"/>
              </w:rPr>
              <w:t>Operations</w:t>
            </w:r>
          </w:p>
        </w:tc>
        <w:tc>
          <w:tcPr>
            <w:tcW w:w="2940" w:type="dxa"/>
            <w:vAlign w:val="bottom"/>
          </w:tcPr>
          <w:p>
            <w:pPr>
              <w:jc w:val="right"/>
              <w:ind w:right="428"/>
              <w:spacing w:after="0"/>
              <w:rPr>
                <w:sz w:val="20"/>
                <w:szCs w:val="20"/>
                <w:color w:val="auto"/>
              </w:rPr>
            </w:pPr>
            <w:r>
              <w:rPr>
                <w:rFonts w:ascii="Arial" w:cs="Arial" w:eastAsia="Arial" w:hAnsi="Arial"/>
                <w:sz w:val="14"/>
                <w:szCs w:val="14"/>
                <w:color w:val="auto"/>
              </w:rPr>
              <w:t>$410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$383</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$838</w:t>
            </w:r>
          </w:p>
        </w:tc>
        <w:tc>
          <w:tcPr>
            <w:tcW w:w="900" w:type="dxa"/>
            <w:vAlign w:val="bottom"/>
          </w:tcPr>
          <w:p>
            <w:pPr>
              <w:jc w:val="right"/>
              <w:spacing w:after="0"/>
              <w:rPr>
                <w:sz w:val="20"/>
                <w:szCs w:val="20"/>
                <w:color w:val="auto"/>
              </w:rPr>
            </w:pPr>
            <w:r>
              <w:rPr>
                <w:rFonts w:ascii="Arial" w:cs="Arial" w:eastAsia="Arial" w:hAnsi="Arial"/>
                <w:sz w:val="14"/>
                <w:szCs w:val="14"/>
                <w:color w:val="auto"/>
              </w:rPr>
              <w:t>$787</w:t>
            </w:r>
          </w:p>
        </w:tc>
      </w:tr>
      <w:tr>
        <w:trPr>
          <w:trHeight w:val="189"/>
        </w:trPr>
        <w:tc>
          <w:tcPr>
            <w:tcW w:w="47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Pensions and other postretirement benefits</w:t>
            </w:r>
          </w:p>
        </w:tc>
        <w:tc>
          <w:tcPr>
            <w:tcW w:w="2940" w:type="dxa"/>
            <w:vAlign w:val="bottom"/>
            <w:shd w:val="clear" w:color="auto" w:fill="E5E5E5"/>
          </w:tcPr>
          <w:p>
            <w:pPr>
              <w:jc w:val="right"/>
              <w:ind w:right="428"/>
              <w:spacing w:after="0"/>
              <w:rPr>
                <w:sz w:val="20"/>
                <w:szCs w:val="20"/>
                <w:color w:val="auto"/>
              </w:rPr>
            </w:pPr>
            <w:r>
              <w:rPr>
                <w:rFonts w:ascii="Arial" w:cs="Arial" w:eastAsia="Arial" w:hAnsi="Arial"/>
                <w:sz w:val="14"/>
                <w:szCs w:val="14"/>
                <w:color w:val="auto"/>
              </w:rPr>
              <w:t>(8)</w:t>
            </w: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(43)</w:t>
            </w:r>
          </w:p>
        </w:tc>
        <w:tc>
          <w:tcPr>
            <w:tcW w:w="168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(17)</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(63)</w:t>
            </w:r>
          </w:p>
        </w:tc>
      </w:tr>
      <w:tr>
        <w:trPr>
          <w:trHeight w:val="189"/>
        </w:trPr>
        <w:tc>
          <w:tcPr>
            <w:tcW w:w="4760" w:type="dxa"/>
            <w:vAlign w:val="bottom"/>
          </w:tcPr>
          <w:p>
            <w:pPr>
              <w:ind w:left="140"/>
              <w:spacing w:after="0"/>
              <w:rPr>
                <w:sz w:val="20"/>
                <w:szCs w:val="20"/>
                <w:color w:val="auto"/>
              </w:rPr>
            </w:pPr>
            <w:r>
              <w:rPr>
                <w:rFonts w:ascii="Arial" w:cs="Arial" w:eastAsia="Arial" w:hAnsi="Arial"/>
                <w:sz w:val="14"/>
                <w:szCs w:val="14"/>
                <w:color w:val="auto"/>
              </w:rPr>
              <w:t>Health care and other benefits</w:t>
            </w:r>
          </w:p>
        </w:tc>
        <w:tc>
          <w:tcPr>
            <w:tcW w:w="2940" w:type="dxa"/>
            <w:vAlign w:val="bottom"/>
          </w:tcPr>
          <w:p>
            <w:pPr>
              <w:jc w:val="right"/>
              <w:ind w:right="428"/>
              <w:spacing w:after="0"/>
              <w:rPr>
                <w:sz w:val="20"/>
                <w:szCs w:val="20"/>
                <w:color w:val="auto"/>
              </w:rPr>
            </w:pPr>
            <w:r>
              <w:rPr>
                <w:rFonts w:ascii="Arial" w:cs="Arial" w:eastAsia="Arial" w:hAnsi="Arial"/>
                <w:sz w:val="14"/>
                <w:szCs w:val="14"/>
                <w:color w:val="auto"/>
              </w:rPr>
              <w:t>55</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92</w:t>
            </w:r>
          </w:p>
        </w:tc>
        <w:tc>
          <w:tcPr>
            <w:tcW w:w="90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89"/>
        </w:trPr>
        <w:tc>
          <w:tcPr>
            <w:tcW w:w="476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Regulatory fees and assessments (a)</w:t>
            </w:r>
          </w:p>
        </w:tc>
        <w:tc>
          <w:tcPr>
            <w:tcW w:w="2940" w:type="dxa"/>
            <w:vAlign w:val="bottom"/>
            <w:shd w:val="clear" w:color="auto" w:fill="E5E5E5"/>
          </w:tcPr>
          <w:p>
            <w:pPr>
              <w:jc w:val="right"/>
              <w:ind w:right="428"/>
              <w:spacing w:after="0"/>
              <w:rPr>
                <w:sz w:val="20"/>
                <w:szCs w:val="20"/>
                <w:color w:val="auto"/>
              </w:rPr>
            </w:pPr>
            <w:r>
              <w:rPr>
                <w:rFonts w:ascii="Arial" w:cs="Arial" w:eastAsia="Arial" w:hAnsi="Arial"/>
                <w:sz w:val="14"/>
                <w:szCs w:val="14"/>
                <w:color w:val="auto"/>
              </w:rPr>
              <w:t>75</w:t>
            </w: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75</w:t>
            </w:r>
          </w:p>
        </w:tc>
        <w:tc>
          <w:tcPr>
            <w:tcW w:w="168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153</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160</w:t>
            </w:r>
          </w:p>
        </w:tc>
      </w:tr>
      <w:tr>
        <w:trPr>
          <w:trHeight w:val="189"/>
        </w:trPr>
        <w:tc>
          <w:tcPr>
            <w:tcW w:w="4760" w:type="dxa"/>
            <w:vAlign w:val="bottom"/>
            <w:tcBorders>
              <w:bottom w:val="single" w:sz="8" w:color="8C8272"/>
            </w:tcBorders>
          </w:tcPr>
          <w:p>
            <w:pPr>
              <w:ind w:left="140"/>
              <w:spacing w:after="0"/>
              <w:rPr>
                <w:sz w:val="20"/>
                <w:szCs w:val="20"/>
                <w:color w:val="auto"/>
              </w:rPr>
            </w:pPr>
            <w:r>
              <w:rPr>
                <w:rFonts w:ascii="Arial" w:cs="Arial" w:eastAsia="Arial" w:hAnsi="Arial"/>
                <w:sz w:val="14"/>
                <w:szCs w:val="14"/>
                <w:color w:val="auto"/>
              </w:rPr>
              <w:t>Other</w:t>
            </w:r>
          </w:p>
        </w:tc>
        <w:tc>
          <w:tcPr>
            <w:tcW w:w="2940" w:type="dxa"/>
            <w:vAlign w:val="bottom"/>
            <w:tcBorders>
              <w:bottom w:val="single" w:sz="8" w:color="8C8272"/>
            </w:tcBorders>
          </w:tcPr>
          <w:p>
            <w:pPr>
              <w:jc w:val="right"/>
              <w:ind w:right="428"/>
              <w:spacing w:after="0"/>
              <w:rPr>
                <w:sz w:val="20"/>
                <w:szCs w:val="20"/>
                <w:color w:val="auto"/>
              </w:rPr>
            </w:pPr>
            <w:r>
              <w:rPr>
                <w:rFonts w:ascii="Arial" w:cs="Arial" w:eastAsia="Arial" w:hAnsi="Arial"/>
                <w:sz w:val="14"/>
                <w:szCs w:val="14"/>
                <w:color w:val="auto"/>
              </w:rPr>
              <w:t>58</w:t>
            </w:r>
          </w:p>
        </w:tc>
        <w:tc>
          <w:tcPr>
            <w:tcW w:w="90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color w:val="auto"/>
              </w:rPr>
              <w:t>105</w:t>
            </w:r>
          </w:p>
        </w:tc>
        <w:tc>
          <w:tcPr>
            <w:tcW w:w="1680" w:type="dxa"/>
            <w:vAlign w:val="bottom"/>
            <w:tcBorders>
              <w:bottom w:val="single" w:sz="8" w:color="8C8272"/>
            </w:tcBorders>
          </w:tcPr>
          <w:p>
            <w:pPr>
              <w:jc w:val="right"/>
              <w:ind w:right="368"/>
              <w:spacing w:after="0"/>
              <w:rPr>
                <w:sz w:val="20"/>
                <w:szCs w:val="20"/>
                <w:color w:val="auto"/>
              </w:rPr>
            </w:pPr>
            <w:r>
              <w:rPr>
                <w:rFonts w:ascii="Arial" w:cs="Arial" w:eastAsia="Arial" w:hAnsi="Arial"/>
                <w:sz w:val="14"/>
                <w:szCs w:val="14"/>
                <w:color w:val="auto"/>
              </w:rPr>
              <w:t>132</w:t>
            </w:r>
          </w:p>
        </w:tc>
        <w:tc>
          <w:tcPr>
            <w:tcW w:w="9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167</w:t>
            </w:r>
          </w:p>
        </w:tc>
      </w:tr>
      <w:tr>
        <w:trPr>
          <w:trHeight w:val="183"/>
        </w:trPr>
        <w:tc>
          <w:tcPr>
            <w:tcW w:w="4760" w:type="dxa"/>
            <w:vAlign w:val="bottom"/>
            <w:tcBorders>
              <w:bottom w:val="single" w:sz="8" w:color="8C8272"/>
            </w:tcBorders>
            <w:shd w:val="clear" w:color="auto" w:fill="E5E5E5"/>
          </w:tcPr>
          <w:p>
            <w:pPr>
              <w:ind w:left="360"/>
              <w:spacing w:after="0"/>
              <w:rPr>
                <w:sz w:val="20"/>
                <w:szCs w:val="20"/>
                <w:color w:val="auto"/>
              </w:rPr>
            </w:pPr>
            <w:r>
              <w:rPr>
                <w:rFonts w:ascii="Arial" w:cs="Arial" w:eastAsia="Arial" w:hAnsi="Arial"/>
                <w:sz w:val="14"/>
                <w:szCs w:val="14"/>
                <w:color w:val="auto"/>
              </w:rPr>
              <w:t>Total CECONY</w:t>
            </w:r>
          </w:p>
        </w:tc>
        <w:tc>
          <w:tcPr>
            <w:tcW w:w="2940" w:type="dxa"/>
            <w:vAlign w:val="bottom"/>
            <w:tcBorders>
              <w:bottom w:val="single" w:sz="8" w:color="8C8272"/>
            </w:tcBorders>
            <w:shd w:val="clear" w:color="auto" w:fill="E5E5E5"/>
          </w:tcPr>
          <w:p>
            <w:pPr>
              <w:jc w:val="right"/>
              <w:ind w:right="428"/>
              <w:spacing w:after="0"/>
              <w:rPr>
                <w:sz w:val="20"/>
                <w:szCs w:val="20"/>
                <w:color w:val="auto"/>
              </w:rPr>
            </w:pPr>
            <w:r>
              <w:rPr>
                <w:rFonts w:ascii="Arial" w:cs="Arial" w:eastAsia="Arial" w:hAnsi="Arial"/>
                <w:sz w:val="14"/>
                <w:szCs w:val="14"/>
                <w:color w:val="auto"/>
              </w:rPr>
              <w:t>590</w:t>
            </w:r>
          </w:p>
        </w:tc>
        <w:tc>
          <w:tcPr>
            <w:tcW w:w="90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549</w:t>
            </w:r>
          </w:p>
        </w:tc>
        <w:tc>
          <w:tcPr>
            <w:tcW w:w="1680" w:type="dxa"/>
            <w:vAlign w:val="bottom"/>
            <w:tcBorders>
              <w:bottom w:val="single" w:sz="8" w:color="8C8272"/>
            </w:tcBorders>
            <w:shd w:val="clear" w:color="auto" w:fill="E5E5E5"/>
          </w:tcPr>
          <w:p>
            <w:pPr>
              <w:jc w:val="right"/>
              <w:ind w:right="368"/>
              <w:spacing w:after="0"/>
              <w:rPr>
                <w:sz w:val="20"/>
                <w:szCs w:val="20"/>
                <w:color w:val="auto"/>
              </w:rPr>
            </w:pPr>
            <w:r>
              <w:rPr>
                <w:rFonts w:ascii="Arial" w:cs="Arial" w:eastAsia="Arial" w:hAnsi="Arial"/>
                <w:sz w:val="14"/>
                <w:szCs w:val="14"/>
                <w:color w:val="auto"/>
              </w:rPr>
              <w:t>1,198</w:t>
            </w:r>
          </w:p>
        </w:tc>
        <w:tc>
          <w:tcPr>
            <w:tcW w:w="9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1,117</w:t>
            </w:r>
          </w:p>
        </w:tc>
      </w:tr>
      <w:tr>
        <w:trPr>
          <w:trHeight w:val="183"/>
        </w:trPr>
        <w:tc>
          <w:tcPr>
            <w:tcW w:w="4760" w:type="dxa"/>
            <w:vAlign w:val="bottom"/>
          </w:tcPr>
          <w:p>
            <w:pPr>
              <w:ind w:left="20"/>
              <w:spacing w:after="0"/>
              <w:rPr>
                <w:sz w:val="20"/>
                <w:szCs w:val="20"/>
                <w:color w:val="auto"/>
              </w:rPr>
            </w:pPr>
            <w:r>
              <w:rPr>
                <w:rFonts w:ascii="Arial" w:cs="Arial" w:eastAsia="Arial" w:hAnsi="Arial"/>
                <w:sz w:val="14"/>
                <w:szCs w:val="14"/>
                <w:color w:val="auto"/>
              </w:rPr>
              <w:t>O&amp;R</w:t>
            </w:r>
          </w:p>
        </w:tc>
        <w:tc>
          <w:tcPr>
            <w:tcW w:w="2940" w:type="dxa"/>
            <w:vAlign w:val="bottom"/>
          </w:tcPr>
          <w:p>
            <w:pPr>
              <w:jc w:val="right"/>
              <w:ind w:right="428"/>
              <w:spacing w:after="0"/>
              <w:rPr>
                <w:sz w:val="20"/>
                <w:szCs w:val="20"/>
                <w:color w:val="auto"/>
              </w:rPr>
            </w:pPr>
            <w:r>
              <w:rPr>
                <w:rFonts w:ascii="Arial" w:cs="Arial" w:eastAsia="Arial" w:hAnsi="Arial"/>
                <w:sz w:val="14"/>
                <w:szCs w:val="14"/>
                <w:color w:val="auto"/>
              </w:rPr>
              <w:t>77</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77</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157</w:t>
            </w:r>
          </w:p>
        </w:tc>
        <w:tc>
          <w:tcPr>
            <w:tcW w:w="90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189"/>
        </w:trPr>
        <w:tc>
          <w:tcPr>
            <w:tcW w:w="4760" w:type="dxa"/>
            <w:vAlign w:val="bottom"/>
            <w:shd w:val="clear" w:color="auto" w:fill="E5E5E5"/>
          </w:tcPr>
          <w:p>
            <w:pPr>
              <w:ind w:left="20"/>
              <w:spacing w:after="0"/>
              <w:rPr>
                <w:sz w:val="20"/>
                <w:szCs w:val="20"/>
                <w:color w:val="auto"/>
              </w:rPr>
            </w:pPr>
            <w:r>
              <w:rPr>
                <w:rFonts w:ascii="Arial" w:cs="Arial" w:eastAsia="Arial" w:hAnsi="Arial"/>
                <w:sz w:val="14"/>
                <w:szCs w:val="14"/>
                <w:color w:val="auto"/>
              </w:rPr>
              <w:t>Clean Energy Businesses</w:t>
            </w:r>
          </w:p>
        </w:tc>
        <w:tc>
          <w:tcPr>
            <w:tcW w:w="2940" w:type="dxa"/>
            <w:vAlign w:val="bottom"/>
            <w:shd w:val="clear" w:color="auto" w:fill="E5E5E5"/>
          </w:tcPr>
          <w:p>
            <w:pPr>
              <w:jc w:val="right"/>
              <w:ind w:right="428"/>
              <w:spacing w:after="0"/>
              <w:rPr>
                <w:sz w:val="20"/>
                <w:szCs w:val="20"/>
                <w:color w:val="auto"/>
              </w:rPr>
            </w:pPr>
            <w:r>
              <w:rPr>
                <w:rFonts w:ascii="Arial" w:cs="Arial" w:eastAsia="Arial" w:hAnsi="Arial"/>
                <w:sz w:val="14"/>
                <w:szCs w:val="14"/>
                <w:color w:val="auto"/>
              </w:rPr>
              <w:t>136</w:t>
            </w: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53</w:t>
            </w:r>
          </w:p>
        </w:tc>
        <w:tc>
          <w:tcPr>
            <w:tcW w:w="168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235</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107</w:t>
            </w:r>
          </w:p>
        </w:tc>
      </w:tr>
      <w:tr>
        <w:trPr>
          <w:trHeight w:val="189"/>
        </w:trPr>
        <w:tc>
          <w:tcPr>
            <w:tcW w:w="4760" w:type="dxa"/>
            <w:vAlign w:val="bottom"/>
          </w:tcPr>
          <w:p>
            <w:pPr>
              <w:ind w:left="20"/>
              <w:spacing w:after="0"/>
              <w:rPr>
                <w:sz w:val="20"/>
                <w:szCs w:val="20"/>
                <w:color w:val="auto"/>
              </w:rPr>
            </w:pPr>
            <w:r>
              <w:rPr>
                <w:rFonts w:ascii="Arial" w:cs="Arial" w:eastAsia="Arial" w:hAnsi="Arial"/>
                <w:sz w:val="14"/>
                <w:szCs w:val="14"/>
                <w:color w:val="auto"/>
              </w:rPr>
              <w:t>Con Edison Transmission</w:t>
            </w:r>
          </w:p>
        </w:tc>
        <w:tc>
          <w:tcPr>
            <w:tcW w:w="2940" w:type="dxa"/>
            <w:vAlign w:val="bottom"/>
          </w:tcPr>
          <w:p>
            <w:pPr>
              <w:jc w:val="right"/>
              <w:ind w:right="428"/>
              <w:spacing w:after="0"/>
              <w:rPr>
                <w:sz w:val="20"/>
                <w:szCs w:val="20"/>
                <w:color w:val="auto"/>
              </w:rPr>
            </w:pPr>
            <w:r>
              <w:rPr>
                <w:rFonts w:ascii="Arial" w:cs="Arial" w:eastAsia="Arial" w:hAnsi="Arial"/>
                <w:sz w:val="14"/>
                <w:szCs w:val="14"/>
                <w:color w:val="auto"/>
              </w:rPr>
              <w:t>2</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5</w:t>
            </w: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9"/>
        </w:trPr>
        <w:tc>
          <w:tcPr>
            <w:tcW w:w="476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Other (b)</w:t>
            </w:r>
          </w:p>
        </w:tc>
        <w:tc>
          <w:tcPr>
            <w:tcW w:w="2940" w:type="dxa"/>
            <w:vAlign w:val="bottom"/>
            <w:tcBorders>
              <w:bottom w:val="single" w:sz="8" w:color="8C8272"/>
            </w:tcBorders>
            <w:shd w:val="clear" w:color="auto" w:fill="E5E5E5"/>
          </w:tcPr>
          <w:p>
            <w:pPr>
              <w:jc w:val="right"/>
              <w:ind w:right="428"/>
              <w:spacing w:after="0"/>
              <w:rPr>
                <w:sz w:val="20"/>
                <w:szCs w:val="20"/>
                <w:color w:val="auto"/>
              </w:rPr>
            </w:pPr>
            <w:r>
              <w:rPr>
                <w:rFonts w:ascii="Arial" w:cs="Arial" w:eastAsia="Arial" w:hAnsi="Arial"/>
                <w:sz w:val="14"/>
                <w:szCs w:val="14"/>
                <w:color w:val="auto"/>
              </w:rPr>
              <w:t>(1)</w:t>
            </w:r>
          </w:p>
        </w:tc>
        <w:tc>
          <w:tcPr>
            <w:tcW w:w="90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(1)</w:t>
            </w:r>
          </w:p>
        </w:tc>
        <w:tc>
          <w:tcPr>
            <w:tcW w:w="1680" w:type="dxa"/>
            <w:vAlign w:val="bottom"/>
            <w:tcBorders>
              <w:bottom w:val="single" w:sz="8" w:color="8C8272"/>
            </w:tcBorders>
            <w:shd w:val="clear" w:color="auto" w:fill="E5E5E5"/>
          </w:tcPr>
          <w:p>
            <w:pPr>
              <w:jc w:val="right"/>
              <w:ind w:right="368"/>
              <w:spacing w:after="0"/>
              <w:rPr>
                <w:sz w:val="20"/>
                <w:szCs w:val="20"/>
                <w:color w:val="auto"/>
              </w:rPr>
            </w:pPr>
            <w:r>
              <w:rPr>
                <w:rFonts w:ascii="Arial" w:cs="Arial" w:eastAsia="Arial" w:hAnsi="Arial"/>
                <w:sz w:val="14"/>
                <w:szCs w:val="14"/>
                <w:color w:val="auto"/>
              </w:rPr>
              <w:t>(2)</w:t>
            </w:r>
          </w:p>
        </w:tc>
        <w:tc>
          <w:tcPr>
            <w:tcW w:w="9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4760" w:type="dxa"/>
            <w:vAlign w:val="bottom"/>
            <w:tcBorders>
              <w:bottom w:val="single" w:sz="8" w:color="8C8272"/>
            </w:tcBorders>
          </w:tcPr>
          <w:p>
            <w:pPr>
              <w:ind w:left="140"/>
              <w:spacing w:after="0"/>
              <w:rPr>
                <w:sz w:val="20"/>
                <w:szCs w:val="20"/>
                <w:color w:val="auto"/>
              </w:rPr>
            </w:pPr>
            <w:r>
              <w:rPr>
                <w:rFonts w:ascii="Arial" w:cs="Arial" w:eastAsia="Arial" w:hAnsi="Arial"/>
                <w:sz w:val="14"/>
                <w:szCs w:val="14"/>
                <w:b w:val="1"/>
                <w:bCs w:val="1"/>
                <w:color w:val="auto"/>
              </w:rPr>
              <w:t>Total other operations and maintenance expenses</w:t>
            </w:r>
          </w:p>
        </w:tc>
        <w:tc>
          <w:tcPr>
            <w:tcW w:w="2940" w:type="dxa"/>
            <w:vAlign w:val="bottom"/>
            <w:tcBorders>
              <w:bottom w:val="single" w:sz="8" w:color="8C8272"/>
            </w:tcBorders>
          </w:tcPr>
          <w:p>
            <w:pPr>
              <w:jc w:val="right"/>
              <w:ind w:right="428"/>
              <w:spacing w:after="0"/>
              <w:rPr>
                <w:sz w:val="20"/>
                <w:szCs w:val="20"/>
                <w:color w:val="auto"/>
              </w:rPr>
            </w:pPr>
            <w:r>
              <w:rPr>
                <w:rFonts w:ascii="Arial" w:cs="Arial" w:eastAsia="Arial" w:hAnsi="Arial"/>
                <w:sz w:val="14"/>
                <w:szCs w:val="14"/>
                <w:b w:val="1"/>
                <w:bCs w:val="1"/>
                <w:color w:val="auto"/>
              </w:rPr>
              <w:t>$804</w:t>
            </w:r>
          </w:p>
        </w:tc>
        <w:tc>
          <w:tcPr>
            <w:tcW w:w="90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b w:val="1"/>
                <w:bCs w:val="1"/>
                <w:color w:val="auto"/>
              </w:rPr>
              <w:t>$680</w:t>
            </w:r>
          </w:p>
        </w:tc>
        <w:tc>
          <w:tcPr>
            <w:tcW w:w="1680" w:type="dxa"/>
            <w:vAlign w:val="bottom"/>
            <w:tcBorders>
              <w:bottom w:val="single" w:sz="8" w:color="8C8272"/>
            </w:tcBorders>
          </w:tcPr>
          <w:p>
            <w:pPr>
              <w:jc w:val="right"/>
              <w:ind w:right="368"/>
              <w:spacing w:after="0"/>
              <w:rPr>
                <w:sz w:val="20"/>
                <w:szCs w:val="20"/>
                <w:color w:val="auto"/>
              </w:rPr>
            </w:pPr>
            <w:r>
              <w:rPr>
                <w:rFonts w:ascii="Arial" w:cs="Arial" w:eastAsia="Arial" w:hAnsi="Arial"/>
                <w:sz w:val="14"/>
                <w:szCs w:val="14"/>
                <w:b w:val="1"/>
                <w:bCs w:val="1"/>
                <w:color w:val="auto"/>
              </w:rPr>
              <w:t>$1,593</w:t>
            </w:r>
          </w:p>
        </w:tc>
        <w:tc>
          <w:tcPr>
            <w:tcW w:w="9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$1,380</w:t>
            </w:r>
          </w:p>
        </w:tc>
      </w:tr>
    </w:tbl>
    <w:p>
      <w:pPr>
        <w:spacing w:after="0" w:line="99"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Demand Side Management, System Benefit Charges and Public Service Law 18A assessments which are collected in revenues.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parent company and consolidation adjustments.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the results of operations by principal business segment for the three and six months ended June 30, 2021 and 2020 follows.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business segment financial information, see Note M to the Second Quarter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The Companies’ results of operations for the three months ended June 30, 2021 and 2020 were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46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CECONY</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O&amp;R</w:t>
            </w:r>
          </w:p>
        </w:tc>
        <w:tc>
          <w:tcPr>
            <w:tcW w:w="540" w:type="dxa"/>
            <w:vAlign w:val="bottom"/>
          </w:tcPr>
          <w:p>
            <w:pPr>
              <w:spacing w:after="0"/>
              <w:rPr>
                <w:sz w:val="14"/>
                <w:szCs w:val="14"/>
                <w:color w:val="auto"/>
              </w:rPr>
            </w:pPr>
          </w:p>
        </w:tc>
        <w:tc>
          <w:tcPr>
            <w:tcW w:w="14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Clean Energy</w:t>
            </w:r>
          </w:p>
        </w:tc>
        <w:tc>
          <w:tcPr>
            <w:tcW w:w="146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Con Edison</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 (a)</w:t>
            </w:r>
          </w:p>
        </w:tc>
        <w:tc>
          <w:tcPr>
            <w:tcW w:w="440" w:type="dxa"/>
            <w:vAlign w:val="bottom"/>
          </w:tcPr>
          <w:p>
            <w:pPr>
              <w:spacing w:after="0"/>
              <w:rPr>
                <w:sz w:val="14"/>
                <w:szCs w:val="14"/>
                <w:color w:val="auto"/>
              </w:rPr>
            </w:pPr>
          </w:p>
        </w:tc>
        <w:tc>
          <w:tcPr>
            <w:tcW w:w="132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Con Edison (b)</w:t>
            </w:r>
          </w:p>
        </w:tc>
        <w:tc>
          <w:tcPr>
            <w:tcW w:w="0" w:type="dxa"/>
            <w:vAlign w:val="bottom"/>
          </w:tcPr>
          <w:p>
            <w:pPr>
              <w:spacing w:after="0"/>
              <w:rPr>
                <w:sz w:val="1"/>
                <w:szCs w:val="1"/>
                <w:color w:val="auto"/>
              </w:rPr>
            </w:pPr>
          </w:p>
        </w:tc>
      </w:tr>
      <w:tr>
        <w:trPr>
          <w:trHeight w:val="176"/>
        </w:trPr>
        <w:tc>
          <w:tcPr>
            <w:tcW w:w="2920" w:type="dxa"/>
            <w:vAlign w:val="bottom"/>
            <w:tcBorders>
              <w:bottom w:val="single" w:sz="8" w:color="8C8272"/>
            </w:tcBorders>
          </w:tcPr>
          <w:p>
            <w:pPr>
              <w:spacing w:after="0"/>
              <w:rPr>
                <w:sz w:val="15"/>
                <w:szCs w:val="15"/>
                <w:color w:val="auto"/>
              </w:rPr>
            </w:pPr>
          </w:p>
        </w:tc>
        <w:tc>
          <w:tcPr>
            <w:tcW w:w="1460" w:type="dxa"/>
            <w:vAlign w:val="bottom"/>
            <w:tcBorders>
              <w:bottom w:val="single" w:sz="8" w:color="8C8272"/>
            </w:tcBorders>
            <w:gridSpan w:val="2"/>
            <w:vMerge w:val="continue"/>
          </w:tcPr>
          <w:p>
            <w:pPr>
              <w:spacing w:after="0"/>
              <w:rPr>
                <w:sz w:val="15"/>
                <w:szCs w:val="15"/>
                <w:color w:val="auto"/>
              </w:rPr>
            </w:pPr>
          </w:p>
        </w:tc>
        <w:tc>
          <w:tcPr>
            <w:tcW w:w="800" w:type="dxa"/>
            <w:vAlign w:val="bottom"/>
            <w:tcBorders>
              <w:bottom w:val="single" w:sz="8" w:color="8C8272"/>
            </w:tcBorders>
            <w:vMerge w:val="continue"/>
          </w:tcPr>
          <w:p>
            <w:pPr>
              <w:spacing w:after="0"/>
              <w:rPr>
                <w:sz w:val="15"/>
                <w:szCs w:val="15"/>
                <w:color w:val="auto"/>
              </w:rPr>
            </w:pPr>
          </w:p>
        </w:tc>
        <w:tc>
          <w:tcPr>
            <w:tcW w:w="540" w:type="dxa"/>
            <w:vAlign w:val="bottom"/>
            <w:tcBorders>
              <w:bottom w:val="single" w:sz="8" w:color="8C8272"/>
            </w:tcBorders>
          </w:tcPr>
          <w:p>
            <w:pPr>
              <w:spacing w:after="0"/>
              <w:rPr>
                <w:sz w:val="15"/>
                <w:szCs w:val="15"/>
                <w:color w:val="auto"/>
              </w:rPr>
            </w:pPr>
          </w:p>
        </w:tc>
        <w:tc>
          <w:tcPr>
            <w:tcW w:w="1400" w:type="dxa"/>
            <w:vAlign w:val="bottom"/>
            <w:tcBorders>
              <w:bottom w:val="single" w:sz="8" w:color="8C8272"/>
            </w:tcBorders>
            <w:gridSpan w:val="2"/>
          </w:tcPr>
          <w:p>
            <w:pPr>
              <w:jc w:val="right"/>
              <w:ind w:right="328"/>
              <w:spacing w:after="0"/>
              <w:rPr>
                <w:sz w:val="20"/>
                <w:szCs w:val="20"/>
                <w:color w:val="auto"/>
              </w:rPr>
            </w:pPr>
            <w:r>
              <w:rPr>
                <w:rFonts w:ascii="Arial" w:cs="Arial" w:eastAsia="Arial" w:hAnsi="Arial"/>
                <w:sz w:val="14"/>
                <w:szCs w:val="14"/>
                <w:b w:val="1"/>
                <w:bCs w:val="1"/>
                <w:color w:val="auto"/>
              </w:rPr>
              <w:t>Businesses</w:t>
            </w:r>
          </w:p>
        </w:tc>
        <w:tc>
          <w:tcPr>
            <w:tcW w:w="1460" w:type="dxa"/>
            <w:vAlign w:val="bottom"/>
            <w:tcBorders>
              <w:bottom w:val="single" w:sz="8" w:color="8C8272"/>
            </w:tcBorders>
            <w:gridSpan w:val="2"/>
          </w:tcPr>
          <w:p>
            <w:pPr>
              <w:jc w:val="right"/>
              <w:ind w:right="328"/>
              <w:spacing w:after="0"/>
              <w:rPr>
                <w:sz w:val="20"/>
                <w:szCs w:val="20"/>
                <w:color w:val="auto"/>
              </w:rPr>
            </w:pPr>
            <w:r>
              <w:rPr>
                <w:rFonts w:ascii="Arial" w:cs="Arial" w:eastAsia="Arial" w:hAnsi="Arial"/>
                <w:sz w:val="14"/>
                <w:szCs w:val="14"/>
                <w:b w:val="1"/>
                <w:bCs w:val="1"/>
                <w:color w:val="auto"/>
              </w:rPr>
              <w:t>Transmission</w:t>
            </w:r>
          </w:p>
        </w:tc>
        <w:tc>
          <w:tcPr>
            <w:tcW w:w="880" w:type="dxa"/>
            <w:vAlign w:val="bottom"/>
            <w:tcBorders>
              <w:bottom w:val="single" w:sz="8" w:color="8C8272"/>
            </w:tcBorders>
            <w:vMerge w:val="continue"/>
          </w:tcPr>
          <w:p>
            <w:pPr>
              <w:spacing w:after="0"/>
              <w:rPr>
                <w:sz w:val="15"/>
                <w:szCs w:val="15"/>
                <w:color w:val="auto"/>
              </w:rPr>
            </w:pPr>
          </w:p>
        </w:tc>
        <w:tc>
          <w:tcPr>
            <w:tcW w:w="440" w:type="dxa"/>
            <w:vAlign w:val="bottom"/>
            <w:tcBorders>
              <w:bottom w:val="single" w:sz="8" w:color="8C8272"/>
            </w:tcBorders>
          </w:tcPr>
          <w:p>
            <w:pPr>
              <w:spacing w:after="0"/>
              <w:rPr>
                <w:sz w:val="15"/>
                <w:szCs w:val="15"/>
                <w:color w:val="auto"/>
              </w:rPr>
            </w:pPr>
          </w:p>
        </w:tc>
        <w:tc>
          <w:tcPr>
            <w:tcW w:w="1320" w:type="dxa"/>
            <w:vAlign w:val="bottom"/>
            <w:tcBorders>
              <w:bottom w:val="single" w:sz="8" w:color="8C8272"/>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70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8C8272"/>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8C8272"/>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8C8272"/>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292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revenues</w:t>
            </w:r>
          </w:p>
        </w:tc>
        <w:tc>
          <w:tcPr>
            <w:tcW w:w="7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$2,486</w:t>
            </w:r>
          </w:p>
        </w:tc>
        <w:tc>
          <w:tcPr>
            <w:tcW w:w="76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$2,345</w:t>
            </w:r>
          </w:p>
        </w:tc>
        <w:tc>
          <w:tcPr>
            <w:tcW w:w="80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$194</w:t>
            </w:r>
          </w:p>
        </w:tc>
        <w:tc>
          <w:tcPr>
            <w:tcW w:w="5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$175</w:t>
            </w:r>
          </w:p>
        </w:tc>
        <w:tc>
          <w:tcPr>
            <w:tcW w:w="7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$291</w:t>
            </w:r>
          </w:p>
        </w:tc>
        <w:tc>
          <w:tcPr>
            <w:tcW w:w="6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$198</w:t>
            </w:r>
          </w:p>
        </w:tc>
        <w:tc>
          <w:tcPr>
            <w:tcW w:w="7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w:t>
            </w:r>
          </w:p>
        </w:tc>
        <w:tc>
          <w:tcPr>
            <w:tcW w:w="7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w:t>
            </w:r>
          </w:p>
        </w:tc>
        <w:tc>
          <w:tcPr>
            <w:tcW w:w="88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$(1)</w:t>
            </w: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$2,971</w:t>
            </w:r>
          </w:p>
        </w:tc>
        <w:tc>
          <w:tcPr>
            <w:tcW w:w="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$2,719</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Purchased power</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417</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345</w:t>
            </w:r>
          </w:p>
        </w:tc>
        <w:tc>
          <w:tcPr>
            <w:tcW w:w="800" w:type="dxa"/>
            <w:vAlign w:val="bottom"/>
          </w:tcPr>
          <w:p>
            <w:pPr>
              <w:jc w:val="right"/>
              <w:ind w:right="208"/>
              <w:spacing w:after="0"/>
              <w:rPr>
                <w:sz w:val="20"/>
                <w:szCs w:val="20"/>
                <w:color w:val="auto"/>
              </w:rPr>
            </w:pPr>
            <w:r>
              <w:rPr>
                <w:rFonts w:ascii="Arial" w:cs="Arial" w:eastAsia="Arial" w:hAnsi="Arial"/>
                <w:sz w:val="14"/>
                <w:szCs w:val="14"/>
                <w:color w:val="auto"/>
              </w:rPr>
              <w:t>47</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8"/>
              <w:spacing w:after="0"/>
              <w:rPr>
                <w:sz w:val="20"/>
                <w:szCs w:val="20"/>
                <w:color w:val="auto"/>
              </w:rPr>
            </w:pPr>
            <w:r>
              <w:rPr>
                <w:rFonts w:ascii="Arial" w:cs="Arial" w:eastAsia="Arial" w:hAnsi="Arial"/>
                <w:sz w:val="14"/>
                <w:szCs w:val="14"/>
                <w:color w:val="auto"/>
              </w:rPr>
              <w:t>(1)</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463</w:t>
            </w:r>
          </w:p>
        </w:tc>
        <w:tc>
          <w:tcPr>
            <w:tcW w:w="580" w:type="dxa"/>
            <w:vAlign w:val="bottom"/>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89"/>
        </w:trPr>
        <w:tc>
          <w:tcPr>
            <w:tcW w:w="2920" w:type="dxa"/>
            <w:vAlign w:val="bottom"/>
            <w:shd w:val="clear" w:color="auto" w:fill="E5E5E5"/>
          </w:tcPr>
          <w:p>
            <w:pPr>
              <w:ind w:left="20"/>
              <w:spacing w:after="0"/>
              <w:rPr>
                <w:sz w:val="20"/>
                <w:szCs w:val="20"/>
                <w:color w:val="auto"/>
              </w:rPr>
            </w:pPr>
            <w:r>
              <w:rPr>
                <w:rFonts w:ascii="Arial" w:cs="Arial" w:eastAsia="Arial" w:hAnsi="Arial"/>
                <w:sz w:val="14"/>
                <w:szCs w:val="14"/>
                <w:color w:val="auto"/>
              </w:rPr>
              <w:t>Fuel</w:t>
            </w:r>
          </w:p>
        </w:tc>
        <w:tc>
          <w:tcPr>
            <w:tcW w:w="7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29</w:t>
            </w:r>
          </w:p>
        </w:tc>
        <w:tc>
          <w:tcPr>
            <w:tcW w:w="76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23</w:t>
            </w:r>
          </w:p>
        </w:tc>
        <w:tc>
          <w:tcPr>
            <w:tcW w:w="80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29</w:t>
            </w:r>
          </w:p>
        </w:tc>
        <w:tc>
          <w:tcPr>
            <w:tcW w:w="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Gas purchased for resale</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63</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64</w:t>
            </w:r>
          </w:p>
        </w:tc>
        <w:tc>
          <w:tcPr>
            <w:tcW w:w="800" w:type="dxa"/>
            <w:vAlign w:val="bottom"/>
          </w:tcPr>
          <w:p>
            <w:pPr>
              <w:jc w:val="right"/>
              <w:ind w:right="208"/>
              <w:spacing w:after="0"/>
              <w:rPr>
                <w:sz w:val="20"/>
                <w:szCs w:val="20"/>
                <w:color w:val="auto"/>
              </w:rPr>
            </w:pPr>
            <w:r>
              <w:rPr>
                <w:rFonts w:ascii="Arial" w:cs="Arial" w:eastAsia="Arial" w:hAnsi="Arial"/>
                <w:sz w:val="14"/>
                <w:szCs w:val="14"/>
                <w:color w:val="auto"/>
              </w:rPr>
              <w:t>13</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83</w:t>
            </w:r>
          </w:p>
        </w:tc>
        <w:tc>
          <w:tcPr>
            <w:tcW w:w="58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9"/>
        </w:trPr>
        <w:tc>
          <w:tcPr>
            <w:tcW w:w="292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 operations and maintenance</w:t>
            </w:r>
          </w:p>
        </w:tc>
        <w:tc>
          <w:tcPr>
            <w:tcW w:w="7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590</w:t>
            </w:r>
          </w:p>
        </w:tc>
        <w:tc>
          <w:tcPr>
            <w:tcW w:w="76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549</w:t>
            </w:r>
          </w:p>
        </w:tc>
        <w:tc>
          <w:tcPr>
            <w:tcW w:w="80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77</w:t>
            </w:r>
          </w:p>
        </w:tc>
        <w:tc>
          <w:tcPr>
            <w:tcW w:w="5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77</w:t>
            </w:r>
          </w:p>
        </w:tc>
        <w:tc>
          <w:tcPr>
            <w:tcW w:w="7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136</w:t>
            </w:r>
          </w:p>
        </w:tc>
        <w:tc>
          <w:tcPr>
            <w:tcW w:w="6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53</w:t>
            </w:r>
          </w:p>
        </w:tc>
        <w:tc>
          <w:tcPr>
            <w:tcW w:w="7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w:t>
            </w:r>
          </w:p>
        </w:tc>
        <w:tc>
          <w:tcPr>
            <w:tcW w:w="7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w:t>
            </w:r>
          </w:p>
        </w:tc>
        <w:tc>
          <w:tcPr>
            <w:tcW w:w="88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(1)</w:t>
            </w: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w:t>
            </w:r>
          </w:p>
        </w:tc>
        <w:tc>
          <w:tcPr>
            <w:tcW w:w="7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804</w:t>
            </w:r>
          </w:p>
        </w:tc>
        <w:tc>
          <w:tcPr>
            <w:tcW w:w="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423</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396</w:t>
            </w:r>
          </w:p>
        </w:tc>
        <w:tc>
          <w:tcPr>
            <w:tcW w:w="800" w:type="dxa"/>
            <w:vAlign w:val="bottom"/>
          </w:tcPr>
          <w:p>
            <w:pPr>
              <w:jc w:val="right"/>
              <w:ind w:right="208"/>
              <w:spacing w:after="0"/>
              <w:rPr>
                <w:sz w:val="20"/>
                <w:szCs w:val="20"/>
                <w:color w:val="auto"/>
              </w:rPr>
            </w:pPr>
            <w:r>
              <w:rPr>
                <w:rFonts w:ascii="Arial" w:cs="Arial" w:eastAsia="Arial" w:hAnsi="Arial"/>
                <w:sz w:val="14"/>
                <w:szCs w:val="14"/>
                <w:color w:val="auto"/>
              </w:rPr>
              <w:t>24</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55</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502</w:t>
            </w:r>
          </w:p>
        </w:tc>
        <w:tc>
          <w:tcPr>
            <w:tcW w:w="580" w:type="dxa"/>
            <w:vAlign w:val="bottom"/>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89"/>
        </w:trPr>
        <w:tc>
          <w:tcPr>
            <w:tcW w:w="2920" w:type="dxa"/>
            <w:vAlign w:val="bottom"/>
            <w:tcBorders>
              <w:bottom w:val="single" w:sz="8" w:color="6D6D6D"/>
            </w:tcBorders>
            <w:shd w:val="clear" w:color="auto" w:fill="E5E5E5"/>
          </w:tcPr>
          <w:p>
            <w:pPr>
              <w:ind w:left="20"/>
              <w:spacing w:after="0"/>
              <w:rPr>
                <w:sz w:val="20"/>
                <w:szCs w:val="20"/>
                <w:color w:val="auto"/>
              </w:rPr>
            </w:pPr>
            <w:r>
              <w:rPr>
                <w:rFonts w:ascii="Arial" w:cs="Arial" w:eastAsia="Arial" w:hAnsi="Arial"/>
                <w:sz w:val="14"/>
                <w:szCs w:val="14"/>
                <w:color w:val="auto"/>
              </w:rPr>
              <w:t>Taxes, other than income taxes</w:t>
            </w:r>
          </w:p>
        </w:tc>
        <w:tc>
          <w:tcPr>
            <w:tcW w:w="700" w:type="dxa"/>
            <w:vAlign w:val="bottom"/>
            <w:tcBorders>
              <w:bottom w:val="single" w:sz="8" w:color="6D6D6D"/>
            </w:tcBorders>
            <w:shd w:val="clear" w:color="auto" w:fill="E5E5E5"/>
          </w:tcPr>
          <w:p>
            <w:pPr>
              <w:jc w:val="right"/>
              <w:ind w:right="68"/>
              <w:spacing w:after="0"/>
              <w:rPr>
                <w:sz w:val="20"/>
                <w:szCs w:val="20"/>
                <w:color w:val="auto"/>
              </w:rPr>
            </w:pPr>
            <w:r>
              <w:rPr>
                <w:rFonts w:ascii="Arial" w:cs="Arial" w:eastAsia="Arial" w:hAnsi="Arial"/>
                <w:sz w:val="14"/>
                <w:szCs w:val="14"/>
                <w:color w:val="auto"/>
              </w:rPr>
              <w:t>643</w:t>
            </w:r>
          </w:p>
        </w:tc>
        <w:tc>
          <w:tcPr>
            <w:tcW w:w="760" w:type="dxa"/>
            <w:vAlign w:val="bottom"/>
            <w:tcBorders>
              <w:bottom w:val="single" w:sz="8" w:color="6D6D6D"/>
            </w:tcBorders>
            <w:shd w:val="clear" w:color="auto" w:fill="E5E5E5"/>
          </w:tcPr>
          <w:p>
            <w:pPr>
              <w:jc w:val="right"/>
              <w:ind w:right="128"/>
              <w:spacing w:after="0"/>
              <w:rPr>
                <w:sz w:val="20"/>
                <w:szCs w:val="20"/>
                <w:color w:val="auto"/>
              </w:rPr>
            </w:pPr>
            <w:r>
              <w:rPr>
                <w:rFonts w:ascii="Arial" w:cs="Arial" w:eastAsia="Arial" w:hAnsi="Arial"/>
                <w:sz w:val="14"/>
                <w:szCs w:val="14"/>
                <w:color w:val="auto"/>
              </w:rPr>
              <w:t>579</w:t>
            </w:r>
          </w:p>
        </w:tc>
        <w:tc>
          <w:tcPr>
            <w:tcW w:w="800" w:type="dxa"/>
            <w:vAlign w:val="bottom"/>
            <w:tcBorders>
              <w:bottom w:val="single" w:sz="8" w:color="6D6D6D"/>
            </w:tcBorders>
            <w:shd w:val="clear" w:color="auto" w:fill="E5E5E5"/>
          </w:tcPr>
          <w:p>
            <w:pPr>
              <w:jc w:val="right"/>
              <w:ind w:right="208"/>
              <w:spacing w:after="0"/>
              <w:rPr>
                <w:sz w:val="20"/>
                <w:szCs w:val="20"/>
                <w:color w:val="auto"/>
              </w:rPr>
            </w:pPr>
            <w:r>
              <w:rPr>
                <w:rFonts w:ascii="Arial" w:cs="Arial" w:eastAsia="Arial" w:hAnsi="Arial"/>
                <w:sz w:val="14"/>
                <w:szCs w:val="14"/>
                <w:color w:val="auto"/>
              </w:rPr>
              <w:t>22</w:t>
            </w:r>
          </w:p>
        </w:tc>
        <w:tc>
          <w:tcPr>
            <w:tcW w:w="540" w:type="dxa"/>
            <w:vAlign w:val="bottom"/>
            <w:tcBorders>
              <w:bottom w:val="single" w:sz="8" w:color="6D6D6D"/>
            </w:tcBorders>
            <w:shd w:val="clear" w:color="auto" w:fill="E5E5E5"/>
          </w:tcPr>
          <w:p>
            <w:pPr>
              <w:jc w:val="right"/>
              <w:ind w:right="48"/>
              <w:spacing w:after="0"/>
              <w:rPr>
                <w:sz w:val="20"/>
                <w:szCs w:val="20"/>
                <w:color w:val="auto"/>
              </w:rPr>
            </w:pPr>
            <w:r>
              <w:rPr>
                <w:rFonts w:ascii="Arial" w:cs="Arial" w:eastAsia="Arial" w:hAnsi="Arial"/>
                <w:sz w:val="14"/>
                <w:szCs w:val="14"/>
                <w:color w:val="auto"/>
              </w:rPr>
              <w:t>20</w:t>
            </w:r>
          </w:p>
        </w:tc>
        <w:tc>
          <w:tcPr>
            <w:tcW w:w="760" w:type="dxa"/>
            <w:vAlign w:val="bottom"/>
            <w:tcBorders>
              <w:bottom w:val="single" w:sz="8" w:color="6D6D6D"/>
            </w:tcBorders>
            <w:shd w:val="clear" w:color="auto" w:fill="E5E5E5"/>
          </w:tcPr>
          <w:p>
            <w:pPr>
              <w:jc w:val="right"/>
              <w:ind w:right="108"/>
              <w:spacing w:after="0"/>
              <w:rPr>
                <w:sz w:val="20"/>
                <w:szCs w:val="20"/>
                <w:color w:val="auto"/>
              </w:rPr>
            </w:pPr>
            <w:r>
              <w:rPr>
                <w:rFonts w:ascii="Arial" w:cs="Arial" w:eastAsia="Arial" w:hAnsi="Arial"/>
                <w:sz w:val="14"/>
                <w:szCs w:val="14"/>
                <w:color w:val="auto"/>
              </w:rPr>
              <w:t>4</w:t>
            </w:r>
          </w:p>
        </w:tc>
        <w:tc>
          <w:tcPr>
            <w:tcW w:w="640" w:type="dxa"/>
            <w:vAlign w:val="bottom"/>
            <w:tcBorders>
              <w:bottom w:val="single" w:sz="8" w:color="6D6D6D"/>
            </w:tcBorders>
            <w:shd w:val="clear" w:color="auto" w:fill="E5E5E5"/>
          </w:tcPr>
          <w:p>
            <w:pPr>
              <w:jc w:val="right"/>
              <w:ind w:right="48"/>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6D6D6D"/>
            </w:tcBorders>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D6D6D"/>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6D6D6D"/>
            </w:tcBorders>
            <w:shd w:val="clear" w:color="auto" w:fill="E5E5E5"/>
          </w:tcPr>
          <w:p>
            <w:pPr>
              <w:jc w:val="right"/>
              <w:ind w:right="288"/>
              <w:spacing w:after="0"/>
              <w:rPr>
                <w:sz w:val="20"/>
                <w:szCs w:val="20"/>
                <w:color w:val="auto"/>
              </w:rPr>
            </w:pPr>
            <w:r>
              <w:rPr>
                <w:rFonts w:ascii="Arial" w:cs="Arial" w:eastAsia="Arial" w:hAnsi="Arial"/>
                <w:sz w:val="14"/>
                <w:szCs w:val="14"/>
                <w:color w:val="auto"/>
              </w:rPr>
              <w:t>3</w:t>
            </w:r>
          </w:p>
        </w:tc>
        <w:tc>
          <w:tcPr>
            <w:tcW w:w="440" w:type="dxa"/>
            <w:vAlign w:val="bottom"/>
            <w:tcBorders>
              <w:bottom w:val="single" w:sz="8" w:color="6D6D6D"/>
            </w:tcBorders>
            <w:shd w:val="clear" w:color="auto" w:fill="E5E5E5"/>
          </w:tcPr>
          <w:p>
            <w:pPr>
              <w:jc w:val="right"/>
              <w:ind w:right="28"/>
              <w:spacing w:after="0"/>
              <w:rPr>
                <w:sz w:val="20"/>
                <w:szCs w:val="20"/>
                <w:color w:val="auto"/>
              </w:rPr>
            </w:pPr>
            <w:r>
              <w:rPr>
                <w:rFonts w:ascii="Arial" w:cs="Arial" w:eastAsia="Arial" w:hAnsi="Arial"/>
                <w:sz w:val="14"/>
                <w:szCs w:val="14"/>
                <w:color w:val="auto"/>
              </w:rPr>
              <w:t>2</w:t>
            </w:r>
          </w:p>
        </w:tc>
        <w:tc>
          <w:tcPr>
            <w:tcW w:w="740" w:type="dxa"/>
            <w:vAlign w:val="bottom"/>
            <w:tcBorders>
              <w:bottom w:val="single" w:sz="8" w:color="6D6D6D"/>
            </w:tcBorders>
            <w:shd w:val="clear" w:color="auto" w:fill="E5E5E5"/>
          </w:tcPr>
          <w:p>
            <w:pPr>
              <w:jc w:val="right"/>
              <w:ind w:right="68"/>
              <w:spacing w:after="0"/>
              <w:rPr>
                <w:sz w:val="20"/>
                <w:szCs w:val="20"/>
                <w:color w:val="auto"/>
              </w:rPr>
            </w:pPr>
            <w:r>
              <w:rPr>
                <w:rFonts w:ascii="Arial" w:cs="Arial" w:eastAsia="Arial" w:hAnsi="Arial"/>
                <w:sz w:val="14"/>
                <w:szCs w:val="14"/>
                <w:color w:val="auto"/>
              </w:rPr>
              <w:t>672</w:t>
            </w:r>
          </w:p>
        </w:tc>
        <w:tc>
          <w:tcPr>
            <w:tcW w:w="58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83"/>
        </w:trPr>
        <w:tc>
          <w:tcPr>
            <w:tcW w:w="292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321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389</w:t>
            </w:r>
          </w:p>
        </w:tc>
        <w:tc>
          <w:tcPr>
            <w:tcW w:w="800" w:type="dxa"/>
            <w:vAlign w:val="bottom"/>
          </w:tcPr>
          <w:p>
            <w:pPr>
              <w:jc w:val="right"/>
              <w:ind w:right="208"/>
              <w:spacing w:after="0"/>
              <w:rPr>
                <w:sz w:val="20"/>
                <w:szCs w:val="20"/>
                <w:color w:val="auto"/>
              </w:rPr>
            </w:pPr>
            <w:r>
              <w:rPr>
                <w:rFonts w:ascii="Arial" w:cs="Arial" w:eastAsia="Arial" w:hAnsi="Arial"/>
                <w:sz w:val="14"/>
                <w:szCs w:val="14"/>
                <w:color w:val="auto"/>
              </w:rPr>
              <w:t>11</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89</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82</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880" w:type="dxa"/>
            <w:vAlign w:val="bottom"/>
          </w:tcPr>
          <w:p>
            <w:pPr>
              <w:jc w:val="right"/>
              <w:ind w:right="288"/>
              <w:spacing w:after="0"/>
              <w:rPr>
                <w:sz w:val="20"/>
                <w:szCs w:val="20"/>
                <w:color w:val="auto"/>
              </w:rPr>
            </w:pPr>
            <w:r>
              <w:rPr>
                <w:rFonts w:ascii="Arial" w:cs="Arial" w:eastAsia="Arial" w:hAnsi="Arial"/>
                <w:sz w:val="14"/>
                <w:szCs w:val="14"/>
                <w:color w:val="auto"/>
              </w:rPr>
              <w:t>(2)</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418</w:t>
            </w:r>
          </w:p>
        </w:tc>
        <w:tc>
          <w:tcPr>
            <w:tcW w:w="580" w:type="dxa"/>
            <w:vAlign w:val="bottom"/>
          </w:tcPr>
          <w:p>
            <w:pPr>
              <w:jc w:val="right"/>
              <w:spacing w:after="0"/>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189"/>
        </w:trPr>
        <w:tc>
          <w:tcPr>
            <w:tcW w:w="292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 income less deductions (c)</w:t>
            </w:r>
          </w:p>
        </w:tc>
        <w:tc>
          <w:tcPr>
            <w:tcW w:w="7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(23)</w:t>
            </w:r>
          </w:p>
        </w:tc>
        <w:tc>
          <w:tcPr>
            <w:tcW w:w="76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(40)</w:t>
            </w:r>
          </w:p>
        </w:tc>
        <w:tc>
          <w:tcPr>
            <w:tcW w:w="80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(3)</w:t>
            </w:r>
          </w:p>
        </w:tc>
        <w:tc>
          <w:tcPr>
            <w:tcW w:w="5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w:t>
            </w:r>
          </w:p>
        </w:tc>
        <w:tc>
          <w:tcPr>
            <w:tcW w:w="7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w:t>
            </w:r>
          </w:p>
        </w:tc>
        <w:tc>
          <w:tcPr>
            <w:tcW w:w="6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w:t>
            </w:r>
          </w:p>
        </w:tc>
        <w:tc>
          <w:tcPr>
            <w:tcW w:w="7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(23)</w:t>
            </w:r>
          </w:p>
        </w:tc>
        <w:tc>
          <w:tcPr>
            <w:tcW w:w="7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25</w:t>
            </w:r>
          </w:p>
        </w:tc>
        <w:tc>
          <w:tcPr>
            <w:tcW w:w="88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(2)</w:t>
            </w: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w:t>
            </w:r>
          </w:p>
        </w:tc>
        <w:tc>
          <w:tcPr>
            <w:tcW w:w="7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(50)</w:t>
            </w:r>
          </w:p>
        </w:tc>
        <w:tc>
          <w:tcPr>
            <w:tcW w:w="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29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Net interest expense</w:t>
            </w:r>
          </w:p>
        </w:tc>
        <w:tc>
          <w:tcPr>
            <w:tcW w:w="70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186</w:t>
            </w:r>
          </w:p>
        </w:tc>
        <w:tc>
          <w:tcPr>
            <w:tcW w:w="76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color w:val="auto"/>
              </w:rPr>
              <w:t>190</w:t>
            </w:r>
          </w:p>
        </w:tc>
        <w:tc>
          <w:tcPr>
            <w:tcW w:w="800" w:type="dxa"/>
            <w:vAlign w:val="bottom"/>
            <w:tcBorders>
              <w:bottom w:val="single" w:sz="8" w:color="8C8272"/>
            </w:tcBorders>
          </w:tcPr>
          <w:p>
            <w:pPr>
              <w:jc w:val="right"/>
              <w:ind w:right="208"/>
              <w:spacing w:after="0"/>
              <w:rPr>
                <w:sz w:val="20"/>
                <w:szCs w:val="20"/>
                <w:color w:val="auto"/>
              </w:rPr>
            </w:pPr>
            <w:r>
              <w:rPr>
                <w:rFonts w:ascii="Arial" w:cs="Arial" w:eastAsia="Arial" w:hAnsi="Arial"/>
                <w:sz w:val="14"/>
                <w:szCs w:val="14"/>
                <w:color w:val="auto"/>
              </w:rPr>
              <w:t>10</w:t>
            </w:r>
          </w:p>
        </w:tc>
        <w:tc>
          <w:tcPr>
            <w:tcW w:w="54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11</w:t>
            </w:r>
          </w:p>
        </w:tc>
        <w:tc>
          <w:tcPr>
            <w:tcW w:w="76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color w:val="auto"/>
              </w:rPr>
              <w:t>56</w:t>
            </w:r>
          </w:p>
        </w:tc>
        <w:tc>
          <w:tcPr>
            <w:tcW w:w="64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37</w:t>
            </w:r>
          </w:p>
        </w:tc>
        <w:tc>
          <w:tcPr>
            <w:tcW w:w="76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color w:val="auto"/>
              </w:rPr>
              <w:t>4</w:t>
            </w:r>
          </w:p>
        </w:tc>
        <w:tc>
          <w:tcPr>
            <w:tcW w:w="70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color w:val="auto"/>
              </w:rPr>
              <w:t>4</w:t>
            </w:r>
          </w:p>
        </w:tc>
        <w:tc>
          <w:tcPr>
            <w:tcW w:w="880" w:type="dxa"/>
            <w:vAlign w:val="bottom"/>
            <w:tcBorders>
              <w:bottom w:val="single" w:sz="8" w:color="8C8272"/>
            </w:tcBorders>
          </w:tcPr>
          <w:p>
            <w:pPr>
              <w:jc w:val="right"/>
              <w:ind w:right="288"/>
              <w:spacing w:after="0"/>
              <w:rPr>
                <w:sz w:val="20"/>
                <w:szCs w:val="20"/>
                <w:color w:val="auto"/>
              </w:rPr>
            </w:pPr>
            <w:r>
              <w:rPr>
                <w:rFonts w:ascii="Arial" w:cs="Arial" w:eastAsia="Arial" w:hAnsi="Arial"/>
                <w:sz w:val="14"/>
                <w:szCs w:val="14"/>
                <w:color w:val="auto"/>
              </w:rPr>
              <w:t>5</w:t>
            </w:r>
          </w:p>
        </w:tc>
        <w:tc>
          <w:tcPr>
            <w:tcW w:w="440" w:type="dxa"/>
            <w:vAlign w:val="bottom"/>
            <w:tcBorders>
              <w:bottom w:val="single" w:sz="8" w:color="8C8272"/>
            </w:tcBorders>
          </w:tcPr>
          <w:p>
            <w:pPr>
              <w:jc w:val="right"/>
              <w:ind w:right="28"/>
              <w:spacing w:after="0"/>
              <w:rPr>
                <w:sz w:val="20"/>
                <w:szCs w:val="20"/>
                <w:color w:val="auto"/>
              </w:rPr>
            </w:pPr>
            <w:r>
              <w:rPr>
                <w:rFonts w:ascii="Arial" w:cs="Arial" w:eastAsia="Arial" w:hAnsi="Arial"/>
                <w:sz w:val="14"/>
                <w:szCs w:val="14"/>
                <w:color w:val="auto"/>
              </w:rPr>
              <w:t>5</w:t>
            </w:r>
          </w:p>
        </w:tc>
        <w:tc>
          <w:tcPr>
            <w:tcW w:w="74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261</w:t>
            </w:r>
          </w:p>
        </w:tc>
        <w:tc>
          <w:tcPr>
            <w:tcW w:w="5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3"/>
        </w:trPr>
        <w:tc>
          <w:tcPr>
            <w:tcW w:w="2920" w:type="dxa"/>
            <w:vAlign w:val="bottom"/>
            <w:shd w:val="clear" w:color="auto" w:fill="E5E5E5"/>
          </w:tcPr>
          <w:p>
            <w:pPr>
              <w:ind w:left="20"/>
              <w:spacing w:after="0"/>
              <w:rPr>
                <w:sz w:val="20"/>
                <w:szCs w:val="20"/>
                <w:color w:val="auto"/>
              </w:rPr>
            </w:pPr>
            <w:r>
              <w:rPr>
                <w:rFonts w:ascii="Arial" w:cs="Arial" w:eastAsia="Arial" w:hAnsi="Arial"/>
                <w:sz w:val="14"/>
                <w:szCs w:val="14"/>
                <w:color w:val="auto"/>
              </w:rPr>
              <w:t>Income before income tax expense</w:t>
            </w:r>
          </w:p>
        </w:tc>
        <w:tc>
          <w:tcPr>
            <w:tcW w:w="7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112</w:t>
            </w:r>
          </w:p>
        </w:tc>
        <w:tc>
          <w:tcPr>
            <w:tcW w:w="76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159</w:t>
            </w:r>
          </w:p>
        </w:tc>
        <w:tc>
          <w:tcPr>
            <w:tcW w:w="80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(2)</w:t>
            </w:r>
          </w:p>
        </w:tc>
        <w:tc>
          <w:tcPr>
            <w:tcW w:w="5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w:t>
            </w:r>
          </w:p>
        </w:tc>
        <w:tc>
          <w:tcPr>
            <w:tcW w:w="7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34</w:t>
            </w:r>
          </w:p>
        </w:tc>
        <w:tc>
          <w:tcPr>
            <w:tcW w:w="6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46</w:t>
            </w:r>
          </w:p>
        </w:tc>
        <w:tc>
          <w:tcPr>
            <w:tcW w:w="7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(28)</w:t>
            </w:r>
          </w:p>
        </w:tc>
        <w:tc>
          <w:tcPr>
            <w:tcW w:w="7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20</w:t>
            </w:r>
          </w:p>
        </w:tc>
        <w:tc>
          <w:tcPr>
            <w:tcW w:w="88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(9)</w:t>
            </w:r>
          </w:p>
        </w:tc>
        <w:tc>
          <w:tcPr>
            <w:tcW w:w="4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(10)</w:t>
            </w:r>
          </w:p>
        </w:tc>
        <w:tc>
          <w:tcPr>
            <w:tcW w:w="7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107</w:t>
            </w:r>
          </w:p>
        </w:tc>
        <w:tc>
          <w:tcPr>
            <w:tcW w:w="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89"/>
        </w:trPr>
        <w:tc>
          <w:tcPr>
            <w:tcW w:w="29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Income tax expense</w:t>
            </w:r>
          </w:p>
        </w:tc>
        <w:tc>
          <w:tcPr>
            <w:tcW w:w="70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(16)</w:t>
            </w:r>
          </w:p>
        </w:tc>
        <w:tc>
          <w:tcPr>
            <w:tcW w:w="76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color w:val="auto"/>
              </w:rPr>
              <w:t>7</w:t>
            </w:r>
          </w:p>
        </w:tc>
        <w:tc>
          <w:tcPr>
            <w:tcW w:w="800" w:type="dxa"/>
            <w:vAlign w:val="bottom"/>
            <w:tcBorders>
              <w:bottom w:val="single" w:sz="8" w:color="8C8272"/>
            </w:tcBorders>
          </w:tcPr>
          <w:p>
            <w:pPr>
              <w:jc w:val="right"/>
              <w:ind w:right="208"/>
              <w:spacing w:after="0"/>
              <w:rPr>
                <w:sz w:val="20"/>
                <w:szCs w:val="20"/>
                <w:color w:val="auto"/>
              </w:rPr>
            </w:pPr>
            <w:r>
              <w:rPr>
                <w:rFonts w:ascii="Arial" w:cs="Arial" w:eastAsia="Arial" w:hAnsi="Arial"/>
                <w:sz w:val="14"/>
                <w:szCs w:val="14"/>
                <w:color w:val="auto"/>
              </w:rPr>
              <w:t>(2)</w:t>
            </w:r>
          </w:p>
        </w:tc>
        <w:tc>
          <w:tcPr>
            <w:tcW w:w="54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(2)</w:t>
            </w:r>
          </w:p>
        </w:tc>
        <w:tc>
          <w:tcPr>
            <w:tcW w:w="76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color w:val="auto"/>
              </w:rPr>
              <w:t>13</w:t>
            </w:r>
          </w:p>
        </w:tc>
        <w:tc>
          <w:tcPr>
            <w:tcW w:w="64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color w:val="auto"/>
              </w:rPr>
              <w:t>(7)</w:t>
            </w:r>
          </w:p>
        </w:tc>
        <w:tc>
          <w:tcPr>
            <w:tcW w:w="70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color w:val="auto"/>
              </w:rPr>
              <w:t>6</w:t>
            </w:r>
          </w:p>
        </w:tc>
        <w:tc>
          <w:tcPr>
            <w:tcW w:w="88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color w:val="auto"/>
              </w:rPr>
              <w:t>1</w:t>
            </w:r>
          </w:p>
        </w:tc>
        <w:tc>
          <w:tcPr>
            <w:tcW w:w="440" w:type="dxa"/>
            <w:vAlign w:val="bottom"/>
            <w:tcBorders>
              <w:bottom w:val="single" w:sz="8" w:color="8C8272"/>
            </w:tcBorders>
          </w:tcPr>
          <w:p>
            <w:pPr>
              <w:jc w:val="right"/>
              <w:ind w:right="28"/>
              <w:spacing w:after="0"/>
              <w:rPr>
                <w:sz w:val="20"/>
                <w:szCs w:val="20"/>
                <w:color w:val="auto"/>
              </w:rPr>
            </w:pPr>
            <w:r>
              <w:rPr>
                <w:rFonts w:ascii="Arial" w:cs="Arial" w:eastAsia="Arial" w:hAnsi="Arial"/>
                <w:sz w:val="14"/>
                <w:szCs w:val="14"/>
                <w:color w:val="auto"/>
              </w:rPr>
              <w:t>(2)</w:t>
            </w:r>
          </w:p>
        </w:tc>
        <w:tc>
          <w:tcPr>
            <w:tcW w:w="74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(11)</w:t>
            </w:r>
          </w:p>
        </w:tc>
        <w:tc>
          <w:tcPr>
            <w:tcW w:w="5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3"/>
        </w:trPr>
        <w:tc>
          <w:tcPr>
            <w:tcW w:w="292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Net income</w:t>
            </w:r>
          </w:p>
        </w:tc>
        <w:tc>
          <w:tcPr>
            <w:tcW w:w="70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b w:val="1"/>
                <w:bCs w:val="1"/>
                <w:color w:val="auto"/>
              </w:rPr>
              <w:t>$128</w:t>
            </w:r>
          </w:p>
        </w:tc>
        <w:tc>
          <w:tcPr>
            <w:tcW w:w="76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b w:val="1"/>
                <w:bCs w:val="1"/>
                <w:color w:val="auto"/>
              </w:rPr>
              <w:t>$152</w:t>
            </w:r>
          </w:p>
        </w:tc>
        <w:tc>
          <w:tcPr>
            <w:tcW w:w="800" w:type="dxa"/>
            <w:vAlign w:val="bottom"/>
            <w:tcBorders>
              <w:bottom w:val="single" w:sz="8" w:color="8C8272"/>
            </w:tcBorders>
            <w:shd w:val="clear" w:color="auto" w:fill="E5E5E5"/>
          </w:tcPr>
          <w:p>
            <w:pPr>
              <w:jc w:val="right"/>
              <w:ind w:right="20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$(2)</w:t>
            </w:r>
          </w:p>
        </w:tc>
        <w:tc>
          <w:tcPr>
            <w:tcW w:w="760" w:type="dxa"/>
            <w:vAlign w:val="bottom"/>
            <w:tcBorders>
              <w:bottom w:val="single" w:sz="8" w:color="8C8272"/>
            </w:tcBorders>
            <w:shd w:val="clear" w:color="auto" w:fill="E5E5E5"/>
          </w:tcPr>
          <w:p>
            <w:pPr>
              <w:jc w:val="right"/>
              <w:ind w:right="108"/>
              <w:spacing w:after="0"/>
              <w:rPr>
                <w:sz w:val="20"/>
                <w:szCs w:val="20"/>
                <w:color w:val="auto"/>
              </w:rPr>
            </w:pPr>
            <w:r>
              <w:rPr>
                <w:rFonts w:ascii="Arial" w:cs="Arial" w:eastAsia="Arial" w:hAnsi="Arial"/>
                <w:sz w:val="14"/>
                <w:szCs w:val="14"/>
                <w:b w:val="1"/>
                <w:bCs w:val="1"/>
                <w:color w:val="auto"/>
              </w:rPr>
              <w:t>$21</w:t>
            </w:r>
          </w:p>
        </w:tc>
        <w:tc>
          <w:tcPr>
            <w:tcW w:w="64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$46</w:t>
            </w:r>
          </w:p>
        </w:tc>
        <w:tc>
          <w:tcPr>
            <w:tcW w:w="760" w:type="dxa"/>
            <w:vAlign w:val="bottom"/>
            <w:tcBorders>
              <w:bottom w:val="single" w:sz="8" w:color="8C8272"/>
            </w:tcBorders>
            <w:shd w:val="clear" w:color="auto" w:fill="E5E5E5"/>
          </w:tcPr>
          <w:p>
            <w:pPr>
              <w:jc w:val="right"/>
              <w:ind w:right="108"/>
              <w:spacing w:after="0"/>
              <w:rPr>
                <w:sz w:val="20"/>
                <w:szCs w:val="20"/>
                <w:color w:val="auto"/>
              </w:rPr>
            </w:pPr>
            <w:r>
              <w:rPr>
                <w:rFonts w:ascii="Arial" w:cs="Arial" w:eastAsia="Arial" w:hAnsi="Arial"/>
                <w:sz w:val="14"/>
                <w:szCs w:val="14"/>
                <w:b w:val="1"/>
                <w:bCs w:val="1"/>
                <w:color w:val="auto"/>
              </w:rPr>
              <w:t>$(21)</w:t>
            </w:r>
          </w:p>
        </w:tc>
        <w:tc>
          <w:tcPr>
            <w:tcW w:w="700" w:type="dxa"/>
            <w:vAlign w:val="bottom"/>
            <w:tcBorders>
              <w:bottom w:val="single" w:sz="8" w:color="8C8272"/>
            </w:tcBorders>
            <w:shd w:val="clear" w:color="auto" w:fill="E5E5E5"/>
          </w:tcPr>
          <w:p>
            <w:pPr>
              <w:jc w:val="right"/>
              <w:ind w:right="108"/>
              <w:spacing w:after="0"/>
              <w:rPr>
                <w:sz w:val="20"/>
                <w:szCs w:val="20"/>
                <w:color w:val="auto"/>
              </w:rPr>
            </w:pPr>
            <w:r>
              <w:rPr>
                <w:rFonts w:ascii="Arial" w:cs="Arial" w:eastAsia="Arial" w:hAnsi="Arial"/>
                <w:sz w:val="14"/>
                <w:szCs w:val="14"/>
                <w:b w:val="1"/>
                <w:bCs w:val="1"/>
                <w:color w:val="auto"/>
              </w:rPr>
              <w:t>$14</w:t>
            </w:r>
          </w:p>
        </w:tc>
        <w:tc>
          <w:tcPr>
            <w:tcW w:w="880" w:type="dxa"/>
            <w:vAlign w:val="bottom"/>
            <w:tcBorders>
              <w:bottom w:val="single" w:sz="8" w:color="8C8272"/>
            </w:tcBorders>
            <w:shd w:val="clear" w:color="auto" w:fill="E5E5E5"/>
          </w:tcPr>
          <w:p>
            <w:pPr>
              <w:jc w:val="right"/>
              <w:ind w:right="288"/>
              <w:spacing w:after="0"/>
              <w:rPr>
                <w:sz w:val="20"/>
                <w:szCs w:val="20"/>
                <w:color w:val="auto"/>
              </w:rPr>
            </w:pPr>
            <w:r>
              <w:rPr>
                <w:rFonts w:ascii="Arial" w:cs="Arial" w:eastAsia="Arial" w:hAnsi="Arial"/>
                <w:sz w:val="14"/>
                <w:szCs w:val="14"/>
                <w:b w:val="1"/>
                <w:bCs w:val="1"/>
                <w:color w:val="auto"/>
              </w:rPr>
              <w:t>$(10)</w:t>
            </w:r>
          </w:p>
        </w:tc>
        <w:tc>
          <w:tcPr>
            <w:tcW w:w="440" w:type="dxa"/>
            <w:vAlign w:val="bottom"/>
            <w:tcBorders>
              <w:bottom w:val="single" w:sz="8" w:color="8C8272"/>
            </w:tcBorders>
            <w:shd w:val="clear" w:color="auto" w:fill="E5E5E5"/>
          </w:tcPr>
          <w:p>
            <w:pPr>
              <w:jc w:val="right"/>
              <w:ind w:right="28"/>
              <w:spacing w:after="0"/>
              <w:rPr>
                <w:sz w:val="20"/>
                <w:szCs w:val="20"/>
                <w:color w:val="auto"/>
              </w:rPr>
            </w:pPr>
            <w:r>
              <w:rPr>
                <w:rFonts w:ascii="Arial" w:cs="Arial" w:eastAsia="Arial" w:hAnsi="Arial"/>
                <w:sz w:val="14"/>
                <w:szCs w:val="14"/>
                <w:b w:val="1"/>
                <w:bCs w:val="1"/>
                <w:color w:val="auto"/>
              </w:rPr>
              <w:t>$(8)</w:t>
            </w:r>
          </w:p>
        </w:tc>
        <w:tc>
          <w:tcPr>
            <w:tcW w:w="74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b w:val="1"/>
                <w:bCs w:val="1"/>
                <w:color w:val="auto"/>
              </w:rPr>
              <w:t>$118</w:t>
            </w:r>
          </w:p>
        </w:tc>
        <w:tc>
          <w:tcPr>
            <w:tcW w:w="5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$202</w:t>
            </w:r>
          </w:p>
        </w:tc>
        <w:tc>
          <w:tcPr>
            <w:tcW w:w="0" w:type="dxa"/>
            <w:vAlign w:val="bottom"/>
          </w:tcPr>
          <w:p>
            <w:pPr>
              <w:spacing w:after="0"/>
              <w:rPr>
                <w:sz w:val="1"/>
                <w:szCs w:val="1"/>
                <w:color w:val="auto"/>
              </w:rPr>
            </w:pPr>
          </w:p>
        </w:tc>
      </w:tr>
      <w:tr>
        <w:trPr>
          <w:trHeight w:val="147"/>
        </w:trPr>
        <w:tc>
          <w:tcPr>
            <w:tcW w:w="2920" w:type="dxa"/>
            <w:vAlign w:val="bottom"/>
          </w:tcPr>
          <w:p>
            <w:pPr>
              <w:ind w:left="20"/>
              <w:spacing w:after="0" w:line="147" w:lineRule="exact"/>
              <w:rPr>
                <w:sz w:val="20"/>
                <w:szCs w:val="20"/>
                <w:color w:val="auto"/>
              </w:rPr>
            </w:pPr>
            <w:r>
              <w:rPr>
                <w:rFonts w:ascii="Arial" w:cs="Arial" w:eastAsia="Arial" w:hAnsi="Arial"/>
                <w:sz w:val="14"/>
                <w:szCs w:val="14"/>
                <w:color w:val="auto"/>
              </w:rPr>
              <w:t>Income (loss) attributable to non-controlling</w:t>
            </w: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(47)</w:t>
            </w: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(47)</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1"/>
        </w:trPr>
        <w:tc>
          <w:tcPr>
            <w:tcW w:w="2920" w:type="dxa"/>
            <w:vAlign w:val="bottom"/>
          </w:tcPr>
          <w:p>
            <w:pPr>
              <w:ind w:left="20"/>
              <w:spacing w:after="0"/>
              <w:rPr>
                <w:sz w:val="20"/>
                <w:szCs w:val="20"/>
                <w:color w:val="auto"/>
              </w:rPr>
            </w:pPr>
            <w:r>
              <w:rPr>
                <w:rFonts w:ascii="Arial" w:cs="Arial" w:eastAsia="Arial" w:hAnsi="Arial"/>
                <w:sz w:val="14"/>
                <w:szCs w:val="14"/>
                <w:color w:val="auto"/>
              </w:rPr>
              <w:t>interest</w:t>
            </w:r>
          </w:p>
        </w:tc>
        <w:tc>
          <w:tcPr>
            <w:tcW w:w="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Net income for common stock</w:t>
            </w:r>
          </w:p>
        </w:tc>
        <w:tc>
          <w:tcPr>
            <w:tcW w:w="70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b w:val="1"/>
                <w:bCs w:val="1"/>
                <w:color w:val="auto"/>
              </w:rPr>
              <w:t>$128</w:t>
            </w:r>
          </w:p>
        </w:tc>
        <w:tc>
          <w:tcPr>
            <w:tcW w:w="76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b w:val="1"/>
                <w:bCs w:val="1"/>
                <w:color w:val="auto"/>
              </w:rPr>
              <w:t>$152</w:t>
            </w:r>
          </w:p>
        </w:tc>
        <w:tc>
          <w:tcPr>
            <w:tcW w:w="800" w:type="dxa"/>
            <w:vAlign w:val="bottom"/>
            <w:tcBorders>
              <w:bottom w:val="single" w:sz="8" w:color="8C8272"/>
            </w:tcBorders>
            <w:shd w:val="clear" w:color="auto" w:fill="E5E5E5"/>
          </w:tcPr>
          <w:p>
            <w:pPr>
              <w:jc w:val="right"/>
              <w:ind w:right="20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$(2)</w:t>
            </w:r>
          </w:p>
        </w:tc>
        <w:tc>
          <w:tcPr>
            <w:tcW w:w="760" w:type="dxa"/>
            <w:vAlign w:val="bottom"/>
            <w:tcBorders>
              <w:bottom w:val="single" w:sz="8" w:color="8C8272"/>
            </w:tcBorders>
            <w:shd w:val="clear" w:color="auto" w:fill="E5E5E5"/>
          </w:tcPr>
          <w:p>
            <w:pPr>
              <w:jc w:val="right"/>
              <w:ind w:right="108"/>
              <w:spacing w:after="0"/>
              <w:rPr>
                <w:sz w:val="20"/>
                <w:szCs w:val="20"/>
                <w:color w:val="auto"/>
              </w:rPr>
            </w:pPr>
            <w:r>
              <w:rPr>
                <w:rFonts w:ascii="Arial" w:cs="Arial" w:eastAsia="Arial" w:hAnsi="Arial"/>
                <w:sz w:val="14"/>
                <w:szCs w:val="14"/>
                <w:b w:val="1"/>
                <w:bCs w:val="1"/>
                <w:color w:val="auto"/>
              </w:rPr>
              <w:t>$68</w:t>
            </w:r>
          </w:p>
        </w:tc>
        <w:tc>
          <w:tcPr>
            <w:tcW w:w="64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$34</w:t>
            </w:r>
          </w:p>
        </w:tc>
        <w:tc>
          <w:tcPr>
            <w:tcW w:w="760" w:type="dxa"/>
            <w:vAlign w:val="bottom"/>
            <w:tcBorders>
              <w:bottom w:val="single" w:sz="8" w:color="8C8272"/>
            </w:tcBorders>
            <w:shd w:val="clear" w:color="auto" w:fill="E5E5E5"/>
          </w:tcPr>
          <w:p>
            <w:pPr>
              <w:jc w:val="right"/>
              <w:ind w:right="108"/>
              <w:spacing w:after="0"/>
              <w:rPr>
                <w:sz w:val="20"/>
                <w:szCs w:val="20"/>
                <w:color w:val="auto"/>
              </w:rPr>
            </w:pPr>
            <w:r>
              <w:rPr>
                <w:rFonts w:ascii="Arial" w:cs="Arial" w:eastAsia="Arial" w:hAnsi="Arial"/>
                <w:sz w:val="14"/>
                <w:szCs w:val="14"/>
                <w:b w:val="1"/>
                <w:bCs w:val="1"/>
                <w:color w:val="auto"/>
              </w:rPr>
              <w:t>$(21)</w:t>
            </w:r>
          </w:p>
        </w:tc>
        <w:tc>
          <w:tcPr>
            <w:tcW w:w="700" w:type="dxa"/>
            <w:vAlign w:val="bottom"/>
            <w:tcBorders>
              <w:bottom w:val="single" w:sz="8" w:color="8C8272"/>
            </w:tcBorders>
            <w:shd w:val="clear" w:color="auto" w:fill="E5E5E5"/>
          </w:tcPr>
          <w:p>
            <w:pPr>
              <w:jc w:val="right"/>
              <w:ind w:right="108"/>
              <w:spacing w:after="0"/>
              <w:rPr>
                <w:sz w:val="20"/>
                <w:szCs w:val="20"/>
                <w:color w:val="auto"/>
              </w:rPr>
            </w:pPr>
            <w:r>
              <w:rPr>
                <w:rFonts w:ascii="Arial" w:cs="Arial" w:eastAsia="Arial" w:hAnsi="Arial"/>
                <w:sz w:val="14"/>
                <w:szCs w:val="14"/>
                <w:b w:val="1"/>
                <w:bCs w:val="1"/>
                <w:color w:val="auto"/>
              </w:rPr>
              <w:t>$14</w:t>
            </w:r>
          </w:p>
        </w:tc>
        <w:tc>
          <w:tcPr>
            <w:tcW w:w="880" w:type="dxa"/>
            <w:vAlign w:val="bottom"/>
            <w:tcBorders>
              <w:bottom w:val="single" w:sz="8" w:color="8C8272"/>
            </w:tcBorders>
            <w:shd w:val="clear" w:color="auto" w:fill="E5E5E5"/>
          </w:tcPr>
          <w:p>
            <w:pPr>
              <w:jc w:val="right"/>
              <w:ind w:right="288"/>
              <w:spacing w:after="0"/>
              <w:rPr>
                <w:sz w:val="20"/>
                <w:szCs w:val="20"/>
                <w:color w:val="auto"/>
              </w:rPr>
            </w:pPr>
            <w:r>
              <w:rPr>
                <w:rFonts w:ascii="Arial" w:cs="Arial" w:eastAsia="Arial" w:hAnsi="Arial"/>
                <w:sz w:val="14"/>
                <w:szCs w:val="14"/>
                <w:b w:val="1"/>
                <w:bCs w:val="1"/>
                <w:color w:val="auto"/>
              </w:rPr>
              <w:t>$(10)</w:t>
            </w:r>
          </w:p>
        </w:tc>
        <w:tc>
          <w:tcPr>
            <w:tcW w:w="440" w:type="dxa"/>
            <w:vAlign w:val="bottom"/>
            <w:tcBorders>
              <w:bottom w:val="single" w:sz="8" w:color="8C8272"/>
            </w:tcBorders>
            <w:shd w:val="clear" w:color="auto" w:fill="E5E5E5"/>
          </w:tcPr>
          <w:p>
            <w:pPr>
              <w:jc w:val="right"/>
              <w:ind w:right="28"/>
              <w:spacing w:after="0"/>
              <w:rPr>
                <w:sz w:val="20"/>
                <w:szCs w:val="20"/>
                <w:color w:val="auto"/>
              </w:rPr>
            </w:pPr>
            <w:r>
              <w:rPr>
                <w:rFonts w:ascii="Arial" w:cs="Arial" w:eastAsia="Arial" w:hAnsi="Arial"/>
                <w:sz w:val="14"/>
                <w:szCs w:val="14"/>
                <w:b w:val="1"/>
                <w:bCs w:val="1"/>
                <w:color w:val="auto"/>
              </w:rPr>
              <w:t>$(8)</w:t>
            </w:r>
          </w:p>
        </w:tc>
        <w:tc>
          <w:tcPr>
            <w:tcW w:w="74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b w:val="1"/>
                <w:bCs w:val="1"/>
                <w:color w:val="auto"/>
              </w:rPr>
              <w:t>$165</w:t>
            </w:r>
          </w:p>
        </w:tc>
        <w:tc>
          <w:tcPr>
            <w:tcW w:w="5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$190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-102235</wp:posOffset>
            </wp:positionV>
            <wp:extent cx="889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-85090</wp:posOffset>
            </wp:positionV>
            <wp:extent cx="8890"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-67945</wp:posOffset>
            </wp:positionV>
            <wp:extent cx="8890"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-50800</wp:posOffset>
            </wp:positionV>
            <wp:extent cx="8890"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-33655</wp:posOffset>
            </wp:positionV>
            <wp:extent cx="8890"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-16510</wp:posOffset>
            </wp:positionV>
            <wp:extent cx="889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-102235</wp:posOffset>
            </wp:positionV>
            <wp:extent cx="8255"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-85090</wp:posOffset>
            </wp:positionV>
            <wp:extent cx="8255"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-67945</wp:posOffset>
            </wp:positionV>
            <wp:extent cx="8255"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-50800</wp:posOffset>
            </wp:positionV>
            <wp:extent cx="8255"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-33655</wp:posOffset>
            </wp:positionV>
            <wp:extent cx="8255"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-16510</wp:posOffset>
            </wp:positionV>
            <wp:extent cx="8255"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-102235</wp:posOffset>
            </wp:positionV>
            <wp:extent cx="889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-85090</wp:posOffset>
            </wp:positionV>
            <wp:extent cx="8890"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-67945</wp:posOffset>
            </wp:positionV>
            <wp:extent cx="8890"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-50800</wp:posOffset>
            </wp:positionV>
            <wp:extent cx="8890"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-33655</wp:posOffset>
            </wp:positionV>
            <wp:extent cx="8890"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-16510</wp:posOffset>
            </wp:positionV>
            <wp:extent cx="889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-102235</wp:posOffset>
            </wp:positionV>
            <wp:extent cx="889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-85090</wp:posOffset>
            </wp:positionV>
            <wp:extent cx="8890"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-67945</wp:posOffset>
            </wp:positionV>
            <wp:extent cx="8890"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-50800</wp:posOffset>
            </wp:positionV>
            <wp:extent cx="8890"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-33655</wp:posOffset>
            </wp:positionV>
            <wp:extent cx="8890"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-16510</wp:posOffset>
            </wp:positionV>
            <wp:extent cx="889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-102235</wp:posOffset>
            </wp:positionV>
            <wp:extent cx="8255"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-85090</wp:posOffset>
            </wp:positionV>
            <wp:extent cx="8255"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-67945</wp:posOffset>
            </wp:positionV>
            <wp:extent cx="8255"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-50800</wp:posOffset>
            </wp:positionV>
            <wp:extent cx="8255"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-33655</wp:posOffset>
            </wp:positionV>
            <wp:extent cx="8255"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-16510</wp:posOffset>
            </wp:positionV>
            <wp:extent cx="8255"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-334010</wp:posOffset>
            </wp:positionV>
            <wp:extent cx="8890" cy="1714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-307975</wp:posOffset>
            </wp:positionV>
            <wp:extent cx="8890"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-290830</wp:posOffset>
            </wp:positionV>
            <wp:extent cx="8890"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-273685</wp:posOffset>
            </wp:positionV>
            <wp:extent cx="889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-256540</wp:posOffset>
            </wp:positionV>
            <wp:extent cx="8890"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-239395</wp:posOffset>
            </wp:positionV>
            <wp:extent cx="8890"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-222250</wp:posOffset>
            </wp:positionV>
            <wp:extent cx="8890"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-205105</wp:posOffset>
            </wp:positionV>
            <wp:extent cx="8890"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-187960</wp:posOffset>
            </wp:positionV>
            <wp:extent cx="889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-170815</wp:posOffset>
            </wp:positionV>
            <wp:extent cx="8890"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-153670</wp:posOffset>
            </wp:positionV>
            <wp:extent cx="8890"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-136525</wp:posOffset>
            </wp:positionV>
            <wp:extent cx="8890" cy="2540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-334010</wp:posOffset>
            </wp:positionV>
            <wp:extent cx="8255" cy="1714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-307975</wp:posOffset>
            </wp:positionV>
            <wp:extent cx="8255"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-290830</wp:posOffset>
            </wp:positionV>
            <wp:extent cx="8255"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-273685</wp:posOffset>
            </wp:positionV>
            <wp:extent cx="8255"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-256540</wp:posOffset>
            </wp:positionV>
            <wp:extent cx="8255"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-239395</wp:posOffset>
            </wp:positionV>
            <wp:extent cx="8255"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-222250</wp:posOffset>
            </wp:positionV>
            <wp:extent cx="8255"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-205105</wp:posOffset>
            </wp:positionV>
            <wp:extent cx="82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-187960</wp:posOffset>
            </wp:positionV>
            <wp:extent cx="8255"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-170815</wp:posOffset>
            </wp:positionV>
            <wp:extent cx="825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-153670</wp:posOffset>
            </wp:positionV>
            <wp:extent cx="825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-136525</wp:posOffset>
            </wp:positionV>
            <wp:extent cx="8255" cy="2540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-334010</wp:posOffset>
            </wp:positionV>
            <wp:extent cx="8890" cy="1714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-307975</wp:posOffset>
            </wp:positionV>
            <wp:extent cx="8890"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-290830</wp:posOffset>
            </wp:positionV>
            <wp:extent cx="8890"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-273685</wp:posOffset>
            </wp:positionV>
            <wp:extent cx="889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-256540</wp:posOffset>
            </wp:positionV>
            <wp:extent cx="8890"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-239395</wp:posOffset>
            </wp:positionV>
            <wp:extent cx="8890"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-222250</wp:posOffset>
            </wp:positionV>
            <wp:extent cx="8890"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-205105</wp:posOffset>
            </wp:positionV>
            <wp:extent cx="8890"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-187960</wp:posOffset>
            </wp:positionV>
            <wp:extent cx="889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-170815</wp:posOffset>
            </wp:positionV>
            <wp:extent cx="8890"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-153670</wp:posOffset>
            </wp:positionV>
            <wp:extent cx="8890"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-136525</wp:posOffset>
            </wp:positionV>
            <wp:extent cx="8890" cy="2540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-334010</wp:posOffset>
            </wp:positionV>
            <wp:extent cx="8890" cy="1714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-307975</wp:posOffset>
            </wp:positionV>
            <wp:extent cx="8890"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-290830</wp:posOffset>
            </wp:positionV>
            <wp:extent cx="8890"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-273685</wp:posOffset>
            </wp:positionV>
            <wp:extent cx="889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-256540</wp:posOffset>
            </wp:positionV>
            <wp:extent cx="8890"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-239395</wp:posOffset>
            </wp:positionV>
            <wp:extent cx="8890"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-222250</wp:posOffset>
            </wp:positionV>
            <wp:extent cx="8890"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-205105</wp:posOffset>
            </wp:positionV>
            <wp:extent cx="8890"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-187960</wp:posOffset>
            </wp:positionV>
            <wp:extent cx="889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-170815</wp:posOffset>
            </wp:positionV>
            <wp:extent cx="8890"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-153670</wp:posOffset>
            </wp:positionV>
            <wp:extent cx="8890"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-136525</wp:posOffset>
            </wp:positionV>
            <wp:extent cx="8890" cy="2540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-334010</wp:posOffset>
            </wp:positionV>
            <wp:extent cx="8255" cy="1714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-307975</wp:posOffset>
            </wp:positionV>
            <wp:extent cx="825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-290830</wp:posOffset>
            </wp:positionV>
            <wp:extent cx="8255"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-273685</wp:posOffset>
            </wp:positionV>
            <wp:extent cx="8255"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-256540</wp:posOffset>
            </wp:positionV>
            <wp:extent cx="8255"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-239395</wp:posOffset>
            </wp:positionV>
            <wp:extent cx="8255"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-222250</wp:posOffset>
            </wp:positionV>
            <wp:extent cx="825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-205105</wp:posOffset>
            </wp:positionV>
            <wp:extent cx="8255"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-187960</wp:posOffset>
            </wp:positionV>
            <wp:extent cx="8255"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-170815</wp:posOffset>
            </wp:positionV>
            <wp:extent cx="8255"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-153670</wp:posOffset>
            </wp:positionV>
            <wp:extent cx="8255"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-136525</wp:posOffset>
            </wp:positionV>
            <wp:extent cx="8255" cy="2540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-462280</wp:posOffset>
            </wp:positionV>
            <wp:extent cx="8890" cy="1714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-436245</wp:posOffset>
            </wp:positionV>
            <wp:extent cx="8890"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-419735</wp:posOffset>
            </wp:positionV>
            <wp:extent cx="8890"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-402590</wp:posOffset>
            </wp:positionV>
            <wp:extent cx="889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-385445</wp:posOffset>
            </wp:positionV>
            <wp:extent cx="8890"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-368300</wp:posOffset>
            </wp:positionV>
            <wp:extent cx="8890"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-350520</wp:posOffset>
            </wp:positionV>
            <wp:extent cx="8890"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-462280</wp:posOffset>
            </wp:positionV>
            <wp:extent cx="8255" cy="1714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-436245</wp:posOffset>
            </wp:positionV>
            <wp:extent cx="825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-419735</wp:posOffset>
            </wp:positionV>
            <wp:extent cx="825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-402590</wp:posOffset>
            </wp:positionV>
            <wp:extent cx="8255"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-385445</wp:posOffset>
            </wp:positionV>
            <wp:extent cx="8255"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-368300</wp:posOffset>
            </wp:positionV>
            <wp:extent cx="8255"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-350520</wp:posOffset>
            </wp:positionV>
            <wp:extent cx="8255"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-462280</wp:posOffset>
            </wp:positionV>
            <wp:extent cx="8890" cy="1714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-436245</wp:posOffset>
            </wp:positionV>
            <wp:extent cx="8890"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-419735</wp:posOffset>
            </wp:positionV>
            <wp:extent cx="8890"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-402590</wp:posOffset>
            </wp:positionV>
            <wp:extent cx="889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-385445</wp:posOffset>
            </wp:positionV>
            <wp:extent cx="8890"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-368300</wp:posOffset>
            </wp:positionV>
            <wp:extent cx="8890"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-350520</wp:posOffset>
            </wp:positionV>
            <wp:extent cx="8890"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-462280</wp:posOffset>
            </wp:positionV>
            <wp:extent cx="8890" cy="1714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-436245</wp:posOffset>
            </wp:positionV>
            <wp:extent cx="8890"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-419735</wp:posOffset>
            </wp:positionV>
            <wp:extent cx="8890"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-402590</wp:posOffset>
            </wp:positionV>
            <wp:extent cx="889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-385445</wp:posOffset>
            </wp:positionV>
            <wp:extent cx="8890"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-368300</wp:posOffset>
            </wp:positionV>
            <wp:extent cx="8890"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-350520</wp:posOffset>
            </wp:positionV>
            <wp:extent cx="8890"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-462280</wp:posOffset>
            </wp:positionV>
            <wp:extent cx="8255" cy="1714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-436245</wp:posOffset>
            </wp:positionV>
            <wp:extent cx="8255"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-419735</wp:posOffset>
            </wp:positionV>
            <wp:extent cx="8255"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-402590</wp:posOffset>
            </wp:positionV>
            <wp:extent cx="8255"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-385445</wp:posOffset>
            </wp:positionV>
            <wp:extent cx="8255"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-368300</wp:posOffset>
            </wp:positionV>
            <wp:extent cx="8255"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-350520</wp:posOffset>
            </wp:positionV>
            <wp:extent cx="825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-565150</wp:posOffset>
            </wp:positionV>
            <wp:extent cx="8890"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-548005</wp:posOffset>
            </wp:positionV>
            <wp:extent cx="8890"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-530860</wp:posOffset>
            </wp:positionV>
            <wp:extent cx="889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-513715</wp:posOffset>
            </wp:positionV>
            <wp:extent cx="8890"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-496570</wp:posOffset>
            </wp:positionV>
            <wp:extent cx="8890"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-479425</wp:posOffset>
            </wp:positionV>
            <wp:extent cx="8890"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-565150</wp:posOffset>
            </wp:positionV>
            <wp:extent cx="8255"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-548005</wp:posOffset>
            </wp:positionV>
            <wp:extent cx="825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-530860</wp:posOffset>
            </wp:positionV>
            <wp:extent cx="8255"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-513715</wp:posOffset>
            </wp:positionV>
            <wp:extent cx="825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-496570</wp:posOffset>
            </wp:positionV>
            <wp:extent cx="8255"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-479425</wp:posOffset>
            </wp:positionV>
            <wp:extent cx="8255"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-565150</wp:posOffset>
            </wp:positionV>
            <wp:extent cx="8890"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-548005</wp:posOffset>
            </wp:positionV>
            <wp:extent cx="8890"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-530860</wp:posOffset>
            </wp:positionV>
            <wp:extent cx="889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-513715</wp:posOffset>
            </wp:positionV>
            <wp:extent cx="8890"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-496570</wp:posOffset>
            </wp:positionV>
            <wp:extent cx="8890"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-479425</wp:posOffset>
            </wp:positionV>
            <wp:extent cx="8890"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-565150</wp:posOffset>
            </wp:positionV>
            <wp:extent cx="8890"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-548005</wp:posOffset>
            </wp:positionV>
            <wp:extent cx="8890"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-530860</wp:posOffset>
            </wp:positionV>
            <wp:extent cx="889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-513715</wp:posOffset>
            </wp:positionV>
            <wp:extent cx="8890"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-496570</wp:posOffset>
            </wp:positionV>
            <wp:extent cx="8890"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-479425</wp:posOffset>
            </wp:positionV>
            <wp:extent cx="8890"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-565150</wp:posOffset>
            </wp:positionV>
            <wp:extent cx="8255"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-548005</wp:posOffset>
            </wp:positionV>
            <wp:extent cx="8255"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-530860</wp:posOffset>
            </wp:positionV>
            <wp:extent cx="8255"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-513715</wp:posOffset>
            </wp:positionV>
            <wp:extent cx="8255"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-496570</wp:posOffset>
            </wp:positionV>
            <wp:extent cx="8255"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-479425</wp:posOffset>
            </wp:positionV>
            <wp:extent cx="8255"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-711200</wp:posOffset>
            </wp:positionV>
            <wp:extent cx="8890" cy="1714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-685165</wp:posOffset>
            </wp:positionV>
            <wp:extent cx="8890"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-668020</wp:posOffset>
            </wp:positionV>
            <wp:extent cx="889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-650875</wp:posOffset>
            </wp:positionV>
            <wp:extent cx="8890"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-633730</wp:posOffset>
            </wp:positionV>
            <wp:extent cx="8890"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-616585</wp:posOffset>
            </wp:positionV>
            <wp:extent cx="889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-599440</wp:posOffset>
            </wp:positionV>
            <wp:extent cx="8890" cy="2540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-711200</wp:posOffset>
            </wp:positionV>
            <wp:extent cx="8255" cy="1714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-685165</wp:posOffset>
            </wp:positionV>
            <wp:extent cx="825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-668020</wp:posOffset>
            </wp:positionV>
            <wp:extent cx="8255"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-650875</wp:posOffset>
            </wp:positionV>
            <wp:extent cx="8255"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-633730</wp:posOffset>
            </wp:positionV>
            <wp:extent cx="825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-616585</wp:posOffset>
            </wp:positionV>
            <wp:extent cx="8255"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-599440</wp:posOffset>
            </wp:positionV>
            <wp:extent cx="8255" cy="2540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-711200</wp:posOffset>
            </wp:positionV>
            <wp:extent cx="8890" cy="1714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-685165</wp:posOffset>
            </wp:positionV>
            <wp:extent cx="8890"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-668020</wp:posOffset>
            </wp:positionV>
            <wp:extent cx="889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-650875</wp:posOffset>
            </wp:positionV>
            <wp:extent cx="8890"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-633730</wp:posOffset>
            </wp:positionV>
            <wp:extent cx="8890"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-616585</wp:posOffset>
            </wp:positionV>
            <wp:extent cx="889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-599440</wp:posOffset>
            </wp:positionV>
            <wp:extent cx="8890" cy="2540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-711200</wp:posOffset>
            </wp:positionV>
            <wp:extent cx="8890" cy="1714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-685165</wp:posOffset>
            </wp:positionV>
            <wp:extent cx="8890"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-668020</wp:posOffset>
            </wp:positionV>
            <wp:extent cx="889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-650875</wp:posOffset>
            </wp:positionV>
            <wp:extent cx="8890"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-633730</wp:posOffset>
            </wp:positionV>
            <wp:extent cx="8890"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-616585</wp:posOffset>
            </wp:positionV>
            <wp:extent cx="889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-599440</wp:posOffset>
            </wp:positionV>
            <wp:extent cx="8890" cy="2540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-711200</wp:posOffset>
            </wp:positionV>
            <wp:extent cx="8255" cy="1714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-685165</wp:posOffset>
            </wp:positionV>
            <wp:extent cx="8255"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-668020</wp:posOffset>
            </wp:positionV>
            <wp:extent cx="8255"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-650875</wp:posOffset>
            </wp:positionV>
            <wp:extent cx="8255"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-633730</wp:posOffset>
            </wp:positionV>
            <wp:extent cx="8255"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-616585</wp:posOffset>
            </wp:positionV>
            <wp:extent cx="8255"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-599440</wp:posOffset>
            </wp:positionV>
            <wp:extent cx="8255" cy="2540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-814070</wp:posOffset>
            </wp:positionV>
            <wp:extent cx="8890"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-796925</wp:posOffset>
            </wp:positionV>
            <wp:extent cx="889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-779145</wp:posOffset>
            </wp:positionV>
            <wp:extent cx="8890"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-762635</wp:posOffset>
            </wp:positionV>
            <wp:extent cx="8890"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-744855</wp:posOffset>
            </wp:positionV>
            <wp:extent cx="8890"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-728345</wp:posOffset>
            </wp:positionV>
            <wp:extent cx="8890"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-814070</wp:posOffset>
            </wp:positionV>
            <wp:extent cx="8255"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-796925</wp:posOffset>
            </wp:positionV>
            <wp:extent cx="8255"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-779145</wp:posOffset>
            </wp:positionV>
            <wp:extent cx="8255"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-762635</wp:posOffset>
            </wp:positionV>
            <wp:extent cx="8255"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-744855</wp:posOffset>
            </wp:positionV>
            <wp:extent cx="8255"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-728345</wp:posOffset>
            </wp:positionV>
            <wp:extent cx="8255"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-814070</wp:posOffset>
            </wp:positionV>
            <wp:extent cx="8890"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-796925</wp:posOffset>
            </wp:positionV>
            <wp:extent cx="889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-779145</wp:posOffset>
            </wp:positionV>
            <wp:extent cx="8890"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-762635</wp:posOffset>
            </wp:positionV>
            <wp:extent cx="8890"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-744855</wp:posOffset>
            </wp:positionV>
            <wp:extent cx="8890"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-728345</wp:posOffset>
            </wp:positionV>
            <wp:extent cx="8890"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-814070</wp:posOffset>
            </wp:positionV>
            <wp:extent cx="8890"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-796925</wp:posOffset>
            </wp:positionV>
            <wp:extent cx="889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-779145</wp:posOffset>
            </wp:positionV>
            <wp:extent cx="8890"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-762635</wp:posOffset>
            </wp:positionV>
            <wp:extent cx="8890"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-744855</wp:posOffset>
            </wp:positionV>
            <wp:extent cx="8890"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-728345</wp:posOffset>
            </wp:positionV>
            <wp:extent cx="8890"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-814070</wp:posOffset>
            </wp:positionV>
            <wp:extent cx="8255"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-796925</wp:posOffset>
            </wp:positionV>
            <wp:extent cx="8255"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-779145</wp:posOffset>
            </wp:positionV>
            <wp:extent cx="8255"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-762635</wp:posOffset>
            </wp:positionV>
            <wp:extent cx="8255"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-744855</wp:posOffset>
            </wp:positionV>
            <wp:extent cx="8255"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-728345</wp:posOffset>
            </wp:positionV>
            <wp:extent cx="8255"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-934085</wp:posOffset>
            </wp:positionV>
            <wp:extent cx="8890"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-916305</wp:posOffset>
            </wp:positionV>
            <wp:extent cx="8890"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-899795</wp:posOffset>
            </wp:positionV>
            <wp:extent cx="8890"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-882650</wp:posOffset>
            </wp:positionV>
            <wp:extent cx="889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-864870</wp:posOffset>
            </wp:positionV>
            <wp:extent cx="8890"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-848360</wp:posOffset>
            </wp:positionV>
            <wp:extent cx="8890" cy="2603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-934085</wp:posOffset>
            </wp:positionV>
            <wp:extent cx="8255"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-916305</wp:posOffset>
            </wp:positionV>
            <wp:extent cx="8255"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-899795</wp:posOffset>
            </wp:positionV>
            <wp:extent cx="8255"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-882650</wp:posOffset>
            </wp:positionV>
            <wp:extent cx="8255"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-864870</wp:posOffset>
            </wp:positionV>
            <wp:extent cx="8255"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-848360</wp:posOffset>
            </wp:positionV>
            <wp:extent cx="8255" cy="2603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-934085</wp:posOffset>
            </wp:positionV>
            <wp:extent cx="8890"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-916305</wp:posOffset>
            </wp:positionV>
            <wp:extent cx="8890"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-899795</wp:posOffset>
            </wp:positionV>
            <wp:extent cx="8890"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-882650</wp:posOffset>
            </wp:positionV>
            <wp:extent cx="889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-864870</wp:posOffset>
            </wp:positionV>
            <wp:extent cx="8890"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-848360</wp:posOffset>
            </wp:positionV>
            <wp:extent cx="8890" cy="2603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-934085</wp:posOffset>
            </wp:positionV>
            <wp:extent cx="8890"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-916305</wp:posOffset>
            </wp:positionV>
            <wp:extent cx="8890"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-899795</wp:posOffset>
            </wp:positionV>
            <wp:extent cx="8890"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-882650</wp:posOffset>
            </wp:positionV>
            <wp:extent cx="889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-864870</wp:posOffset>
            </wp:positionV>
            <wp:extent cx="8890"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-848360</wp:posOffset>
            </wp:positionV>
            <wp:extent cx="8890" cy="2603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-934085</wp:posOffset>
            </wp:positionV>
            <wp:extent cx="8255"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-916305</wp:posOffset>
            </wp:positionV>
            <wp:extent cx="8255"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-899795</wp:posOffset>
            </wp:positionV>
            <wp:extent cx="8255"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-882650</wp:posOffset>
            </wp:positionV>
            <wp:extent cx="8255"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-864870</wp:posOffset>
            </wp:positionV>
            <wp:extent cx="8255"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-848360</wp:posOffset>
            </wp:positionV>
            <wp:extent cx="8255" cy="2603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-1079500</wp:posOffset>
            </wp:positionV>
            <wp:extent cx="8890" cy="1714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-1054100</wp:posOffset>
            </wp:positionV>
            <wp:extent cx="889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-1036320</wp:posOffset>
            </wp:positionV>
            <wp:extent cx="8890"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-1019810</wp:posOffset>
            </wp:positionV>
            <wp:extent cx="8890"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-1002030</wp:posOffset>
            </wp:positionV>
            <wp:extent cx="8890"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-985520</wp:posOffset>
            </wp:positionV>
            <wp:extent cx="8890"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-968375</wp:posOffset>
            </wp:positionV>
            <wp:extent cx="8890" cy="2603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-1079500</wp:posOffset>
            </wp:positionV>
            <wp:extent cx="8255" cy="1714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-1054100</wp:posOffset>
            </wp:positionV>
            <wp:extent cx="8255"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-1036320</wp:posOffset>
            </wp:positionV>
            <wp:extent cx="8255"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-1019810</wp:posOffset>
            </wp:positionV>
            <wp:extent cx="825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-1002030</wp:posOffset>
            </wp:positionV>
            <wp:extent cx="8255"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-985520</wp:posOffset>
            </wp:positionV>
            <wp:extent cx="8255"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-968375</wp:posOffset>
            </wp:positionV>
            <wp:extent cx="8255" cy="2603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-1079500</wp:posOffset>
            </wp:positionV>
            <wp:extent cx="8890" cy="1714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-1054100</wp:posOffset>
            </wp:positionV>
            <wp:extent cx="889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-1036320</wp:posOffset>
            </wp:positionV>
            <wp:extent cx="8890"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-1019810</wp:posOffset>
            </wp:positionV>
            <wp:extent cx="8890"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-1002030</wp:posOffset>
            </wp:positionV>
            <wp:extent cx="8890"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-985520</wp:posOffset>
            </wp:positionV>
            <wp:extent cx="8890"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-968375</wp:posOffset>
            </wp:positionV>
            <wp:extent cx="8890" cy="2603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-1079500</wp:posOffset>
            </wp:positionV>
            <wp:extent cx="8890" cy="1714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-1054100</wp:posOffset>
            </wp:positionV>
            <wp:extent cx="889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-1036320</wp:posOffset>
            </wp:positionV>
            <wp:extent cx="8890"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-1019810</wp:posOffset>
            </wp:positionV>
            <wp:extent cx="8890"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-1002030</wp:posOffset>
            </wp:positionV>
            <wp:extent cx="8890"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-985520</wp:posOffset>
            </wp:positionV>
            <wp:extent cx="8890"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-968375</wp:posOffset>
            </wp:positionV>
            <wp:extent cx="8890" cy="2603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-1079500</wp:posOffset>
            </wp:positionV>
            <wp:extent cx="8255" cy="1714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-1054100</wp:posOffset>
            </wp:positionV>
            <wp:extent cx="8255"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-1036320</wp:posOffset>
            </wp:positionV>
            <wp:extent cx="8255"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-1019810</wp:posOffset>
            </wp:positionV>
            <wp:extent cx="8255"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-1002030</wp:posOffset>
            </wp:positionV>
            <wp:extent cx="8255"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-985520</wp:posOffset>
            </wp:positionV>
            <wp:extent cx="8255"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-968375</wp:posOffset>
            </wp:positionV>
            <wp:extent cx="8255" cy="2603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-1182370</wp:posOffset>
            </wp:positionV>
            <wp:extent cx="889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-1165225</wp:posOffset>
            </wp:positionV>
            <wp:extent cx="8890"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-1148080</wp:posOffset>
            </wp:positionV>
            <wp:extent cx="8890"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-1130935</wp:posOffset>
            </wp:positionV>
            <wp:extent cx="8890"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-1113790</wp:posOffset>
            </wp:positionV>
            <wp:extent cx="8890"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-1096645</wp:posOffset>
            </wp:positionV>
            <wp:extent cx="889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-1182370</wp:posOffset>
            </wp:positionV>
            <wp:extent cx="8255"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-1165225</wp:posOffset>
            </wp:positionV>
            <wp:extent cx="8255"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-1148080</wp:posOffset>
            </wp:positionV>
            <wp:extent cx="8255"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-1130935</wp:posOffset>
            </wp:positionV>
            <wp:extent cx="8255"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-1113790</wp:posOffset>
            </wp:positionV>
            <wp:extent cx="8255"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-1096645</wp:posOffset>
            </wp:positionV>
            <wp:extent cx="8255"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-1182370</wp:posOffset>
            </wp:positionV>
            <wp:extent cx="889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-1165225</wp:posOffset>
            </wp:positionV>
            <wp:extent cx="8890"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-1148080</wp:posOffset>
            </wp:positionV>
            <wp:extent cx="8890"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-1130935</wp:posOffset>
            </wp:positionV>
            <wp:extent cx="8890"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-1113790</wp:posOffset>
            </wp:positionV>
            <wp:extent cx="8890"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-1096645</wp:posOffset>
            </wp:positionV>
            <wp:extent cx="889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-1182370</wp:posOffset>
            </wp:positionV>
            <wp:extent cx="889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-1165225</wp:posOffset>
            </wp:positionV>
            <wp:extent cx="8890"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-1148080</wp:posOffset>
            </wp:positionV>
            <wp:extent cx="8890"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-1130935</wp:posOffset>
            </wp:positionV>
            <wp:extent cx="8890"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-1113790</wp:posOffset>
            </wp:positionV>
            <wp:extent cx="8890"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-1096645</wp:posOffset>
            </wp:positionV>
            <wp:extent cx="889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-1182370</wp:posOffset>
            </wp:positionV>
            <wp:extent cx="8255"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-1165225</wp:posOffset>
            </wp:positionV>
            <wp:extent cx="8255"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-1148080</wp:posOffset>
            </wp:positionV>
            <wp:extent cx="8255"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-1130935</wp:posOffset>
            </wp:positionV>
            <wp:extent cx="8255"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-1113790</wp:posOffset>
            </wp:positionV>
            <wp:extent cx="825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-1096645</wp:posOffset>
            </wp:positionV>
            <wp:extent cx="8255"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-1302385</wp:posOffset>
            </wp:positionV>
            <wp:extent cx="8890"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-1285240</wp:posOffset>
            </wp:positionV>
            <wp:extent cx="8890"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-1268095</wp:posOffset>
            </wp:positionV>
            <wp:extent cx="889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-1250950</wp:posOffset>
            </wp:positionV>
            <wp:extent cx="8890"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-1233805</wp:posOffset>
            </wp:positionV>
            <wp:extent cx="8890"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-1216660</wp:posOffset>
            </wp:positionV>
            <wp:extent cx="8890" cy="2540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-1302385</wp:posOffset>
            </wp:positionV>
            <wp:extent cx="8255"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-1285240</wp:posOffset>
            </wp:positionV>
            <wp:extent cx="8255"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-1268095</wp:posOffset>
            </wp:positionV>
            <wp:extent cx="8255"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-1250950</wp:posOffset>
            </wp:positionV>
            <wp:extent cx="8255"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-1233805</wp:posOffset>
            </wp:positionV>
            <wp:extent cx="8255"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-1216660</wp:posOffset>
            </wp:positionV>
            <wp:extent cx="8255" cy="2540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-1302385</wp:posOffset>
            </wp:positionV>
            <wp:extent cx="8890"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-1285240</wp:posOffset>
            </wp:positionV>
            <wp:extent cx="8890"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-1268095</wp:posOffset>
            </wp:positionV>
            <wp:extent cx="889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-1250950</wp:posOffset>
            </wp:positionV>
            <wp:extent cx="8890"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-1233805</wp:posOffset>
            </wp:positionV>
            <wp:extent cx="8890"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-1216660</wp:posOffset>
            </wp:positionV>
            <wp:extent cx="8890" cy="2540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-1302385</wp:posOffset>
            </wp:positionV>
            <wp:extent cx="8890"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-1285240</wp:posOffset>
            </wp:positionV>
            <wp:extent cx="8890"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-1268095</wp:posOffset>
            </wp:positionV>
            <wp:extent cx="889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-1250950</wp:posOffset>
            </wp:positionV>
            <wp:extent cx="8890"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-1233805</wp:posOffset>
            </wp:positionV>
            <wp:extent cx="8890"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-1216660</wp:posOffset>
            </wp:positionV>
            <wp:extent cx="8890" cy="2540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-1302385</wp:posOffset>
            </wp:positionV>
            <wp:extent cx="8255"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-1285240</wp:posOffset>
            </wp:positionV>
            <wp:extent cx="8255"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-1268095</wp:posOffset>
            </wp:positionV>
            <wp:extent cx="8255"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-1250950</wp:posOffset>
            </wp:positionV>
            <wp:extent cx="8255"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-1233805</wp:posOffset>
            </wp:positionV>
            <wp:extent cx="8255"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-1216660</wp:posOffset>
            </wp:positionV>
            <wp:extent cx="8255" cy="2540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-1422400</wp:posOffset>
            </wp:positionV>
            <wp:extent cx="8890"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-1405255</wp:posOffset>
            </wp:positionV>
            <wp:extent cx="8890"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-1388110</wp:posOffset>
            </wp:positionV>
            <wp:extent cx="8890"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-1370965</wp:posOffset>
            </wp:positionV>
            <wp:extent cx="8890"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-1353820</wp:posOffset>
            </wp:positionV>
            <wp:extent cx="889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-1336675</wp:posOffset>
            </wp:positionV>
            <wp:extent cx="8890" cy="2540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-1422400</wp:posOffset>
            </wp:positionV>
            <wp:extent cx="8255"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-1405255</wp:posOffset>
            </wp:positionV>
            <wp:extent cx="8255"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-1388110</wp:posOffset>
            </wp:positionV>
            <wp:extent cx="8255"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-1370965</wp:posOffset>
            </wp:positionV>
            <wp:extent cx="8255"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-1353820</wp:posOffset>
            </wp:positionV>
            <wp:extent cx="8255"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-1336675</wp:posOffset>
            </wp:positionV>
            <wp:extent cx="8255" cy="2540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-1422400</wp:posOffset>
            </wp:positionV>
            <wp:extent cx="8890"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-1405255</wp:posOffset>
            </wp:positionV>
            <wp:extent cx="8890"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-1388110</wp:posOffset>
            </wp:positionV>
            <wp:extent cx="8890"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-1370965</wp:posOffset>
            </wp:positionV>
            <wp:extent cx="8890"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-1353820</wp:posOffset>
            </wp:positionV>
            <wp:extent cx="889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-1336675</wp:posOffset>
            </wp:positionV>
            <wp:extent cx="8890" cy="2540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-1422400</wp:posOffset>
            </wp:positionV>
            <wp:extent cx="8890"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-1405255</wp:posOffset>
            </wp:positionV>
            <wp:extent cx="8890"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-1388110</wp:posOffset>
            </wp:positionV>
            <wp:extent cx="8890"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-1370965</wp:posOffset>
            </wp:positionV>
            <wp:extent cx="8890"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-1353820</wp:posOffset>
            </wp:positionV>
            <wp:extent cx="889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-1336675</wp:posOffset>
            </wp:positionV>
            <wp:extent cx="8890" cy="2540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-1422400</wp:posOffset>
            </wp:positionV>
            <wp:extent cx="8255"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-1405255</wp:posOffset>
            </wp:positionV>
            <wp:extent cx="8255"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-1388110</wp:posOffset>
            </wp:positionV>
            <wp:extent cx="8255"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-1370965</wp:posOffset>
            </wp:positionV>
            <wp:extent cx="8255"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-1353820</wp:posOffset>
            </wp:positionV>
            <wp:extent cx="8255"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-1336675</wp:posOffset>
            </wp:positionV>
            <wp:extent cx="8255" cy="2540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-1542415</wp:posOffset>
            </wp:positionV>
            <wp:extent cx="8890"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-1525270</wp:posOffset>
            </wp:positionV>
            <wp:extent cx="889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-1508125</wp:posOffset>
            </wp:positionV>
            <wp:extent cx="8890"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-1490980</wp:posOffset>
            </wp:positionV>
            <wp:extent cx="8890"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-1473835</wp:posOffset>
            </wp:positionV>
            <wp:extent cx="8890"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-1456690</wp:posOffset>
            </wp:positionV>
            <wp:extent cx="8890" cy="2603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-1542415</wp:posOffset>
            </wp:positionV>
            <wp:extent cx="8255"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-1525270</wp:posOffset>
            </wp:positionV>
            <wp:extent cx="8255"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-1508125</wp:posOffset>
            </wp:positionV>
            <wp:extent cx="8255"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-1490980</wp:posOffset>
            </wp:positionV>
            <wp:extent cx="8255"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-1473835</wp:posOffset>
            </wp:positionV>
            <wp:extent cx="8255"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-1456690</wp:posOffset>
            </wp:positionV>
            <wp:extent cx="8255" cy="2603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-1542415</wp:posOffset>
            </wp:positionV>
            <wp:extent cx="8890"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-1525270</wp:posOffset>
            </wp:positionV>
            <wp:extent cx="889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-1508125</wp:posOffset>
            </wp:positionV>
            <wp:extent cx="8890"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-1490980</wp:posOffset>
            </wp:positionV>
            <wp:extent cx="8890"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-1473835</wp:posOffset>
            </wp:positionV>
            <wp:extent cx="8890"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-1456690</wp:posOffset>
            </wp:positionV>
            <wp:extent cx="8890" cy="2603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-1542415</wp:posOffset>
            </wp:positionV>
            <wp:extent cx="8890"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-1525270</wp:posOffset>
            </wp:positionV>
            <wp:extent cx="889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-1508125</wp:posOffset>
            </wp:positionV>
            <wp:extent cx="8890"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-1490980</wp:posOffset>
            </wp:positionV>
            <wp:extent cx="8890"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-1473835</wp:posOffset>
            </wp:positionV>
            <wp:extent cx="8890"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-1456690</wp:posOffset>
            </wp:positionV>
            <wp:extent cx="8890" cy="2603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-1542415</wp:posOffset>
            </wp:positionV>
            <wp:extent cx="8255"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-1525270</wp:posOffset>
            </wp:positionV>
            <wp:extent cx="8255"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-1508125</wp:posOffset>
            </wp:positionV>
            <wp:extent cx="8255"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-1490980</wp:posOffset>
            </wp:positionV>
            <wp:extent cx="8255"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-1473835</wp:posOffset>
            </wp:positionV>
            <wp:extent cx="8255"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-1456690</wp:posOffset>
            </wp:positionV>
            <wp:extent cx="8255" cy="2603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-1662430</wp:posOffset>
            </wp:positionV>
            <wp:extent cx="8890"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-1645285</wp:posOffset>
            </wp:positionV>
            <wp:extent cx="8890"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-1628140</wp:posOffset>
            </wp:positionV>
            <wp:extent cx="8890"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-1610995</wp:posOffset>
            </wp:positionV>
            <wp:extent cx="889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-1593850</wp:posOffset>
            </wp:positionV>
            <wp:extent cx="8890"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-1576705</wp:posOffset>
            </wp:positionV>
            <wp:extent cx="8890" cy="2603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-1662430</wp:posOffset>
            </wp:positionV>
            <wp:extent cx="8255"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-1645285</wp:posOffset>
            </wp:positionV>
            <wp:extent cx="8255"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-1628140</wp:posOffset>
            </wp:positionV>
            <wp:extent cx="8255"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-1610995</wp:posOffset>
            </wp:positionV>
            <wp:extent cx="8255"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-1593850</wp:posOffset>
            </wp:positionV>
            <wp:extent cx="8255"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-1576705</wp:posOffset>
            </wp:positionV>
            <wp:extent cx="8255" cy="2603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-1662430</wp:posOffset>
            </wp:positionV>
            <wp:extent cx="8890"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-1645285</wp:posOffset>
            </wp:positionV>
            <wp:extent cx="8890"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-1628140</wp:posOffset>
            </wp:positionV>
            <wp:extent cx="8890"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-1610995</wp:posOffset>
            </wp:positionV>
            <wp:extent cx="889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-1593850</wp:posOffset>
            </wp:positionV>
            <wp:extent cx="8890"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-1576705</wp:posOffset>
            </wp:positionV>
            <wp:extent cx="8890" cy="2603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-1662430</wp:posOffset>
            </wp:positionV>
            <wp:extent cx="8890"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-1645285</wp:posOffset>
            </wp:positionV>
            <wp:extent cx="8890"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-1628140</wp:posOffset>
            </wp:positionV>
            <wp:extent cx="8890"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-1610995</wp:posOffset>
            </wp:positionV>
            <wp:extent cx="889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-1593850</wp:posOffset>
            </wp:positionV>
            <wp:extent cx="8890"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-1576705</wp:posOffset>
            </wp:positionV>
            <wp:extent cx="8890" cy="2603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-1662430</wp:posOffset>
            </wp:positionV>
            <wp:extent cx="8255"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-1645285</wp:posOffset>
            </wp:positionV>
            <wp:extent cx="8255"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-1628140</wp:posOffset>
            </wp:positionV>
            <wp:extent cx="8255"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-1610995</wp:posOffset>
            </wp:positionV>
            <wp:extent cx="8255"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-1593850</wp:posOffset>
            </wp:positionV>
            <wp:extent cx="8255"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-1576705</wp:posOffset>
            </wp:positionV>
            <wp:extent cx="8255" cy="2603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-1782445</wp:posOffset>
            </wp:positionV>
            <wp:extent cx="889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-1765300</wp:posOffset>
            </wp:positionV>
            <wp:extent cx="8890"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-1748155</wp:posOffset>
            </wp:positionV>
            <wp:extent cx="8890"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-1731010</wp:posOffset>
            </wp:positionV>
            <wp:extent cx="8890"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-1713865</wp:posOffset>
            </wp:positionV>
            <wp:extent cx="8890"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-1696720</wp:posOffset>
            </wp:positionV>
            <wp:extent cx="8890" cy="2603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-1782445</wp:posOffset>
            </wp:positionV>
            <wp:extent cx="8255"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-1765300</wp:posOffset>
            </wp:positionV>
            <wp:extent cx="8255"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-1748155</wp:posOffset>
            </wp:positionV>
            <wp:extent cx="8255"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-1731010</wp:posOffset>
            </wp:positionV>
            <wp:extent cx="8255"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-1713865</wp:posOffset>
            </wp:positionV>
            <wp:extent cx="8255"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-1696720</wp:posOffset>
            </wp:positionV>
            <wp:extent cx="8255" cy="2603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-1782445</wp:posOffset>
            </wp:positionV>
            <wp:extent cx="889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-1765300</wp:posOffset>
            </wp:positionV>
            <wp:extent cx="8890"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-1748155</wp:posOffset>
            </wp:positionV>
            <wp:extent cx="8890"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-1731010</wp:posOffset>
            </wp:positionV>
            <wp:extent cx="8890"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-1713865</wp:posOffset>
            </wp:positionV>
            <wp:extent cx="8890"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-1696720</wp:posOffset>
            </wp:positionV>
            <wp:extent cx="8890" cy="2603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-1782445</wp:posOffset>
            </wp:positionV>
            <wp:extent cx="8890"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-1765300</wp:posOffset>
            </wp:positionV>
            <wp:extent cx="8890"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-1748155</wp:posOffset>
            </wp:positionV>
            <wp:extent cx="8890"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-1731010</wp:posOffset>
            </wp:positionV>
            <wp:extent cx="8890"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-1713865</wp:posOffset>
            </wp:positionV>
            <wp:extent cx="8890"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-1696720</wp:posOffset>
            </wp:positionV>
            <wp:extent cx="8890" cy="2603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-1782445</wp:posOffset>
            </wp:positionV>
            <wp:extent cx="8255"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-1765300</wp:posOffset>
            </wp:positionV>
            <wp:extent cx="8255"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-1748155</wp:posOffset>
            </wp:positionV>
            <wp:extent cx="8255"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-1731010</wp:posOffset>
            </wp:positionV>
            <wp:extent cx="8255"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-1713865</wp:posOffset>
            </wp:positionV>
            <wp:extent cx="8255"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-1696720</wp:posOffset>
            </wp:positionV>
            <wp:extent cx="8255" cy="2603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-1928495</wp:posOffset>
            </wp:positionV>
            <wp:extent cx="8890" cy="1714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-1902460</wp:posOffset>
            </wp:positionV>
            <wp:extent cx="8890"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-1885315</wp:posOffset>
            </wp:positionV>
            <wp:extent cx="8890"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-1868170</wp:posOffset>
            </wp:positionV>
            <wp:extent cx="889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-1851025</wp:posOffset>
            </wp:positionV>
            <wp:extent cx="8890"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-1833880</wp:posOffset>
            </wp:positionV>
            <wp:extent cx="8890"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-1816735</wp:posOffset>
            </wp:positionV>
            <wp:extent cx="8890" cy="2540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-1928495</wp:posOffset>
            </wp:positionV>
            <wp:extent cx="8255" cy="1714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-1902460</wp:posOffset>
            </wp:positionV>
            <wp:extent cx="8255"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-1885315</wp:posOffset>
            </wp:positionV>
            <wp:extent cx="8255"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-1868170</wp:posOffset>
            </wp:positionV>
            <wp:extent cx="8255"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-1851025</wp:posOffset>
            </wp:positionV>
            <wp:extent cx="8255"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-1833880</wp:posOffset>
            </wp:positionV>
            <wp:extent cx="8255"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-1816735</wp:posOffset>
            </wp:positionV>
            <wp:extent cx="8255" cy="2540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-1928495</wp:posOffset>
            </wp:positionV>
            <wp:extent cx="8890" cy="1714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-1902460</wp:posOffset>
            </wp:positionV>
            <wp:extent cx="8890"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-1885315</wp:posOffset>
            </wp:positionV>
            <wp:extent cx="8890"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-1868170</wp:posOffset>
            </wp:positionV>
            <wp:extent cx="889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-1851025</wp:posOffset>
            </wp:positionV>
            <wp:extent cx="8890"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-1833880</wp:posOffset>
            </wp:positionV>
            <wp:extent cx="8890"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-1816735</wp:posOffset>
            </wp:positionV>
            <wp:extent cx="8890" cy="2540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-1928495</wp:posOffset>
            </wp:positionV>
            <wp:extent cx="8890" cy="1714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-1902460</wp:posOffset>
            </wp:positionV>
            <wp:extent cx="8890"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-1885315</wp:posOffset>
            </wp:positionV>
            <wp:extent cx="8890"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-1868170</wp:posOffset>
            </wp:positionV>
            <wp:extent cx="889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-1851025</wp:posOffset>
            </wp:positionV>
            <wp:extent cx="8890"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-1833880</wp:posOffset>
            </wp:positionV>
            <wp:extent cx="8890"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-1816735</wp:posOffset>
            </wp:positionV>
            <wp:extent cx="8890" cy="2540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-1928495</wp:posOffset>
            </wp:positionV>
            <wp:extent cx="8255" cy="1714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-1902460</wp:posOffset>
            </wp:positionV>
            <wp:extent cx="8255"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-1885315</wp:posOffset>
            </wp:positionV>
            <wp:extent cx="8255"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-1868170</wp:posOffset>
            </wp:positionV>
            <wp:extent cx="8255"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-1851025</wp:posOffset>
            </wp:positionV>
            <wp:extent cx="8255"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-1833880</wp:posOffset>
            </wp:positionV>
            <wp:extent cx="8255"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-1816735</wp:posOffset>
            </wp:positionV>
            <wp:extent cx="8255" cy="2540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-2056765</wp:posOffset>
            </wp:positionV>
            <wp:extent cx="8890" cy="1714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-2030730</wp:posOffset>
            </wp:positionV>
            <wp:extent cx="8890"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-2014220</wp:posOffset>
            </wp:positionV>
            <wp:extent cx="8890"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-1996440</wp:posOffset>
            </wp:positionV>
            <wp:extent cx="8890"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-1979295</wp:posOffset>
            </wp:positionV>
            <wp:extent cx="8890"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-1962785</wp:posOffset>
            </wp:positionV>
            <wp:extent cx="8890"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-1945005</wp:posOffset>
            </wp:positionV>
            <wp:extent cx="8890"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-2056765</wp:posOffset>
            </wp:positionV>
            <wp:extent cx="8255" cy="1714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-2030730</wp:posOffset>
            </wp:positionV>
            <wp:extent cx="8255"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-2014220</wp:posOffset>
            </wp:positionV>
            <wp:extent cx="8255"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-1996440</wp:posOffset>
            </wp:positionV>
            <wp:extent cx="8255"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-1979295</wp:posOffset>
            </wp:positionV>
            <wp:extent cx="8255"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-1962785</wp:posOffset>
            </wp:positionV>
            <wp:extent cx="8255"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-1945005</wp:posOffset>
            </wp:positionV>
            <wp:extent cx="825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-2056765</wp:posOffset>
            </wp:positionV>
            <wp:extent cx="8890" cy="1714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-2030730</wp:posOffset>
            </wp:positionV>
            <wp:extent cx="8890"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-2014220</wp:posOffset>
            </wp:positionV>
            <wp:extent cx="8890"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-1996440</wp:posOffset>
            </wp:positionV>
            <wp:extent cx="8890"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-1979295</wp:posOffset>
            </wp:positionV>
            <wp:extent cx="8890"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-1962785</wp:posOffset>
            </wp:positionV>
            <wp:extent cx="8890"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-1945005</wp:posOffset>
            </wp:positionV>
            <wp:extent cx="8890"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-2056765</wp:posOffset>
            </wp:positionV>
            <wp:extent cx="8890" cy="1714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-2030730</wp:posOffset>
            </wp:positionV>
            <wp:extent cx="8890"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-2014220</wp:posOffset>
            </wp:positionV>
            <wp:extent cx="8890"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-1996440</wp:posOffset>
            </wp:positionV>
            <wp:extent cx="8890"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-1979295</wp:posOffset>
            </wp:positionV>
            <wp:extent cx="8890"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-1962785</wp:posOffset>
            </wp:positionV>
            <wp:extent cx="8890"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-1945005</wp:posOffset>
            </wp:positionV>
            <wp:extent cx="8890"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-2056765</wp:posOffset>
            </wp:positionV>
            <wp:extent cx="8255" cy="1714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-2030730</wp:posOffset>
            </wp:positionV>
            <wp:extent cx="8255"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-2014220</wp:posOffset>
            </wp:positionV>
            <wp:extent cx="8255"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-1996440</wp:posOffset>
            </wp:positionV>
            <wp:extent cx="8255"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-1979295</wp:posOffset>
            </wp:positionV>
            <wp:extent cx="8255"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-1962785</wp:posOffset>
            </wp:positionV>
            <wp:extent cx="8255"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-1945005</wp:posOffset>
            </wp:positionV>
            <wp:extent cx="8255"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66"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parent company and consolidation adjustments.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the consolidated results of operations of Con Edison and its businesses.</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the three months ended June 30, 2021, Con Edison Transmission recorded a pre-tax impairment loss of $39 million ($27 million, after-tax) in investment in Stagecoach. See “Investments” in Note A to the Second Quarter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8C8272"/>
        </w:rPr>
        <w:t>CECONY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3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For the Three Months Ended</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For the Three Months Ended</w:t>
            </w: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80" w:type="dxa"/>
            <w:vAlign w:val="bottom"/>
            <w:tcBorders>
              <w:bottom w:val="single" w:sz="8" w:color="8C8272"/>
            </w:tcBorders>
          </w:tcPr>
          <w:p>
            <w:pPr>
              <w:spacing w:after="0"/>
              <w:rPr>
                <w:sz w:val="15"/>
                <w:szCs w:val="15"/>
                <w:color w:val="auto"/>
              </w:rPr>
            </w:pPr>
          </w:p>
        </w:tc>
        <w:tc>
          <w:tcPr>
            <w:tcW w:w="840" w:type="dxa"/>
            <w:vAlign w:val="bottom"/>
            <w:tcBorders>
              <w:bottom w:val="single" w:sz="8" w:color="8C8272"/>
            </w:tcBorders>
          </w:tcPr>
          <w:p>
            <w:pPr>
              <w:spacing w:after="0"/>
              <w:rPr>
                <w:sz w:val="15"/>
                <w:szCs w:val="15"/>
                <w:color w:val="auto"/>
              </w:rPr>
            </w:pPr>
          </w:p>
        </w:tc>
        <w:tc>
          <w:tcPr>
            <w:tcW w:w="1540" w:type="dxa"/>
            <w:vAlign w:val="bottom"/>
            <w:tcBorders>
              <w:bottom w:val="single" w:sz="8" w:color="8C8272"/>
            </w:tcBorders>
          </w:tcPr>
          <w:p>
            <w:pPr>
              <w:jc w:val="right"/>
              <w:ind w:right="508"/>
              <w:spacing w:after="0"/>
              <w:rPr>
                <w:sz w:val="20"/>
                <w:szCs w:val="20"/>
                <w:color w:val="auto"/>
              </w:rPr>
            </w:pPr>
            <w:r>
              <w:rPr>
                <w:rFonts w:ascii="Arial" w:cs="Arial" w:eastAsia="Arial" w:hAnsi="Arial"/>
                <w:sz w:val="14"/>
                <w:szCs w:val="14"/>
                <w:b w:val="1"/>
                <w:bCs w:val="1"/>
                <w:color w:val="auto"/>
              </w:rPr>
              <w:t>June 30, 2021</w:t>
            </w:r>
          </w:p>
        </w:tc>
        <w:tc>
          <w:tcPr>
            <w:tcW w:w="620" w:type="dxa"/>
            <w:vAlign w:val="bottom"/>
            <w:tcBorders>
              <w:bottom w:val="single" w:sz="8" w:color="8C8272"/>
            </w:tcBorders>
          </w:tcPr>
          <w:p>
            <w:pPr>
              <w:spacing w:after="0"/>
              <w:rPr>
                <w:sz w:val="15"/>
                <w:szCs w:val="15"/>
                <w:color w:val="auto"/>
              </w:rPr>
            </w:pPr>
          </w:p>
        </w:tc>
        <w:tc>
          <w:tcPr>
            <w:tcW w:w="1080" w:type="dxa"/>
            <w:vAlign w:val="bottom"/>
            <w:tcBorders>
              <w:bottom w:val="single" w:sz="8" w:color="8C8272"/>
            </w:tcBorders>
          </w:tcPr>
          <w:p>
            <w:pPr>
              <w:spacing w:after="0"/>
              <w:rPr>
                <w:sz w:val="15"/>
                <w:szCs w:val="15"/>
                <w:color w:val="auto"/>
              </w:rPr>
            </w:pPr>
          </w:p>
        </w:tc>
        <w:tc>
          <w:tcPr>
            <w:tcW w:w="800" w:type="dxa"/>
            <w:vAlign w:val="bottom"/>
            <w:tcBorders>
              <w:bottom w:val="single" w:sz="8" w:color="8C8272"/>
            </w:tcBorders>
          </w:tcPr>
          <w:p>
            <w:pPr>
              <w:spacing w:after="0"/>
              <w:rPr>
                <w:sz w:val="15"/>
                <w:szCs w:val="15"/>
                <w:color w:val="auto"/>
              </w:rPr>
            </w:pPr>
          </w:p>
        </w:tc>
        <w:tc>
          <w:tcPr>
            <w:tcW w:w="1560" w:type="dxa"/>
            <w:vAlign w:val="bottom"/>
            <w:tcBorders>
              <w:bottom w:val="single" w:sz="8" w:color="8C8272"/>
            </w:tcBorders>
          </w:tcPr>
          <w:p>
            <w:pPr>
              <w:jc w:val="right"/>
              <w:ind w:right="508"/>
              <w:spacing w:after="0"/>
              <w:rPr>
                <w:sz w:val="20"/>
                <w:szCs w:val="20"/>
                <w:color w:val="auto"/>
              </w:rPr>
            </w:pPr>
            <w:r>
              <w:rPr>
                <w:rFonts w:ascii="Arial" w:cs="Arial" w:eastAsia="Arial" w:hAnsi="Arial"/>
                <w:sz w:val="14"/>
                <w:szCs w:val="14"/>
                <w:b w:val="1"/>
                <w:bCs w:val="1"/>
                <w:color w:val="auto"/>
              </w:rPr>
              <w:t>June 30, 2020</w:t>
            </w:r>
          </w:p>
        </w:tc>
        <w:tc>
          <w:tcPr>
            <w:tcW w:w="640" w:type="dxa"/>
            <w:vAlign w:val="bottom"/>
            <w:tcBorders>
              <w:bottom w:val="single" w:sz="8" w:color="8C8272"/>
            </w:tcBorders>
          </w:tcPr>
          <w:p>
            <w:pPr>
              <w:spacing w:after="0"/>
              <w:rPr>
                <w:sz w:val="15"/>
                <w:szCs w:val="15"/>
                <w:color w:val="auto"/>
              </w:rPr>
            </w:pPr>
          </w:p>
        </w:tc>
        <w:tc>
          <w:tcPr>
            <w:tcW w:w="1000" w:type="dxa"/>
            <w:vAlign w:val="bottom"/>
            <w:tcBorders>
              <w:bottom w:val="single" w:sz="8" w:color="8C8272"/>
            </w:tcBorders>
          </w:tcPr>
          <w:p>
            <w:pPr>
              <w:spacing w:after="0"/>
              <w:rPr>
                <w:sz w:val="15"/>
                <w:szCs w:val="15"/>
                <w:color w:val="auto"/>
              </w:rPr>
            </w:pPr>
          </w:p>
        </w:tc>
        <w:tc>
          <w:tcPr>
            <w:tcW w:w="880" w:type="dxa"/>
            <w:vAlign w:val="bottom"/>
            <w:tcBorders>
              <w:bottom w:val="single" w:sz="8" w:color="8C8272"/>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Electric</w:t>
            </w:r>
          </w:p>
        </w:tc>
        <w:tc>
          <w:tcPr>
            <w:tcW w:w="154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Gas</w:t>
            </w: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Steam</w:t>
            </w: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2021 Total</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Electric</w:t>
            </w:r>
          </w:p>
        </w:tc>
        <w:tc>
          <w:tcPr>
            <w:tcW w:w="156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Gas</w:t>
            </w: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Steam</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2020 Total</w:t>
            </w: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2021-2020</w:t>
            </w:r>
          </w:p>
        </w:tc>
        <w:tc>
          <w:tcPr>
            <w:tcW w:w="0" w:type="dxa"/>
            <w:vAlign w:val="bottom"/>
          </w:tcPr>
          <w:p>
            <w:pPr>
              <w:spacing w:after="0"/>
              <w:rPr>
                <w:sz w:val="1"/>
                <w:szCs w:val="1"/>
                <w:color w:val="auto"/>
              </w:rPr>
            </w:pPr>
          </w:p>
        </w:tc>
      </w:tr>
      <w:tr>
        <w:trPr>
          <w:trHeight w:val="175"/>
        </w:trPr>
        <w:tc>
          <w:tcPr>
            <w:tcW w:w="2280" w:type="dxa"/>
            <w:vAlign w:val="bottom"/>
            <w:tcBorders>
              <w:bottom w:val="single" w:sz="8" w:color="8C8272"/>
            </w:tcBorders>
            <w:vMerge w:val="continue"/>
          </w:tcPr>
          <w:p>
            <w:pPr>
              <w:spacing w:after="0"/>
              <w:rPr>
                <w:sz w:val="15"/>
                <w:szCs w:val="15"/>
                <w:color w:val="auto"/>
              </w:rPr>
            </w:pPr>
          </w:p>
        </w:tc>
        <w:tc>
          <w:tcPr>
            <w:tcW w:w="840" w:type="dxa"/>
            <w:vAlign w:val="bottom"/>
            <w:tcBorders>
              <w:bottom w:val="single" w:sz="8" w:color="8C8272"/>
            </w:tcBorders>
            <w:vMerge w:val="continue"/>
          </w:tcPr>
          <w:p>
            <w:pPr>
              <w:spacing w:after="0"/>
              <w:rPr>
                <w:sz w:val="15"/>
                <w:szCs w:val="15"/>
                <w:color w:val="auto"/>
              </w:rPr>
            </w:pPr>
          </w:p>
        </w:tc>
        <w:tc>
          <w:tcPr>
            <w:tcW w:w="1540" w:type="dxa"/>
            <w:vAlign w:val="bottom"/>
            <w:tcBorders>
              <w:bottom w:val="single" w:sz="8" w:color="8C8272"/>
            </w:tcBorders>
            <w:vMerge w:val="continue"/>
          </w:tcPr>
          <w:p>
            <w:pPr>
              <w:spacing w:after="0"/>
              <w:rPr>
                <w:sz w:val="15"/>
                <w:szCs w:val="15"/>
                <w:color w:val="auto"/>
              </w:rPr>
            </w:pPr>
          </w:p>
        </w:tc>
        <w:tc>
          <w:tcPr>
            <w:tcW w:w="620" w:type="dxa"/>
            <w:vAlign w:val="bottom"/>
            <w:tcBorders>
              <w:bottom w:val="single" w:sz="8" w:color="8C8272"/>
            </w:tcBorders>
            <w:vMerge w:val="continue"/>
          </w:tcPr>
          <w:p>
            <w:pPr>
              <w:spacing w:after="0"/>
              <w:rPr>
                <w:sz w:val="15"/>
                <w:szCs w:val="15"/>
                <w:color w:val="auto"/>
              </w:rPr>
            </w:pPr>
          </w:p>
        </w:tc>
        <w:tc>
          <w:tcPr>
            <w:tcW w:w="1080" w:type="dxa"/>
            <w:vAlign w:val="bottom"/>
            <w:tcBorders>
              <w:bottom w:val="single" w:sz="8" w:color="8C8272"/>
            </w:tcBorders>
            <w:vMerge w:val="continue"/>
          </w:tcPr>
          <w:p>
            <w:pPr>
              <w:spacing w:after="0"/>
              <w:rPr>
                <w:sz w:val="15"/>
                <w:szCs w:val="15"/>
                <w:color w:val="auto"/>
              </w:rPr>
            </w:pPr>
          </w:p>
        </w:tc>
        <w:tc>
          <w:tcPr>
            <w:tcW w:w="800" w:type="dxa"/>
            <w:vAlign w:val="bottom"/>
            <w:tcBorders>
              <w:bottom w:val="single" w:sz="8" w:color="8C8272"/>
            </w:tcBorders>
            <w:vMerge w:val="continue"/>
          </w:tcPr>
          <w:p>
            <w:pPr>
              <w:spacing w:after="0"/>
              <w:rPr>
                <w:sz w:val="15"/>
                <w:szCs w:val="15"/>
                <w:color w:val="auto"/>
              </w:rPr>
            </w:pPr>
          </w:p>
        </w:tc>
        <w:tc>
          <w:tcPr>
            <w:tcW w:w="1560" w:type="dxa"/>
            <w:vAlign w:val="bottom"/>
            <w:tcBorders>
              <w:bottom w:val="single" w:sz="8" w:color="8C8272"/>
            </w:tcBorders>
            <w:vMerge w:val="continue"/>
          </w:tcPr>
          <w:p>
            <w:pPr>
              <w:spacing w:after="0"/>
              <w:rPr>
                <w:sz w:val="15"/>
                <w:szCs w:val="15"/>
                <w:color w:val="auto"/>
              </w:rPr>
            </w:pPr>
          </w:p>
        </w:tc>
        <w:tc>
          <w:tcPr>
            <w:tcW w:w="640" w:type="dxa"/>
            <w:vAlign w:val="bottom"/>
            <w:tcBorders>
              <w:bottom w:val="single" w:sz="8" w:color="8C8272"/>
            </w:tcBorders>
            <w:vMerge w:val="continue"/>
          </w:tcPr>
          <w:p>
            <w:pPr>
              <w:spacing w:after="0"/>
              <w:rPr>
                <w:sz w:val="15"/>
                <w:szCs w:val="15"/>
                <w:color w:val="auto"/>
              </w:rPr>
            </w:pPr>
          </w:p>
        </w:tc>
        <w:tc>
          <w:tcPr>
            <w:tcW w:w="1000" w:type="dxa"/>
            <w:vAlign w:val="bottom"/>
            <w:tcBorders>
              <w:bottom w:val="single" w:sz="8" w:color="8C8272"/>
            </w:tcBorders>
            <w:vMerge w:val="continue"/>
          </w:tcPr>
          <w:p>
            <w:pPr>
              <w:spacing w:after="0"/>
              <w:rPr>
                <w:sz w:val="15"/>
                <w:szCs w:val="15"/>
                <w:color w:val="auto"/>
              </w:rPr>
            </w:pPr>
          </w:p>
        </w:tc>
        <w:tc>
          <w:tcPr>
            <w:tcW w:w="8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83"/>
        </w:trPr>
        <w:tc>
          <w:tcPr>
            <w:tcW w:w="228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revenues</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$1,963</w:t>
            </w:r>
          </w:p>
        </w:tc>
        <w:tc>
          <w:tcPr>
            <w:tcW w:w="154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$449</w:t>
            </w:r>
          </w:p>
        </w:tc>
        <w:tc>
          <w:tcPr>
            <w:tcW w:w="6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$74</w:t>
            </w:r>
          </w:p>
        </w:tc>
        <w:tc>
          <w:tcPr>
            <w:tcW w:w="10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$2,486</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$1,845</w:t>
            </w:r>
          </w:p>
        </w:tc>
        <w:tc>
          <w:tcPr>
            <w:tcW w:w="1560" w:type="dxa"/>
            <w:vAlign w:val="bottom"/>
            <w:shd w:val="clear" w:color="auto" w:fill="E5E5E5"/>
          </w:tcPr>
          <w:p>
            <w:pPr>
              <w:jc w:val="right"/>
              <w:ind w:right="468"/>
              <w:spacing w:after="0"/>
              <w:rPr>
                <w:sz w:val="20"/>
                <w:szCs w:val="20"/>
                <w:color w:val="auto"/>
              </w:rPr>
            </w:pPr>
            <w:r>
              <w:rPr>
                <w:rFonts w:ascii="Arial" w:cs="Arial" w:eastAsia="Arial" w:hAnsi="Arial"/>
                <w:sz w:val="14"/>
                <w:szCs w:val="14"/>
                <w:color w:val="auto"/>
              </w:rPr>
              <w:t>$416</w:t>
            </w:r>
          </w:p>
        </w:tc>
        <w:tc>
          <w:tcPr>
            <w:tcW w:w="6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$84</w:t>
            </w:r>
          </w:p>
        </w:tc>
        <w:tc>
          <w:tcPr>
            <w:tcW w:w="10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$2,345</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9"/>
        </w:trPr>
        <w:tc>
          <w:tcPr>
            <w:tcW w:w="2280" w:type="dxa"/>
            <w:vAlign w:val="bottom"/>
          </w:tcPr>
          <w:p>
            <w:pPr>
              <w:ind w:left="20"/>
              <w:spacing w:after="0"/>
              <w:rPr>
                <w:sz w:val="20"/>
                <w:szCs w:val="20"/>
                <w:color w:val="auto"/>
              </w:rPr>
            </w:pPr>
            <w:r>
              <w:rPr>
                <w:rFonts w:ascii="Arial" w:cs="Arial" w:eastAsia="Arial" w:hAnsi="Arial"/>
                <w:sz w:val="14"/>
                <w:szCs w:val="14"/>
                <w:color w:val="auto"/>
              </w:rPr>
              <w:t>Purchased power</w:t>
            </w:r>
          </w:p>
        </w:tc>
        <w:tc>
          <w:tcPr>
            <w:tcW w:w="840" w:type="dxa"/>
            <w:vAlign w:val="bottom"/>
          </w:tcPr>
          <w:p>
            <w:pPr>
              <w:jc w:val="right"/>
              <w:spacing w:after="0"/>
              <w:rPr>
                <w:sz w:val="20"/>
                <w:szCs w:val="20"/>
                <w:color w:val="auto"/>
              </w:rPr>
            </w:pPr>
            <w:r>
              <w:rPr>
                <w:rFonts w:ascii="Arial" w:cs="Arial" w:eastAsia="Arial" w:hAnsi="Arial"/>
                <w:sz w:val="14"/>
                <w:szCs w:val="14"/>
                <w:color w:val="auto"/>
              </w:rPr>
              <w:t>411</w:t>
            </w:r>
          </w:p>
        </w:tc>
        <w:tc>
          <w:tcPr>
            <w:tcW w:w="154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417</w:t>
            </w:r>
          </w:p>
        </w:tc>
        <w:tc>
          <w:tcPr>
            <w:tcW w:w="800" w:type="dxa"/>
            <w:vAlign w:val="bottom"/>
          </w:tcPr>
          <w:p>
            <w:pPr>
              <w:jc w:val="right"/>
              <w:spacing w:after="0"/>
              <w:rPr>
                <w:sz w:val="20"/>
                <w:szCs w:val="20"/>
                <w:color w:val="auto"/>
              </w:rPr>
            </w:pPr>
            <w:r>
              <w:rPr>
                <w:rFonts w:ascii="Arial" w:cs="Arial" w:eastAsia="Arial" w:hAnsi="Arial"/>
                <w:sz w:val="14"/>
                <w:szCs w:val="14"/>
                <w:color w:val="auto"/>
              </w:rPr>
              <w:t>340</w:t>
            </w:r>
          </w:p>
        </w:tc>
        <w:tc>
          <w:tcPr>
            <w:tcW w:w="156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345</w:t>
            </w:r>
          </w:p>
        </w:tc>
        <w:tc>
          <w:tcPr>
            <w:tcW w:w="88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9"/>
        </w:trPr>
        <w:tc>
          <w:tcPr>
            <w:tcW w:w="2280" w:type="dxa"/>
            <w:vAlign w:val="bottom"/>
            <w:shd w:val="clear" w:color="auto" w:fill="E5E5E5"/>
          </w:tcPr>
          <w:p>
            <w:pPr>
              <w:ind w:left="20"/>
              <w:spacing w:after="0"/>
              <w:rPr>
                <w:sz w:val="20"/>
                <w:szCs w:val="20"/>
                <w:color w:val="auto"/>
              </w:rPr>
            </w:pPr>
            <w:r>
              <w:rPr>
                <w:rFonts w:ascii="Arial" w:cs="Arial" w:eastAsia="Arial" w:hAnsi="Arial"/>
                <w:sz w:val="14"/>
                <w:szCs w:val="14"/>
                <w:color w:val="auto"/>
              </w:rPr>
              <w:t>Fuel</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w:t>
            </w:r>
          </w:p>
        </w:tc>
        <w:tc>
          <w:tcPr>
            <w:tcW w:w="1540" w:type="dxa"/>
            <w:vAlign w:val="bottom"/>
            <w:shd w:val="clear" w:color="auto" w:fill="E5E5E5"/>
          </w:tcPr>
          <w:p>
            <w:pPr>
              <w:jc w:val="right"/>
              <w:ind w:right="528"/>
              <w:spacing w:after="0"/>
              <w:rPr>
                <w:sz w:val="20"/>
                <w:szCs w:val="20"/>
                <w:color w:val="auto"/>
              </w:rPr>
            </w:pPr>
            <w:r>
              <w:rPr>
                <w:rFonts w:ascii="Arial" w:cs="Arial" w:eastAsia="Arial" w:hAnsi="Arial"/>
                <w:sz w:val="14"/>
                <w:szCs w:val="14"/>
                <w:color w:val="auto"/>
              </w:rPr>
              <w:t>—</w:t>
            </w:r>
          </w:p>
        </w:tc>
        <w:tc>
          <w:tcPr>
            <w:tcW w:w="6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6</w:t>
            </w:r>
          </w:p>
        </w:tc>
        <w:tc>
          <w:tcPr>
            <w:tcW w:w="10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29</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w:t>
            </w:r>
          </w:p>
        </w:tc>
        <w:tc>
          <w:tcPr>
            <w:tcW w:w="1560" w:type="dxa"/>
            <w:vAlign w:val="bottom"/>
            <w:shd w:val="clear" w:color="auto" w:fill="E5E5E5"/>
          </w:tcPr>
          <w:p>
            <w:pPr>
              <w:jc w:val="right"/>
              <w:ind w:right="528"/>
              <w:spacing w:after="0"/>
              <w:rPr>
                <w:sz w:val="20"/>
                <w:szCs w:val="20"/>
                <w:color w:val="auto"/>
              </w:rPr>
            </w:pPr>
            <w:r>
              <w:rPr>
                <w:rFonts w:ascii="Arial" w:cs="Arial" w:eastAsia="Arial" w:hAnsi="Arial"/>
                <w:sz w:val="14"/>
                <w:szCs w:val="14"/>
                <w:color w:val="auto"/>
              </w:rPr>
              <w:t>—</w:t>
            </w:r>
          </w:p>
        </w:tc>
        <w:tc>
          <w:tcPr>
            <w:tcW w:w="6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16</w:t>
            </w:r>
          </w:p>
        </w:tc>
        <w:tc>
          <w:tcPr>
            <w:tcW w:w="10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23</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2280" w:type="dxa"/>
            <w:vAlign w:val="bottom"/>
          </w:tcPr>
          <w:p>
            <w:pPr>
              <w:ind w:left="20"/>
              <w:spacing w:after="0"/>
              <w:rPr>
                <w:sz w:val="20"/>
                <w:szCs w:val="20"/>
                <w:color w:val="auto"/>
              </w:rPr>
            </w:pPr>
            <w:r>
              <w:rPr>
                <w:rFonts w:ascii="Arial" w:cs="Arial" w:eastAsia="Arial" w:hAnsi="Arial"/>
                <w:sz w:val="14"/>
                <w:szCs w:val="14"/>
                <w:color w:val="auto"/>
              </w:rPr>
              <w:t>Gas purchased for resale</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8"/>
              <w:spacing w:after="0"/>
              <w:rPr>
                <w:sz w:val="20"/>
                <w:szCs w:val="20"/>
                <w:color w:val="auto"/>
              </w:rPr>
            </w:pPr>
            <w:r>
              <w:rPr>
                <w:rFonts w:ascii="Arial" w:cs="Arial" w:eastAsia="Arial" w:hAnsi="Arial"/>
                <w:sz w:val="14"/>
                <w:szCs w:val="14"/>
                <w:color w:val="auto"/>
              </w:rPr>
              <w:t>63</w:t>
            </w:r>
          </w:p>
        </w:tc>
        <w:tc>
          <w:tcPr>
            <w:tcW w:w="620" w:type="dxa"/>
            <w:vAlign w:val="bottom"/>
          </w:tcPr>
          <w:p>
            <w:pPr>
              <w:spacing w:after="0"/>
              <w:rPr>
                <w:sz w:val="16"/>
                <w:szCs w:val="16"/>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63</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68"/>
              <w:spacing w:after="0"/>
              <w:rPr>
                <w:sz w:val="20"/>
                <w:szCs w:val="20"/>
                <w:color w:val="auto"/>
              </w:rPr>
            </w:pPr>
            <w:r>
              <w:rPr>
                <w:rFonts w:ascii="Arial" w:cs="Arial" w:eastAsia="Arial" w:hAnsi="Arial"/>
                <w:sz w:val="14"/>
                <w:szCs w:val="14"/>
                <w:color w:val="auto"/>
              </w:rPr>
              <w:t>64</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64</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3"/>
        </w:trPr>
        <w:tc>
          <w:tcPr>
            <w:tcW w:w="2280" w:type="dxa"/>
            <w:vAlign w:val="bottom"/>
            <w:shd w:val="clear" w:color="auto" w:fill="E5E5E5"/>
          </w:tcPr>
          <w:p>
            <w:pPr>
              <w:ind w:left="20"/>
              <w:spacing w:after="0" w:line="153" w:lineRule="exact"/>
              <w:rPr>
                <w:sz w:val="20"/>
                <w:szCs w:val="20"/>
                <w:color w:val="auto"/>
              </w:rPr>
            </w:pPr>
            <w:r>
              <w:rPr>
                <w:rFonts w:ascii="Arial" w:cs="Arial" w:eastAsia="Arial" w:hAnsi="Arial"/>
                <w:sz w:val="14"/>
                <w:szCs w:val="14"/>
                <w:color w:val="auto"/>
              </w:rPr>
              <w:t>Other operations and</w:t>
            </w:r>
          </w:p>
        </w:tc>
        <w:tc>
          <w:tcPr>
            <w:tcW w:w="84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460</w:t>
            </w:r>
          </w:p>
        </w:tc>
        <w:tc>
          <w:tcPr>
            <w:tcW w:w="1540" w:type="dxa"/>
            <w:vAlign w:val="bottom"/>
            <w:vMerge w:val="restart"/>
            <w:shd w:val="clear" w:color="auto" w:fill="E5E5E5"/>
          </w:tcPr>
          <w:p>
            <w:pPr>
              <w:jc w:val="right"/>
              <w:ind w:right="488"/>
              <w:spacing w:after="0"/>
              <w:rPr>
                <w:sz w:val="20"/>
                <w:szCs w:val="20"/>
                <w:color w:val="auto"/>
              </w:rPr>
            </w:pPr>
            <w:r>
              <w:rPr>
                <w:rFonts w:ascii="Arial" w:cs="Arial" w:eastAsia="Arial" w:hAnsi="Arial"/>
                <w:sz w:val="14"/>
                <w:szCs w:val="14"/>
                <w:color w:val="auto"/>
              </w:rPr>
              <w:t>91</w:t>
            </w:r>
          </w:p>
        </w:tc>
        <w:tc>
          <w:tcPr>
            <w:tcW w:w="620" w:type="dxa"/>
            <w:vAlign w:val="bottom"/>
            <w:vMerge w:val="restart"/>
            <w:shd w:val="clear" w:color="auto" w:fill="E5E5E5"/>
          </w:tcPr>
          <w:p>
            <w:pPr>
              <w:jc w:val="right"/>
              <w:ind w:right="68"/>
              <w:spacing w:after="0"/>
              <w:rPr>
                <w:sz w:val="20"/>
                <w:szCs w:val="20"/>
                <w:color w:val="auto"/>
              </w:rPr>
            </w:pPr>
            <w:r>
              <w:rPr>
                <w:rFonts w:ascii="Arial" w:cs="Arial" w:eastAsia="Arial" w:hAnsi="Arial"/>
                <w:sz w:val="14"/>
                <w:szCs w:val="14"/>
                <w:color w:val="auto"/>
              </w:rPr>
              <w:t>39</w:t>
            </w:r>
          </w:p>
        </w:tc>
        <w:tc>
          <w:tcPr>
            <w:tcW w:w="1080" w:type="dxa"/>
            <w:vAlign w:val="bottom"/>
            <w:vMerge w:val="restart"/>
            <w:shd w:val="clear" w:color="auto" w:fill="E5E5E5"/>
          </w:tcPr>
          <w:p>
            <w:pPr>
              <w:jc w:val="right"/>
              <w:ind w:right="188"/>
              <w:spacing w:after="0"/>
              <w:rPr>
                <w:sz w:val="20"/>
                <w:szCs w:val="20"/>
                <w:color w:val="auto"/>
              </w:rPr>
            </w:pPr>
            <w:r>
              <w:rPr>
                <w:rFonts w:ascii="Arial" w:cs="Arial" w:eastAsia="Arial" w:hAnsi="Arial"/>
                <w:sz w:val="14"/>
                <w:szCs w:val="14"/>
                <w:color w:val="auto"/>
              </w:rPr>
              <w:t>590</w:t>
            </w:r>
          </w:p>
        </w:tc>
        <w:tc>
          <w:tcPr>
            <w:tcW w:w="80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422</w:t>
            </w:r>
          </w:p>
        </w:tc>
        <w:tc>
          <w:tcPr>
            <w:tcW w:w="1560" w:type="dxa"/>
            <w:vAlign w:val="bottom"/>
            <w:vMerge w:val="restart"/>
            <w:shd w:val="clear" w:color="auto" w:fill="E5E5E5"/>
          </w:tcPr>
          <w:p>
            <w:pPr>
              <w:jc w:val="right"/>
              <w:ind w:right="468"/>
              <w:spacing w:after="0"/>
              <w:rPr>
                <w:sz w:val="20"/>
                <w:szCs w:val="20"/>
                <w:color w:val="auto"/>
              </w:rPr>
            </w:pPr>
            <w:r>
              <w:rPr>
                <w:rFonts w:ascii="Arial" w:cs="Arial" w:eastAsia="Arial" w:hAnsi="Arial"/>
                <w:sz w:val="14"/>
                <w:szCs w:val="14"/>
                <w:color w:val="auto"/>
              </w:rPr>
              <w:t>87</w:t>
            </w:r>
          </w:p>
        </w:tc>
        <w:tc>
          <w:tcPr>
            <w:tcW w:w="640" w:type="dxa"/>
            <w:vAlign w:val="bottom"/>
            <w:vMerge w:val="restart"/>
            <w:shd w:val="clear" w:color="auto" w:fill="E5E5E5"/>
          </w:tcPr>
          <w:p>
            <w:pPr>
              <w:jc w:val="right"/>
              <w:ind w:right="68"/>
              <w:spacing w:after="0"/>
              <w:rPr>
                <w:sz w:val="20"/>
                <w:szCs w:val="20"/>
                <w:color w:val="auto"/>
              </w:rPr>
            </w:pPr>
            <w:r>
              <w:rPr>
                <w:rFonts w:ascii="Arial" w:cs="Arial" w:eastAsia="Arial" w:hAnsi="Arial"/>
                <w:sz w:val="14"/>
                <w:szCs w:val="14"/>
                <w:color w:val="auto"/>
              </w:rPr>
              <w:t>40</w:t>
            </w:r>
          </w:p>
        </w:tc>
        <w:tc>
          <w:tcPr>
            <w:tcW w:w="1000" w:type="dxa"/>
            <w:vAlign w:val="bottom"/>
            <w:vMerge w:val="restart"/>
            <w:shd w:val="clear" w:color="auto" w:fill="E5E5E5"/>
          </w:tcPr>
          <w:p>
            <w:pPr>
              <w:jc w:val="right"/>
              <w:ind w:right="108"/>
              <w:spacing w:after="0"/>
              <w:rPr>
                <w:sz w:val="20"/>
                <w:szCs w:val="20"/>
                <w:color w:val="auto"/>
              </w:rPr>
            </w:pPr>
            <w:r>
              <w:rPr>
                <w:rFonts w:ascii="Arial" w:cs="Arial" w:eastAsia="Arial" w:hAnsi="Arial"/>
                <w:sz w:val="14"/>
                <w:szCs w:val="14"/>
                <w:color w:val="auto"/>
              </w:rPr>
              <w:t>549</w:t>
            </w: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1"/>
        </w:trPr>
        <w:tc>
          <w:tcPr>
            <w:tcW w:w="2280" w:type="dxa"/>
            <w:vAlign w:val="bottom"/>
            <w:shd w:val="clear" w:color="auto" w:fill="E5E5E5"/>
          </w:tcPr>
          <w:p>
            <w:pPr>
              <w:ind w:left="20"/>
              <w:spacing w:after="0"/>
              <w:rPr>
                <w:sz w:val="20"/>
                <w:szCs w:val="20"/>
                <w:color w:val="auto"/>
              </w:rPr>
            </w:pPr>
            <w:r>
              <w:rPr>
                <w:rFonts w:ascii="Arial" w:cs="Arial" w:eastAsia="Arial" w:hAnsi="Arial"/>
                <w:sz w:val="14"/>
                <w:szCs w:val="14"/>
                <w:color w:val="auto"/>
              </w:rPr>
              <w:t>maintenance</w:t>
            </w:r>
          </w:p>
        </w:tc>
        <w:tc>
          <w:tcPr>
            <w:tcW w:w="840" w:type="dxa"/>
            <w:vAlign w:val="bottom"/>
            <w:vMerge w:val="continue"/>
            <w:shd w:val="clear" w:color="auto" w:fill="E5E5E5"/>
          </w:tcPr>
          <w:p>
            <w:pPr>
              <w:spacing w:after="0"/>
              <w:rPr>
                <w:sz w:val="14"/>
                <w:szCs w:val="14"/>
                <w:color w:val="auto"/>
              </w:rPr>
            </w:pPr>
          </w:p>
        </w:tc>
        <w:tc>
          <w:tcPr>
            <w:tcW w:w="1540" w:type="dxa"/>
            <w:vAlign w:val="bottom"/>
            <w:vMerge w:val="continue"/>
            <w:shd w:val="clear" w:color="auto" w:fill="E5E5E5"/>
          </w:tcPr>
          <w:p>
            <w:pPr>
              <w:spacing w:after="0"/>
              <w:rPr>
                <w:sz w:val="14"/>
                <w:szCs w:val="14"/>
                <w:color w:val="auto"/>
              </w:rPr>
            </w:pPr>
          </w:p>
        </w:tc>
        <w:tc>
          <w:tcPr>
            <w:tcW w:w="620" w:type="dxa"/>
            <w:vAlign w:val="bottom"/>
            <w:vMerge w:val="continue"/>
            <w:shd w:val="clear" w:color="auto" w:fill="E5E5E5"/>
          </w:tcPr>
          <w:p>
            <w:pPr>
              <w:spacing w:after="0"/>
              <w:rPr>
                <w:sz w:val="14"/>
                <w:szCs w:val="14"/>
                <w:color w:val="auto"/>
              </w:rPr>
            </w:pPr>
          </w:p>
        </w:tc>
        <w:tc>
          <w:tcPr>
            <w:tcW w:w="1080" w:type="dxa"/>
            <w:vAlign w:val="bottom"/>
            <w:vMerge w:val="continue"/>
            <w:shd w:val="clear" w:color="auto" w:fill="E5E5E5"/>
          </w:tcPr>
          <w:p>
            <w:pPr>
              <w:spacing w:after="0"/>
              <w:rPr>
                <w:sz w:val="14"/>
                <w:szCs w:val="14"/>
                <w:color w:val="auto"/>
              </w:rPr>
            </w:pPr>
          </w:p>
        </w:tc>
        <w:tc>
          <w:tcPr>
            <w:tcW w:w="800" w:type="dxa"/>
            <w:vAlign w:val="bottom"/>
            <w:vMerge w:val="continue"/>
            <w:shd w:val="clear" w:color="auto" w:fill="E5E5E5"/>
          </w:tcPr>
          <w:p>
            <w:pPr>
              <w:spacing w:after="0"/>
              <w:rPr>
                <w:sz w:val="14"/>
                <w:szCs w:val="14"/>
                <w:color w:val="auto"/>
              </w:rPr>
            </w:pPr>
          </w:p>
        </w:tc>
        <w:tc>
          <w:tcPr>
            <w:tcW w:w="1560" w:type="dxa"/>
            <w:vAlign w:val="bottom"/>
            <w:vMerge w:val="continue"/>
            <w:shd w:val="clear" w:color="auto" w:fill="E5E5E5"/>
          </w:tcPr>
          <w:p>
            <w:pPr>
              <w:spacing w:after="0"/>
              <w:rPr>
                <w:sz w:val="14"/>
                <w:szCs w:val="14"/>
                <w:color w:val="auto"/>
              </w:rPr>
            </w:pPr>
          </w:p>
        </w:tc>
        <w:tc>
          <w:tcPr>
            <w:tcW w:w="640" w:type="dxa"/>
            <w:vAlign w:val="bottom"/>
            <w:vMerge w:val="continue"/>
            <w:shd w:val="clear" w:color="auto" w:fill="E5E5E5"/>
          </w:tcPr>
          <w:p>
            <w:pPr>
              <w:spacing w:after="0"/>
              <w:rPr>
                <w:sz w:val="14"/>
                <w:szCs w:val="14"/>
                <w:color w:val="auto"/>
              </w:rPr>
            </w:pPr>
          </w:p>
        </w:tc>
        <w:tc>
          <w:tcPr>
            <w:tcW w:w="1000" w:type="dxa"/>
            <w:vAlign w:val="bottom"/>
            <w:vMerge w:val="continue"/>
            <w:shd w:val="clear" w:color="auto" w:fill="E5E5E5"/>
          </w:tcPr>
          <w:p>
            <w:pPr>
              <w:spacing w:after="0"/>
              <w:rPr>
                <w:sz w:val="14"/>
                <w:szCs w:val="14"/>
                <w:color w:val="auto"/>
              </w:rPr>
            </w:pPr>
          </w:p>
        </w:tc>
        <w:tc>
          <w:tcPr>
            <w:tcW w:w="880" w:type="dxa"/>
            <w:vAlign w:val="bottom"/>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jc w:val="right"/>
              <w:spacing w:after="0"/>
              <w:rPr>
                <w:sz w:val="20"/>
                <w:szCs w:val="20"/>
                <w:color w:val="auto"/>
              </w:rPr>
            </w:pPr>
            <w:r>
              <w:rPr>
                <w:rFonts w:ascii="Arial" w:cs="Arial" w:eastAsia="Arial" w:hAnsi="Arial"/>
                <w:sz w:val="14"/>
                <w:szCs w:val="14"/>
                <w:color w:val="auto"/>
              </w:rPr>
              <w:t>320</w:t>
            </w:r>
          </w:p>
        </w:tc>
        <w:tc>
          <w:tcPr>
            <w:tcW w:w="1540" w:type="dxa"/>
            <w:vAlign w:val="bottom"/>
          </w:tcPr>
          <w:p>
            <w:pPr>
              <w:jc w:val="right"/>
              <w:ind w:right="488"/>
              <w:spacing w:after="0"/>
              <w:rPr>
                <w:sz w:val="20"/>
                <w:szCs w:val="20"/>
                <w:color w:val="auto"/>
              </w:rPr>
            </w:pPr>
            <w:r>
              <w:rPr>
                <w:rFonts w:ascii="Arial" w:cs="Arial" w:eastAsia="Arial" w:hAnsi="Arial"/>
                <w:sz w:val="14"/>
                <w:szCs w:val="14"/>
                <w:color w:val="auto"/>
              </w:rPr>
              <w:t>80</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423</w:t>
            </w:r>
          </w:p>
        </w:tc>
        <w:tc>
          <w:tcPr>
            <w:tcW w:w="800" w:type="dxa"/>
            <w:vAlign w:val="bottom"/>
          </w:tcPr>
          <w:p>
            <w:pPr>
              <w:jc w:val="right"/>
              <w:spacing w:after="0"/>
              <w:rPr>
                <w:sz w:val="20"/>
                <w:szCs w:val="20"/>
                <w:color w:val="auto"/>
              </w:rPr>
            </w:pPr>
            <w:r>
              <w:rPr>
                <w:rFonts w:ascii="Arial" w:cs="Arial" w:eastAsia="Arial" w:hAnsi="Arial"/>
                <w:sz w:val="14"/>
                <w:szCs w:val="14"/>
                <w:color w:val="auto"/>
              </w:rPr>
              <w:t>301</w:t>
            </w:r>
          </w:p>
        </w:tc>
        <w:tc>
          <w:tcPr>
            <w:tcW w:w="1560" w:type="dxa"/>
            <w:vAlign w:val="bottom"/>
          </w:tcPr>
          <w:p>
            <w:pPr>
              <w:jc w:val="right"/>
              <w:ind w:right="468"/>
              <w:spacing w:after="0"/>
              <w:rPr>
                <w:sz w:val="20"/>
                <w:szCs w:val="20"/>
                <w:color w:val="auto"/>
              </w:rPr>
            </w:pPr>
            <w:r>
              <w:rPr>
                <w:rFonts w:ascii="Arial" w:cs="Arial" w:eastAsia="Arial" w:hAnsi="Arial"/>
                <w:sz w:val="14"/>
                <w:szCs w:val="14"/>
                <w:color w:val="auto"/>
              </w:rPr>
              <w:t>72</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396</w:t>
            </w:r>
          </w:p>
        </w:tc>
        <w:tc>
          <w:tcPr>
            <w:tcW w:w="8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9"/>
        </w:trPr>
        <w:tc>
          <w:tcPr>
            <w:tcW w:w="228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Taxes, other than income taxes</w:t>
            </w:r>
          </w:p>
        </w:tc>
        <w:tc>
          <w:tcPr>
            <w:tcW w:w="8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494</w:t>
            </w:r>
          </w:p>
        </w:tc>
        <w:tc>
          <w:tcPr>
            <w:tcW w:w="1540" w:type="dxa"/>
            <w:vAlign w:val="bottom"/>
            <w:tcBorders>
              <w:bottom w:val="single" w:sz="8" w:color="8C8272"/>
            </w:tcBorders>
            <w:shd w:val="clear" w:color="auto" w:fill="E5E5E5"/>
          </w:tcPr>
          <w:p>
            <w:pPr>
              <w:jc w:val="right"/>
              <w:ind w:right="488"/>
              <w:spacing w:after="0"/>
              <w:rPr>
                <w:sz w:val="20"/>
                <w:szCs w:val="20"/>
                <w:color w:val="auto"/>
              </w:rPr>
            </w:pPr>
            <w:r>
              <w:rPr>
                <w:rFonts w:ascii="Arial" w:cs="Arial" w:eastAsia="Arial" w:hAnsi="Arial"/>
                <w:sz w:val="14"/>
                <w:szCs w:val="14"/>
                <w:color w:val="auto"/>
              </w:rPr>
              <w:t>116</w:t>
            </w:r>
          </w:p>
        </w:tc>
        <w:tc>
          <w:tcPr>
            <w:tcW w:w="62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33</w:t>
            </w:r>
          </w:p>
        </w:tc>
        <w:tc>
          <w:tcPr>
            <w:tcW w:w="1080" w:type="dxa"/>
            <w:vAlign w:val="bottom"/>
            <w:tcBorders>
              <w:bottom w:val="single" w:sz="8" w:color="8C8272"/>
            </w:tcBorders>
            <w:shd w:val="clear" w:color="auto" w:fill="E5E5E5"/>
          </w:tcPr>
          <w:p>
            <w:pPr>
              <w:jc w:val="right"/>
              <w:ind w:right="188"/>
              <w:spacing w:after="0"/>
              <w:rPr>
                <w:sz w:val="20"/>
                <w:szCs w:val="20"/>
                <w:color w:val="auto"/>
              </w:rPr>
            </w:pPr>
            <w:r>
              <w:rPr>
                <w:rFonts w:ascii="Arial" w:cs="Arial" w:eastAsia="Arial" w:hAnsi="Arial"/>
                <w:sz w:val="14"/>
                <w:szCs w:val="14"/>
                <w:color w:val="auto"/>
              </w:rPr>
              <w:t>643</w:t>
            </w:r>
          </w:p>
        </w:tc>
        <w:tc>
          <w:tcPr>
            <w:tcW w:w="8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457</w:t>
            </w:r>
          </w:p>
        </w:tc>
        <w:tc>
          <w:tcPr>
            <w:tcW w:w="1560" w:type="dxa"/>
            <w:vAlign w:val="bottom"/>
            <w:tcBorders>
              <w:bottom w:val="single" w:sz="8" w:color="8C8272"/>
            </w:tcBorders>
            <w:shd w:val="clear" w:color="auto" w:fill="E5E5E5"/>
          </w:tcPr>
          <w:p>
            <w:pPr>
              <w:jc w:val="right"/>
              <w:ind w:right="468"/>
              <w:spacing w:after="0"/>
              <w:rPr>
                <w:sz w:val="20"/>
                <w:szCs w:val="20"/>
                <w:color w:val="auto"/>
              </w:rPr>
            </w:pPr>
            <w:r>
              <w:rPr>
                <w:rFonts w:ascii="Arial" w:cs="Arial" w:eastAsia="Arial" w:hAnsi="Arial"/>
                <w:sz w:val="14"/>
                <w:szCs w:val="14"/>
                <w:color w:val="auto"/>
              </w:rPr>
              <w:t>88</w:t>
            </w:r>
          </w:p>
        </w:tc>
        <w:tc>
          <w:tcPr>
            <w:tcW w:w="64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34</w:t>
            </w:r>
          </w:p>
        </w:tc>
        <w:tc>
          <w:tcPr>
            <w:tcW w:w="1000" w:type="dxa"/>
            <w:vAlign w:val="bottom"/>
            <w:tcBorders>
              <w:bottom w:val="single" w:sz="8" w:color="8C8272"/>
            </w:tcBorders>
            <w:shd w:val="clear" w:color="auto" w:fill="E5E5E5"/>
          </w:tcPr>
          <w:p>
            <w:pPr>
              <w:jc w:val="right"/>
              <w:ind w:right="108"/>
              <w:spacing w:after="0"/>
              <w:rPr>
                <w:sz w:val="20"/>
                <w:szCs w:val="20"/>
                <w:color w:val="auto"/>
              </w:rPr>
            </w:pPr>
            <w:r>
              <w:rPr>
                <w:rFonts w:ascii="Arial" w:cs="Arial" w:eastAsia="Arial" w:hAnsi="Arial"/>
                <w:sz w:val="14"/>
                <w:szCs w:val="14"/>
                <w:color w:val="auto"/>
              </w:rPr>
              <w:t>579</w:t>
            </w:r>
          </w:p>
        </w:tc>
        <w:tc>
          <w:tcPr>
            <w:tcW w:w="8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3"/>
        </w:trPr>
        <w:tc>
          <w:tcPr>
            <w:tcW w:w="2280" w:type="dxa"/>
            <w:vAlign w:val="bottom"/>
            <w:tcBorders>
              <w:bottom w:val="single" w:sz="8" w:color="8C8272"/>
            </w:tcBorders>
          </w:tcPr>
          <w:p>
            <w:pPr>
              <w:ind w:left="140"/>
              <w:spacing w:after="0"/>
              <w:rPr>
                <w:sz w:val="20"/>
                <w:szCs w:val="20"/>
                <w:color w:val="auto"/>
              </w:rPr>
            </w:pPr>
            <w:r>
              <w:rPr>
                <w:rFonts w:ascii="Arial" w:cs="Arial" w:eastAsia="Arial" w:hAnsi="Arial"/>
                <w:sz w:val="14"/>
                <w:szCs w:val="14"/>
                <w:b w:val="1"/>
                <w:bCs w:val="1"/>
                <w:color w:val="auto"/>
              </w:rPr>
              <w:t>Operating income</w:t>
            </w:r>
          </w:p>
        </w:tc>
        <w:tc>
          <w:tcPr>
            <w:tcW w:w="8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$255</w:t>
            </w:r>
          </w:p>
        </w:tc>
        <w:tc>
          <w:tcPr>
            <w:tcW w:w="1540" w:type="dxa"/>
            <w:vAlign w:val="bottom"/>
            <w:tcBorders>
              <w:bottom w:val="single" w:sz="8" w:color="8C8272"/>
            </w:tcBorders>
          </w:tcPr>
          <w:p>
            <w:pPr>
              <w:jc w:val="right"/>
              <w:ind w:right="488"/>
              <w:spacing w:after="0"/>
              <w:rPr>
                <w:sz w:val="20"/>
                <w:szCs w:val="20"/>
                <w:color w:val="auto"/>
              </w:rPr>
            </w:pPr>
            <w:r>
              <w:rPr>
                <w:rFonts w:ascii="Arial" w:cs="Arial" w:eastAsia="Arial" w:hAnsi="Arial"/>
                <w:sz w:val="14"/>
                <w:szCs w:val="14"/>
                <w:b w:val="1"/>
                <w:bCs w:val="1"/>
                <w:color w:val="auto"/>
              </w:rPr>
              <w:t>$99</w:t>
            </w:r>
          </w:p>
        </w:tc>
        <w:tc>
          <w:tcPr>
            <w:tcW w:w="62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$(33)</w:t>
            </w:r>
          </w:p>
        </w:tc>
        <w:tc>
          <w:tcPr>
            <w:tcW w:w="1080" w:type="dxa"/>
            <w:vAlign w:val="bottom"/>
            <w:tcBorders>
              <w:bottom w:val="single" w:sz="8" w:color="8C8272"/>
            </w:tcBorders>
          </w:tcPr>
          <w:p>
            <w:pPr>
              <w:jc w:val="right"/>
              <w:ind w:right="188"/>
              <w:spacing w:after="0"/>
              <w:rPr>
                <w:sz w:val="20"/>
                <w:szCs w:val="20"/>
                <w:color w:val="auto"/>
              </w:rPr>
            </w:pPr>
            <w:r>
              <w:rPr>
                <w:rFonts w:ascii="Arial" w:cs="Arial" w:eastAsia="Arial" w:hAnsi="Arial"/>
                <w:sz w:val="14"/>
                <w:szCs w:val="14"/>
                <w:b w:val="1"/>
                <w:bCs w:val="1"/>
                <w:color w:val="auto"/>
              </w:rPr>
              <w:t>$321</w:t>
            </w:r>
          </w:p>
        </w:tc>
        <w:tc>
          <w:tcPr>
            <w:tcW w:w="8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$318</w:t>
            </w:r>
          </w:p>
        </w:tc>
        <w:tc>
          <w:tcPr>
            <w:tcW w:w="1560" w:type="dxa"/>
            <w:vAlign w:val="bottom"/>
            <w:tcBorders>
              <w:bottom w:val="single" w:sz="8" w:color="8C8272"/>
            </w:tcBorders>
          </w:tcPr>
          <w:p>
            <w:pPr>
              <w:jc w:val="right"/>
              <w:ind w:right="468"/>
              <w:spacing w:after="0"/>
              <w:rPr>
                <w:sz w:val="20"/>
                <w:szCs w:val="20"/>
                <w:color w:val="auto"/>
              </w:rPr>
            </w:pPr>
            <w:r>
              <w:rPr>
                <w:rFonts w:ascii="Arial" w:cs="Arial" w:eastAsia="Arial" w:hAnsi="Arial"/>
                <w:sz w:val="14"/>
                <w:szCs w:val="14"/>
                <w:b w:val="1"/>
                <w:bCs w:val="1"/>
                <w:color w:val="auto"/>
              </w:rPr>
              <w:t>$105</w:t>
            </w:r>
          </w:p>
        </w:tc>
        <w:tc>
          <w:tcPr>
            <w:tcW w:w="64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$(34)</w:t>
            </w:r>
          </w:p>
        </w:tc>
        <w:tc>
          <w:tcPr>
            <w:tcW w:w="100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b w:val="1"/>
                <w:bCs w:val="1"/>
                <w:color w:val="auto"/>
              </w:rPr>
              <w:t>$389</w:t>
            </w:r>
          </w:p>
        </w:tc>
        <w:tc>
          <w:tcPr>
            <w:tcW w:w="8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$(68)</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CECONY’s results of electric operations for the three months ended June 30, 2021 compared with the 2020 period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Borders>
              <w:bottom w:val="single" w:sz="8" w:color="8C8272"/>
            </w:tcBorders>
          </w:tcPr>
          <w:p>
            <w:pPr>
              <w:spacing w:after="0"/>
              <w:rPr>
                <w:sz w:val="16"/>
                <w:szCs w:val="16"/>
                <w:color w:val="auto"/>
              </w:rPr>
            </w:pPr>
          </w:p>
        </w:tc>
        <w:tc>
          <w:tcPr>
            <w:tcW w:w="5380" w:type="dxa"/>
            <w:vAlign w:val="bottom"/>
            <w:tcBorders>
              <w:bottom w:val="single" w:sz="8" w:color="8C8272"/>
            </w:tcBorders>
            <w:gridSpan w:val="2"/>
          </w:tcPr>
          <w:p>
            <w:pPr>
              <w:jc w:val="right"/>
              <w:ind w:right="768"/>
              <w:spacing w:after="0"/>
              <w:rPr>
                <w:sz w:val="20"/>
                <w:szCs w:val="20"/>
                <w:color w:val="auto"/>
              </w:rPr>
            </w:pPr>
            <w:r>
              <w:rPr>
                <w:rFonts w:ascii="Arial" w:cs="Arial" w:eastAsia="Arial" w:hAnsi="Arial"/>
                <w:sz w:val="14"/>
                <w:szCs w:val="14"/>
                <w:b w:val="1"/>
                <w:bCs w:val="1"/>
                <w:color w:val="auto"/>
              </w:rPr>
              <w:t>For the Three Months Ended</w:t>
            </w:r>
          </w:p>
        </w:tc>
        <w:tc>
          <w:tcPr>
            <w:tcW w:w="1040" w:type="dxa"/>
            <w:vAlign w:val="bottom"/>
            <w:tcBorders>
              <w:bottom w:val="single" w:sz="8" w:color="8C8272"/>
            </w:tcBorders>
          </w:tcPr>
          <w:p>
            <w:pPr>
              <w:spacing w:after="0"/>
              <w:rPr>
                <w:sz w:val="16"/>
                <w:szCs w:val="16"/>
                <w:color w:val="auto"/>
              </w:rPr>
            </w:pPr>
          </w:p>
        </w:tc>
      </w:tr>
      <w:tr>
        <w:trPr>
          <w:trHeight w:val="183"/>
        </w:trPr>
        <w:tc>
          <w:tcPr>
            <w:tcW w:w="482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78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June 30, 2021</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June 30, 2020</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r>
      <w:tr>
        <w:trPr>
          <w:trHeight w:val="183"/>
        </w:trPr>
        <w:tc>
          <w:tcPr>
            <w:tcW w:w="4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revenues</w:t>
            </w:r>
          </w:p>
        </w:tc>
        <w:tc>
          <w:tcPr>
            <w:tcW w:w="37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$1,963</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$1,845</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$118</w:t>
            </w:r>
          </w:p>
        </w:tc>
      </w:tr>
      <w:tr>
        <w:trPr>
          <w:trHeight w:val="189"/>
        </w:trPr>
        <w:tc>
          <w:tcPr>
            <w:tcW w:w="4820" w:type="dxa"/>
            <w:vAlign w:val="bottom"/>
          </w:tcPr>
          <w:p>
            <w:pPr>
              <w:ind w:left="20"/>
              <w:spacing w:after="0"/>
              <w:rPr>
                <w:sz w:val="20"/>
                <w:szCs w:val="20"/>
                <w:color w:val="auto"/>
              </w:rPr>
            </w:pPr>
            <w:r>
              <w:rPr>
                <w:rFonts w:ascii="Arial" w:cs="Arial" w:eastAsia="Arial" w:hAnsi="Arial"/>
                <w:sz w:val="14"/>
                <w:szCs w:val="14"/>
                <w:color w:val="auto"/>
              </w:rPr>
              <w:t>Purchased power</w:t>
            </w:r>
          </w:p>
        </w:tc>
        <w:tc>
          <w:tcPr>
            <w:tcW w:w="3780" w:type="dxa"/>
            <w:vAlign w:val="bottom"/>
          </w:tcPr>
          <w:p>
            <w:pPr>
              <w:jc w:val="right"/>
              <w:ind w:right="168"/>
              <w:spacing w:after="0"/>
              <w:rPr>
                <w:sz w:val="20"/>
                <w:szCs w:val="20"/>
                <w:color w:val="auto"/>
              </w:rPr>
            </w:pPr>
            <w:r>
              <w:rPr>
                <w:rFonts w:ascii="Arial" w:cs="Arial" w:eastAsia="Arial" w:hAnsi="Arial"/>
                <w:sz w:val="14"/>
                <w:szCs w:val="14"/>
                <w:color w:val="auto"/>
              </w:rPr>
              <w:t>411</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340</w:t>
            </w:r>
          </w:p>
        </w:tc>
        <w:tc>
          <w:tcPr>
            <w:tcW w:w="104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89"/>
        </w:trPr>
        <w:tc>
          <w:tcPr>
            <w:tcW w:w="4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Fuel</w:t>
            </w:r>
          </w:p>
        </w:tc>
        <w:tc>
          <w:tcPr>
            <w:tcW w:w="37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23</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7</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w:t>
            </w:r>
          </w:p>
        </w:tc>
      </w:tr>
      <w:tr>
        <w:trPr>
          <w:trHeight w:val="189"/>
        </w:trPr>
        <w:tc>
          <w:tcPr>
            <w:tcW w:w="4820" w:type="dxa"/>
            <w:vAlign w:val="bottom"/>
          </w:tcPr>
          <w:p>
            <w:pPr>
              <w:ind w:left="20"/>
              <w:spacing w:after="0"/>
              <w:rPr>
                <w:sz w:val="20"/>
                <w:szCs w:val="20"/>
                <w:color w:val="auto"/>
              </w:rPr>
            </w:pPr>
            <w:r>
              <w:rPr>
                <w:rFonts w:ascii="Arial" w:cs="Arial" w:eastAsia="Arial" w:hAnsi="Arial"/>
                <w:sz w:val="14"/>
                <w:szCs w:val="14"/>
                <w:color w:val="auto"/>
              </w:rPr>
              <w:t>Other operations and maintenance</w:t>
            </w:r>
          </w:p>
        </w:tc>
        <w:tc>
          <w:tcPr>
            <w:tcW w:w="3780" w:type="dxa"/>
            <w:vAlign w:val="bottom"/>
          </w:tcPr>
          <w:p>
            <w:pPr>
              <w:jc w:val="right"/>
              <w:ind w:right="168"/>
              <w:spacing w:after="0"/>
              <w:rPr>
                <w:sz w:val="20"/>
                <w:szCs w:val="20"/>
                <w:color w:val="auto"/>
              </w:rPr>
            </w:pPr>
            <w:r>
              <w:rPr>
                <w:rFonts w:ascii="Arial" w:cs="Arial" w:eastAsia="Arial" w:hAnsi="Arial"/>
                <w:sz w:val="14"/>
                <w:szCs w:val="14"/>
                <w:color w:val="auto"/>
              </w:rPr>
              <w:t>460</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422</w:t>
            </w:r>
          </w:p>
        </w:tc>
        <w:tc>
          <w:tcPr>
            <w:tcW w:w="10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89"/>
        </w:trPr>
        <w:tc>
          <w:tcPr>
            <w:tcW w:w="4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Depreciation and amortization</w:t>
            </w:r>
          </w:p>
        </w:tc>
        <w:tc>
          <w:tcPr>
            <w:tcW w:w="37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320</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301</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w:t>
            </w:r>
          </w:p>
        </w:tc>
      </w:tr>
      <w:tr>
        <w:trPr>
          <w:trHeight w:val="189"/>
        </w:trPr>
        <w:tc>
          <w:tcPr>
            <w:tcW w:w="48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Taxes, other than income taxes</w:t>
            </w:r>
          </w:p>
        </w:tc>
        <w:tc>
          <w:tcPr>
            <w:tcW w:w="378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color w:val="auto"/>
              </w:rPr>
              <w:t>494</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color w:val="auto"/>
              </w:rPr>
              <w:t>457</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37</w:t>
            </w:r>
          </w:p>
        </w:tc>
      </w:tr>
      <w:tr>
        <w:trPr>
          <w:trHeight w:val="183"/>
        </w:trPr>
        <w:tc>
          <w:tcPr>
            <w:tcW w:w="482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b w:val="1"/>
                <w:bCs w:val="1"/>
                <w:color w:val="auto"/>
              </w:rPr>
              <w:t>Electric operating income</w:t>
            </w:r>
          </w:p>
        </w:tc>
        <w:tc>
          <w:tcPr>
            <w:tcW w:w="3780" w:type="dxa"/>
            <w:vAlign w:val="bottom"/>
            <w:tcBorders>
              <w:bottom w:val="single" w:sz="8" w:color="8C8272"/>
            </w:tcBorders>
            <w:shd w:val="clear" w:color="auto" w:fill="E5E5E5"/>
          </w:tcPr>
          <w:p>
            <w:pPr>
              <w:jc w:val="right"/>
              <w:ind w:right="168"/>
              <w:spacing w:after="0"/>
              <w:rPr>
                <w:sz w:val="20"/>
                <w:szCs w:val="20"/>
                <w:color w:val="auto"/>
              </w:rPr>
            </w:pPr>
            <w:r>
              <w:rPr>
                <w:rFonts w:ascii="Arial" w:cs="Arial" w:eastAsia="Arial" w:hAnsi="Arial"/>
                <w:sz w:val="14"/>
                <w:szCs w:val="14"/>
                <w:b w:val="1"/>
                <w:bCs w:val="1"/>
                <w:color w:val="auto"/>
              </w:rPr>
              <w:t>$255</w:t>
            </w:r>
          </w:p>
        </w:tc>
        <w:tc>
          <w:tcPr>
            <w:tcW w:w="1600" w:type="dxa"/>
            <w:vAlign w:val="bottom"/>
            <w:tcBorders>
              <w:bottom w:val="single" w:sz="8" w:color="8C8272"/>
            </w:tcBorders>
            <w:shd w:val="clear" w:color="auto" w:fill="E5E5E5"/>
          </w:tcPr>
          <w:p>
            <w:pPr>
              <w:jc w:val="right"/>
              <w:ind w:right="328"/>
              <w:spacing w:after="0"/>
              <w:rPr>
                <w:sz w:val="20"/>
                <w:szCs w:val="20"/>
                <w:color w:val="auto"/>
              </w:rPr>
            </w:pPr>
            <w:r>
              <w:rPr>
                <w:rFonts w:ascii="Arial" w:cs="Arial" w:eastAsia="Arial" w:hAnsi="Arial"/>
                <w:sz w:val="14"/>
                <w:szCs w:val="14"/>
                <w:b w:val="1"/>
                <w:bCs w:val="1"/>
                <w:color w:val="auto"/>
              </w:rPr>
              <w:t>$318</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$(63)</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CECONY’s electric sales and deliveries for the three months ended June 30, 2021 compared with the 2020 period were: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80" w:type="dxa"/>
            <w:vAlign w:val="bottom"/>
            <w:tcBorders>
              <w:bottom w:val="single" w:sz="8" w:color="8C8272"/>
            </w:tcBorders>
          </w:tcPr>
          <w:p>
            <w:pPr>
              <w:spacing w:after="0"/>
              <w:rPr>
                <w:sz w:val="16"/>
                <w:szCs w:val="16"/>
                <w:color w:val="auto"/>
              </w:rPr>
            </w:pPr>
          </w:p>
        </w:tc>
        <w:tc>
          <w:tcPr>
            <w:tcW w:w="1200" w:type="dxa"/>
            <w:vAlign w:val="bottom"/>
            <w:tcBorders>
              <w:bottom w:val="single" w:sz="8" w:color="8C8272"/>
            </w:tcBorders>
          </w:tcPr>
          <w:p>
            <w:pPr>
              <w:spacing w:after="0"/>
              <w:rPr>
                <w:sz w:val="16"/>
                <w:szCs w:val="16"/>
                <w:color w:val="auto"/>
              </w:rPr>
            </w:pPr>
          </w:p>
        </w:tc>
        <w:tc>
          <w:tcPr>
            <w:tcW w:w="2100" w:type="dxa"/>
            <w:vAlign w:val="bottom"/>
            <w:tcBorders>
              <w:bottom w:val="single" w:sz="8" w:color="8C8272"/>
            </w:tcBorders>
            <w:gridSpan w:val="2"/>
          </w:tcPr>
          <w:p>
            <w:pPr>
              <w:jc w:val="right"/>
              <w:ind w:right="228"/>
              <w:spacing w:after="0"/>
              <w:rPr>
                <w:sz w:val="20"/>
                <w:szCs w:val="20"/>
                <w:color w:val="auto"/>
              </w:rPr>
            </w:pPr>
            <w:r>
              <w:rPr>
                <w:rFonts w:ascii="Arial" w:cs="Arial" w:eastAsia="Arial" w:hAnsi="Arial"/>
                <w:sz w:val="14"/>
                <w:szCs w:val="14"/>
                <w:b w:val="1"/>
                <w:bCs w:val="1"/>
                <w:color w:val="auto"/>
              </w:rPr>
              <w:t>Millions of kWh Delivered</w:t>
            </w:r>
          </w:p>
        </w:tc>
        <w:tc>
          <w:tcPr>
            <w:tcW w:w="1020" w:type="dxa"/>
            <w:vAlign w:val="bottom"/>
            <w:tcBorders>
              <w:bottom w:val="single" w:sz="8" w:color="8C8272"/>
            </w:tcBorders>
          </w:tcPr>
          <w:p>
            <w:pPr>
              <w:spacing w:after="0"/>
              <w:rPr>
                <w:sz w:val="16"/>
                <w:szCs w:val="16"/>
                <w:color w:val="auto"/>
              </w:rPr>
            </w:pPr>
          </w:p>
        </w:tc>
        <w:tc>
          <w:tcPr>
            <w:tcW w:w="420" w:type="dxa"/>
            <w:vAlign w:val="bottom"/>
            <w:tcBorders>
              <w:bottom w:val="single" w:sz="8" w:color="828282"/>
            </w:tcBorders>
          </w:tcPr>
          <w:p>
            <w:pPr>
              <w:spacing w:after="0"/>
              <w:rPr>
                <w:sz w:val="16"/>
                <w:szCs w:val="16"/>
                <w:color w:val="auto"/>
              </w:rPr>
            </w:pPr>
          </w:p>
        </w:tc>
        <w:tc>
          <w:tcPr>
            <w:tcW w:w="1280" w:type="dxa"/>
            <w:vAlign w:val="bottom"/>
            <w:tcBorders>
              <w:bottom w:val="single" w:sz="8" w:color="8C8272"/>
            </w:tcBorders>
          </w:tcPr>
          <w:p>
            <w:pPr>
              <w:spacing w:after="0"/>
              <w:rPr>
                <w:sz w:val="16"/>
                <w:szCs w:val="16"/>
                <w:color w:val="auto"/>
              </w:rPr>
            </w:pPr>
          </w:p>
        </w:tc>
        <w:tc>
          <w:tcPr>
            <w:tcW w:w="2080" w:type="dxa"/>
            <w:vAlign w:val="bottom"/>
            <w:tcBorders>
              <w:bottom w:val="single" w:sz="8" w:color="8C8272"/>
            </w:tcBorders>
            <w:gridSpan w:val="2"/>
          </w:tcPr>
          <w:p>
            <w:pPr>
              <w:jc w:val="right"/>
              <w:ind w:right="288"/>
              <w:spacing w:after="0"/>
              <w:rPr>
                <w:sz w:val="20"/>
                <w:szCs w:val="20"/>
                <w:color w:val="auto"/>
              </w:rPr>
            </w:pPr>
            <w:r>
              <w:rPr>
                <w:rFonts w:ascii="Arial" w:cs="Arial" w:eastAsia="Arial" w:hAnsi="Arial"/>
                <w:sz w:val="14"/>
                <w:szCs w:val="14"/>
                <w:b w:val="1"/>
                <w:bCs w:val="1"/>
                <w:color w:val="auto"/>
              </w:rPr>
              <w:t>Revenues in Millions (a)</w:t>
            </w:r>
          </w:p>
        </w:tc>
        <w:tc>
          <w:tcPr>
            <w:tcW w:w="1020" w:type="dxa"/>
            <w:vAlign w:val="bottom"/>
            <w:tcBorders>
              <w:bottom w:val="single" w:sz="8" w:color="8C8272"/>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80" w:type="dxa"/>
            <w:vAlign w:val="bottom"/>
            <w:tcBorders>
              <w:bottom w:val="single" w:sz="8" w:color="8C8272"/>
            </w:tcBorders>
          </w:tcPr>
          <w:p>
            <w:pPr>
              <w:spacing w:after="0"/>
              <w:rPr>
                <w:sz w:val="19"/>
                <w:szCs w:val="19"/>
                <w:color w:val="auto"/>
              </w:rPr>
            </w:pPr>
          </w:p>
        </w:tc>
        <w:tc>
          <w:tcPr>
            <w:tcW w:w="2400" w:type="dxa"/>
            <w:vAlign w:val="bottom"/>
            <w:tcBorders>
              <w:bottom w:val="single" w:sz="8" w:color="8C8272"/>
            </w:tcBorders>
            <w:gridSpan w:val="2"/>
          </w:tcPr>
          <w:p>
            <w:pPr>
              <w:jc w:val="right"/>
              <w:ind w:right="168"/>
              <w:spacing w:after="0"/>
              <w:rPr>
                <w:sz w:val="20"/>
                <w:szCs w:val="20"/>
                <w:color w:val="auto"/>
              </w:rPr>
            </w:pPr>
            <w:r>
              <w:rPr>
                <w:rFonts w:ascii="Arial" w:cs="Arial" w:eastAsia="Arial" w:hAnsi="Arial"/>
                <w:sz w:val="14"/>
                <w:szCs w:val="14"/>
                <w:b w:val="1"/>
                <w:bCs w:val="1"/>
                <w:color w:val="auto"/>
              </w:rPr>
              <w:t>For the Three Months Ended</w:t>
            </w:r>
          </w:p>
        </w:tc>
        <w:tc>
          <w:tcPr>
            <w:tcW w:w="900" w:type="dxa"/>
            <w:vAlign w:val="bottom"/>
            <w:tcBorders>
              <w:bottom w:val="single" w:sz="8" w:color="8C8272"/>
            </w:tcBorders>
          </w:tcPr>
          <w:p>
            <w:pPr>
              <w:spacing w:after="0"/>
              <w:rPr>
                <w:sz w:val="19"/>
                <w:szCs w:val="19"/>
                <w:color w:val="auto"/>
              </w:rPr>
            </w:pPr>
          </w:p>
        </w:tc>
        <w:tc>
          <w:tcPr>
            <w:tcW w:w="1020" w:type="dxa"/>
            <w:vAlign w:val="bottom"/>
            <w:tcBorders>
              <w:bottom w:val="single" w:sz="8" w:color="8C8272"/>
            </w:tcBorders>
          </w:tcPr>
          <w:p>
            <w:pPr>
              <w:spacing w:after="0"/>
              <w:rPr>
                <w:sz w:val="19"/>
                <w:szCs w:val="19"/>
                <w:color w:val="auto"/>
              </w:rPr>
            </w:pPr>
          </w:p>
        </w:tc>
        <w:tc>
          <w:tcPr>
            <w:tcW w:w="420" w:type="dxa"/>
            <w:vAlign w:val="bottom"/>
            <w:tcBorders>
              <w:bottom w:val="single" w:sz="8" w:color="828282"/>
            </w:tcBorders>
          </w:tcPr>
          <w:p>
            <w:pPr>
              <w:spacing w:after="0"/>
              <w:rPr>
                <w:sz w:val="19"/>
                <w:szCs w:val="19"/>
                <w:color w:val="auto"/>
              </w:rPr>
            </w:pPr>
          </w:p>
        </w:tc>
        <w:tc>
          <w:tcPr>
            <w:tcW w:w="2440" w:type="dxa"/>
            <w:vAlign w:val="bottom"/>
            <w:tcBorders>
              <w:bottom w:val="single" w:sz="8" w:color="8C8272"/>
            </w:tcBorders>
            <w:gridSpan w:val="2"/>
          </w:tcPr>
          <w:p>
            <w:pPr>
              <w:jc w:val="right"/>
              <w:ind w:right="168"/>
              <w:spacing w:after="0"/>
              <w:rPr>
                <w:sz w:val="20"/>
                <w:szCs w:val="20"/>
                <w:color w:val="auto"/>
              </w:rPr>
            </w:pPr>
            <w:r>
              <w:rPr>
                <w:rFonts w:ascii="Arial" w:cs="Arial" w:eastAsia="Arial" w:hAnsi="Arial"/>
                <w:sz w:val="14"/>
                <w:szCs w:val="14"/>
                <w:b w:val="1"/>
                <w:bCs w:val="1"/>
                <w:color w:val="auto"/>
              </w:rPr>
              <w:t>For the Three Months Ended</w:t>
            </w:r>
          </w:p>
        </w:tc>
        <w:tc>
          <w:tcPr>
            <w:tcW w:w="920" w:type="dxa"/>
            <w:vAlign w:val="bottom"/>
            <w:tcBorders>
              <w:bottom w:val="single" w:sz="8" w:color="8C8272"/>
            </w:tcBorders>
          </w:tcPr>
          <w:p>
            <w:pPr>
              <w:spacing w:after="0"/>
              <w:rPr>
                <w:sz w:val="19"/>
                <w:szCs w:val="19"/>
                <w:color w:val="auto"/>
              </w:rPr>
            </w:pPr>
          </w:p>
        </w:tc>
        <w:tc>
          <w:tcPr>
            <w:tcW w:w="1020" w:type="dxa"/>
            <w:vAlign w:val="bottom"/>
            <w:tcBorders>
              <w:bottom w:val="single" w:sz="8" w:color="8C8272"/>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2021</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2020</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Variation</w:t>
            </w: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420" w:type="dxa"/>
            <w:vAlign w:val="bottom"/>
          </w:tcPr>
          <w:p>
            <w:pPr>
              <w:spacing w:after="0"/>
              <w:rPr>
                <w:sz w:val="12"/>
                <w:szCs w:val="12"/>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June 30, 2021</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2020</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Variation</w:t>
            </w: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6"/>
        </w:trPr>
        <w:tc>
          <w:tcPr>
            <w:tcW w:w="2080" w:type="dxa"/>
            <w:vAlign w:val="bottom"/>
            <w:tcBorders>
              <w:bottom w:val="single" w:sz="8" w:color="8C8272"/>
            </w:tcBorders>
            <w:vMerge w:val="continue"/>
          </w:tcPr>
          <w:p>
            <w:pPr>
              <w:spacing w:after="0"/>
              <w:rPr>
                <w:sz w:val="15"/>
                <w:szCs w:val="15"/>
                <w:color w:val="auto"/>
              </w:rPr>
            </w:pPr>
          </w:p>
        </w:tc>
        <w:tc>
          <w:tcPr>
            <w:tcW w:w="1200" w:type="dxa"/>
            <w:vAlign w:val="bottom"/>
            <w:tcBorders>
              <w:bottom w:val="single" w:sz="8" w:color="8C8272"/>
            </w:tcBorders>
            <w:vMerge w:val="continue"/>
          </w:tcPr>
          <w:p>
            <w:pPr>
              <w:spacing w:after="0"/>
              <w:rPr>
                <w:sz w:val="15"/>
                <w:szCs w:val="15"/>
                <w:color w:val="auto"/>
              </w:rPr>
            </w:pPr>
          </w:p>
        </w:tc>
        <w:tc>
          <w:tcPr>
            <w:tcW w:w="1200" w:type="dxa"/>
            <w:vAlign w:val="bottom"/>
            <w:tcBorders>
              <w:bottom w:val="single" w:sz="8" w:color="8C8272"/>
            </w:tcBorders>
            <w:vMerge w:val="continue"/>
          </w:tcPr>
          <w:p>
            <w:pPr>
              <w:spacing w:after="0"/>
              <w:rPr>
                <w:sz w:val="15"/>
                <w:szCs w:val="15"/>
                <w:color w:val="auto"/>
              </w:rPr>
            </w:pPr>
          </w:p>
        </w:tc>
        <w:tc>
          <w:tcPr>
            <w:tcW w:w="900" w:type="dxa"/>
            <w:vAlign w:val="bottom"/>
            <w:tcBorders>
              <w:bottom w:val="single" w:sz="8" w:color="8C8272"/>
            </w:tcBorders>
            <w:vMerge w:val="continue"/>
          </w:tcPr>
          <w:p>
            <w:pPr>
              <w:spacing w:after="0"/>
              <w:rPr>
                <w:sz w:val="15"/>
                <w:szCs w:val="15"/>
                <w:color w:val="auto"/>
              </w:rPr>
            </w:pPr>
          </w:p>
        </w:tc>
        <w:tc>
          <w:tcPr>
            <w:tcW w:w="10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c>
          <w:tcPr>
            <w:tcW w:w="420" w:type="dxa"/>
            <w:vAlign w:val="bottom"/>
            <w:tcBorders>
              <w:bottom w:val="single" w:sz="8" w:color="828282"/>
            </w:tcBorders>
          </w:tcPr>
          <w:p>
            <w:pPr>
              <w:spacing w:after="0"/>
              <w:rPr>
                <w:sz w:val="15"/>
                <w:szCs w:val="15"/>
                <w:color w:val="auto"/>
              </w:rPr>
            </w:pPr>
          </w:p>
        </w:tc>
        <w:tc>
          <w:tcPr>
            <w:tcW w:w="1280" w:type="dxa"/>
            <w:vAlign w:val="bottom"/>
            <w:tcBorders>
              <w:bottom w:val="single" w:sz="8" w:color="8C8272"/>
            </w:tcBorders>
            <w:vMerge w:val="continue"/>
          </w:tcPr>
          <w:p>
            <w:pPr>
              <w:spacing w:after="0"/>
              <w:rPr>
                <w:sz w:val="15"/>
                <w:szCs w:val="15"/>
                <w:color w:val="auto"/>
              </w:rPr>
            </w:pPr>
          </w:p>
        </w:tc>
        <w:tc>
          <w:tcPr>
            <w:tcW w:w="1160" w:type="dxa"/>
            <w:vAlign w:val="bottom"/>
            <w:tcBorders>
              <w:bottom w:val="single" w:sz="8" w:color="8C8272"/>
            </w:tcBorders>
            <w:vMerge w:val="continue"/>
          </w:tcPr>
          <w:p>
            <w:pPr>
              <w:spacing w:after="0"/>
              <w:rPr>
                <w:sz w:val="15"/>
                <w:szCs w:val="15"/>
                <w:color w:val="auto"/>
              </w:rPr>
            </w:pPr>
          </w:p>
        </w:tc>
        <w:tc>
          <w:tcPr>
            <w:tcW w:w="920" w:type="dxa"/>
            <w:vAlign w:val="bottom"/>
            <w:tcBorders>
              <w:bottom w:val="single" w:sz="8" w:color="8C8272"/>
            </w:tcBorders>
            <w:vMerge w:val="continue"/>
          </w:tcPr>
          <w:p>
            <w:pPr>
              <w:spacing w:after="0"/>
              <w:rPr>
                <w:sz w:val="15"/>
                <w:szCs w:val="15"/>
                <w:color w:val="auto"/>
              </w:rPr>
            </w:pPr>
          </w:p>
        </w:tc>
        <w:tc>
          <w:tcPr>
            <w:tcW w:w="10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83"/>
        </w:trPr>
        <w:tc>
          <w:tcPr>
            <w:tcW w:w="2080" w:type="dxa"/>
            <w:vAlign w:val="bottom"/>
            <w:shd w:val="clear" w:color="auto" w:fill="E5E5E5"/>
          </w:tcPr>
          <w:p>
            <w:pPr>
              <w:ind w:left="20"/>
              <w:spacing w:after="0"/>
              <w:rPr>
                <w:sz w:val="20"/>
                <w:szCs w:val="20"/>
                <w:color w:val="auto"/>
              </w:rPr>
            </w:pPr>
            <w:r>
              <w:rPr>
                <w:rFonts w:ascii="Arial" w:cs="Arial" w:eastAsia="Arial" w:hAnsi="Arial"/>
                <w:sz w:val="14"/>
                <w:szCs w:val="14"/>
                <w:color w:val="auto"/>
              </w:rPr>
              <w:t>Residential/Religious (b)</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2,316</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2,294</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w:t>
            </w: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1.0 %</w:t>
            </w:r>
          </w:p>
        </w:tc>
        <w:tc>
          <w:tcPr>
            <w:tcW w:w="420" w:type="dxa"/>
            <w:vAlign w:val="bottom"/>
            <w:shd w:val="clear" w:color="auto" w:fill="E5E5E5"/>
          </w:tcPr>
          <w:p>
            <w:pPr>
              <w:spacing w:after="0"/>
              <w:rPr>
                <w:sz w:val="15"/>
                <w:szCs w:val="15"/>
                <w:color w:val="auto"/>
              </w:rPr>
            </w:pPr>
          </w:p>
        </w:tc>
        <w:tc>
          <w:tcPr>
            <w:tcW w:w="12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$637</w:t>
            </w: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$616</w:t>
            </w: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w:t>
            </w: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Commercial/Industrial</w:t>
            </w:r>
          </w:p>
        </w:tc>
        <w:tc>
          <w:tcPr>
            <w:tcW w:w="1200" w:type="dxa"/>
            <w:vAlign w:val="bottom"/>
          </w:tcPr>
          <w:p>
            <w:pPr>
              <w:jc w:val="right"/>
              <w:spacing w:after="0"/>
              <w:rPr>
                <w:sz w:val="20"/>
                <w:szCs w:val="20"/>
                <w:color w:val="auto"/>
              </w:rPr>
            </w:pPr>
            <w:r>
              <w:rPr>
                <w:rFonts w:ascii="Arial" w:cs="Arial" w:eastAsia="Arial" w:hAnsi="Arial"/>
                <w:sz w:val="14"/>
                <w:szCs w:val="14"/>
                <w:color w:val="auto"/>
              </w:rPr>
              <w:t>1,982</w:t>
            </w:r>
          </w:p>
        </w:tc>
        <w:tc>
          <w:tcPr>
            <w:tcW w:w="1200" w:type="dxa"/>
            <w:vAlign w:val="bottom"/>
          </w:tcPr>
          <w:p>
            <w:pPr>
              <w:jc w:val="right"/>
              <w:spacing w:after="0"/>
              <w:rPr>
                <w:sz w:val="20"/>
                <w:szCs w:val="20"/>
                <w:color w:val="auto"/>
              </w:rPr>
            </w:pPr>
            <w:r>
              <w:rPr>
                <w:rFonts w:ascii="Arial" w:cs="Arial" w:eastAsia="Arial" w:hAnsi="Arial"/>
                <w:sz w:val="14"/>
                <w:szCs w:val="14"/>
                <w:color w:val="auto"/>
              </w:rPr>
              <w:t>2,117</w:t>
            </w:r>
          </w:p>
        </w:tc>
        <w:tc>
          <w:tcPr>
            <w:tcW w:w="900" w:type="dxa"/>
            <w:vAlign w:val="bottom"/>
          </w:tcPr>
          <w:p>
            <w:pPr>
              <w:jc w:val="right"/>
              <w:spacing w:after="0"/>
              <w:rPr>
                <w:sz w:val="20"/>
                <w:szCs w:val="20"/>
                <w:color w:val="auto"/>
              </w:rPr>
            </w:pPr>
            <w:r>
              <w:rPr>
                <w:rFonts w:ascii="Arial" w:cs="Arial" w:eastAsia="Arial" w:hAnsi="Arial"/>
                <w:sz w:val="14"/>
                <w:szCs w:val="14"/>
                <w:color w:val="auto"/>
              </w:rPr>
              <w:t>(135)</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(6.4)</w:t>
            </w:r>
          </w:p>
        </w:tc>
        <w:tc>
          <w:tcPr>
            <w:tcW w:w="42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477</w:t>
            </w:r>
          </w:p>
        </w:tc>
        <w:tc>
          <w:tcPr>
            <w:tcW w:w="1160" w:type="dxa"/>
            <w:vAlign w:val="bottom"/>
          </w:tcPr>
          <w:p>
            <w:pPr>
              <w:jc w:val="right"/>
              <w:spacing w:after="0"/>
              <w:rPr>
                <w:sz w:val="20"/>
                <w:szCs w:val="20"/>
                <w:color w:val="auto"/>
              </w:rPr>
            </w:pPr>
            <w:r>
              <w:rPr>
                <w:rFonts w:ascii="Arial" w:cs="Arial" w:eastAsia="Arial" w:hAnsi="Arial"/>
                <w:sz w:val="14"/>
                <w:szCs w:val="14"/>
                <w:color w:val="auto"/>
              </w:rPr>
              <w:t>414</w:t>
            </w:r>
          </w:p>
        </w:tc>
        <w:tc>
          <w:tcPr>
            <w:tcW w:w="920" w:type="dxa"/>
            <w:vAlign w:val="bottom"/>
          </w:tcPr>
          <w:p>
            <w:pPr>
              <w:jc w:val="right"/>
              <w:spacing w:after="0"/>
              <w:rPr>
                <w:sz w:val="20"/>
                <w:szCs w:val="20"/>
                <w:color w:val="auto"/>
              </w:rPr>
            </w:pPr>
            <w:r>
              <w:rPr>
                <w:rFonts w:ascii="Arial" w:cs="Arial" w:eastAsia="Arial" w:hAnsi="Arial"/>
                <w:sz w:val="14"/>
                <w:szCs w:val="14"/>
                <w:color w:val="auto"/>
              </w:rPr>
              <w:t>63</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9"/>
        </w:trPr>
        <w:tc>
          <w:tcPr>
            <w:tcW w:w="2080" w:type="dxa"/>
            <w:vAlign w:val="bottom"/>
            <w:shd w:val="clear" w:color="auto" w:fill="E5E5E5"/>
          </w:tcPr>
          <w:p>
            <w:pPr>
              <w:ind w:left="20"/>
              <w:spacing w:after="0"/>
              <w:rPr>
                <w:sz w:val="20"/>
                <w:szCs w:val="20"/>
                <w:color w:val="auto"/>
              </w:rPr>
            </w:pPr>
            <w:r>
              <w:rPr>
                <w:rFonts w:ascii="Arial" w:cs="Arial" w:eastAsia="Arial" w:hAnsi="Arial"/>
                <w:sz w:val="14"/>
                <w:szCs w:val="14"/>
                <w:color w:val="auto"/>
              </w:rPr>
              <w:t>Retail choice customers</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4,807</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5,007</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(200)</w:t>
            </w:r>
          </w:p>
        </w:tc>
        <w:tc>
          <w:tcPr>
            <w:tcW w:w="10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(4.0)</w:t>
            </w:r>
          </w:p>
        </w:tc>
        <w:tc>
          <w:tcPr>
            <w:tcW w:w="420" w:type="dxa"/>
            <w:vAlign w:val="bottom"/>
            <w:shd w:val="clear" w:color="auto" w:fill="E5E5E5"/>
          </w:tcPr>
          <w:p>
            <w:pPr>
              <w:spacing w:after="0"/>
              <w:rPr>
                <w:sz w:val="16"/>
                <w:szCs w:val="16"/>
                <w:color w:val="auto"/>
              </w:rPr>
            </w:pPr>
          </w:p>
        </w:tc>
        <w:tc>
          <w:tcPr>
            <w:tcW w:w="12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566</w:t>
            </w: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502</w:t>
            </w: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64</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53"/>
        </w:trPr>
        <w:tc>
          <w:tcPr>
            <w:tcW w:w="2080" w:type="dxa"/>
            <w:vAlign w:val="bottom"/>
          </w:tcPr>
          <w:p>
            <w:pPr>
              <w:ind w:left="20"/>
              <w:spacing w:after="0" w:line="153" w:lineRule="exact"/>
              <w:rPr>
                <w:sz w:val="20"/>
                <w:szCs w:val="20"/>
                <w:color w:val="auto"/>
              </w:rPr>
            </w:pPr>
            <w:r>
              <w:rPr>
                <w:rFonts w:ascii="Arial" w:cs="Arial" w:eastAsia="Arial" w:hAnsi="Arial"/>
                <w:sz w:val="14"/>
                <w:szCs w:val="14"/>
                <w:color w:val="auto"/>
              </w:rPr>
              <w:t>NYPA, Municipal Agency and</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2,099</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2,066</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20" w:type="dxa"/>
            <w:vAlign w:val="bottom"/>
            <w:vMerge w:val="restart"/>
          </w:tcPr>
          <w:p>
            <w:pPr>
              <w:jc w:val="right"/>
              <w:ind w:right="128"/>
              <w:spacing w:after="0"/>
              <w:rPr>
                <w:sz w:val="20"/>
                <w:szCs w:val="20"/>
                <w:color w:val="auto"/>
              </w:rPr>
            </w:pPr>
            <w:r>
              <w:rPr>
                <w:rFonts w:ascii="Arial" w:cs="Arial" w:eastAsia="Arial" w:hAnsi="Arial"/>
                <w:sz w:val="14"/>
                <w:szCs w:val="14"/>
                <w:color w:val="auto"/>
              </w:rPr>
              <w:t>1.6</w:t>
            </w:r>
          </w:p>
        </w:tc>
        <w:tc>
          <w:tcPr>
            <w:tcW w:w="420" w:type="dxa"/>
            <w:vAlign w:val="bottom"/>
          </w:tcPr>
          <w:p>
            <w:pPr>
              <w:spacing w:after="0"/>
              <w:rPr>
                <w:sz w:val="13"/>
                <w:szCs w:val="13"/>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160</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1"/>
        </w:trPr>
        <w:tc>
          <w:tcPr>
            <w:tcW w:w="208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other sales</w:t>
            </w:r>
          </w:p>
        </w:tc>
        <w:tc>
          <w:tcPr>
            <w:tcW w:w="1200" w:type="dxa"/>
            <w:vAlign w:val="bottom"/>
            <w:tcBorders>
              <w:bottom w:val="single" w:sz="8" w:color="8C8272"/>
            </w:tcBorders>
            <w:vMerge w:val="continue"/>
          </w:tcPr>
          <w:p>
            <w:pPr>
              <w:spacing w:after="0"/>
              <w:rPr>
                <w:sz w:val="14"/>
                <w:szCs w:val="14"/>
                <w:color w:val="auto"/>
              </w:rPr>
            </w:pPr>
          </w:p>
        </w:tc>
        <w:tc>
          <w:tcPr>
            <w:tcW w:w="1200" w:type="dxa"/>
            <w:vAlign w:val="bottom"/>
            <w:tcBorders>
              <w:bottom w:val="single" w:sz="8" w:color="8C8272"/>
            </w:tcBorders>
            <w:vMerge w:val="continue"/>
          </w:tcPr>
          <w:p>
            <w:pPr>
              <w:spacing w:after="0"/>
              <w:rPr>
                <w:sz w:val="14"/>
                <w:szCs w:val="14"/>
                <w:color w:val="auto"/>
              </w:rPr>
            </w:pPr>
          </w:p>
        </w:tc>
        <w:tc>
          <w:tcPr>
            <w:tcW w:w="900" w:type="dxa"/>
            <w:vAlign w:val="bottom"/>
            <w:tcBorders>
              <w:bottom w:val="single" w:sz="8" w:color="828282"/>
            </w:tcBorders>
            <w:vMerge w:val="continue"/>
          </w:tcPr>
          <w:p>
            <w:pPr>
              <w:spacing w:after="0"/>
              <w:rPr>
                <w:sz w:val="14"/>
                <w:szCs w:val="14"/>
                <w:color w:val="auto"/>
              </w:rPr>
            </w:pPr>
          </w:p>
        </w:tc>
        <w:tc>
          <w:tcPr>
            <w:tcW w:w="1020" w:type="dxa"/>
            <w:vAlign w:val="bottom"/>
            <w:tcBorders>
              <w:bottom w:val="single" w:sz="8" w:color="8C8272"/>
            </w:tcBorders>
            <w:vMerge w:val="continue"/>
          </w:tcPr>
          <w:p>
            <w:pPr>
              <w:spacing w:after="0"/>
              <w:rPr>
                <w:sz w:val="14"/>
                <w:szCs w:val="14"/>
                <w:color w:val="auto"/>
              </w:rPr>
            </w:pPr>
          </w:p>
        </w:tc>
        <w:tc>
          <w:tcPr>
            <w:tcW w:w="420" w:type="dxa"/>
            <w:vAlign w:val="bottom"/>
            <w:tcBorders>
              <w:bottom w:val="single" w:sz="8" w:color="828282"/>
            </w:tcBorders>
          </w:tcPr>
          <w:p>
            <w:pPr>
              <w:spacing w:after="0"/>
              <w:rPr>
                <w:sz w:val="14"/>
                <w:szCs w:val="14"/>
                <w:color w:val="auto"/>
              </w:rPr>
            </w:pPr>
          </w:p>
        </w:tc>
        <w:tc>
          <w:tcPr>
            <w:tcW w:w="1280" w:type="dxa"/>
            <w:vAlign w:val="bottom"/>
            <w:tcBorders>
              <w:bottom w:val="single" w:sz="8" w:color="8C8272"/>
            </w:tcBorders>
            <w:vMerge w:val="continue"/>
          </w:tcPr>
          <w:p>
            <w:pPr>
              <w:spacing w:after="0"/>
              <w:rPr>
                <w:sz w:val="14"/>
                <w:szCs w:val="14"/>
                <w:color w:val="auto"/>
              </w:rPr>
            </w:pPr>
          </w:p>
        </w:tc>
        <w:tc>
          <w:tcPr>
            <w:tcW w:w="1160" w:type="dxa"/>
            <w:vAlign w:val="bottom"/>
            <w:tcBorders>
              <w:bottom w:val="single" w:sz="8" w:color="8C8272"/>
            </w:tcBorders>
            <w:vMerge w:val="continue"/>
          </w:tcPr>
          <w:p>
            <w:pPr>
              <w:spacing w:after="0"/>
              <w:rPr>
                <w:sz w:val="14"/>
                <w:szCs w:val="14"/>
                <w:color w:val="auto"/>
              </w:rPr>
            </w:pPr>
          </w:p>
        </w:tc>
        <w:tc>
          <w:tcPr>
            <w:tcW w:w="920" w:type="dxa"/>
            <w:vAlign w:val="bottom"/>
            <w:tcBorders>
              <w:bottom w:val="single" w:sz="8" w:color="828282"/>
            </w:tcBorders>
            <w:vMerge w:val="continue"/>
          </w:tcPr>
          <w:p>
            <w:pPr>
              <w:spacing w:after="0"/>
              <w:rPr>
                <w:sz w:val="14"/>
                <w:szCs w:val="14"/>
                <w:color w:val="auto"/>
              </w:rPr>
            </w:pPr>
          </w:p>
        </w:tc>
        <w:tc>
          <w:tcPr>
            <w:tcW w:w="1020" w:type="dxa"/>
            <w:vAlign w:val="bottom"/>
            <w:tcBorders>
              <w:bottom w:val="single" w:sz="8" w:color="8C8272"/>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8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Other operating revenues (c)</w:t>
            </w:r>
          </w:p>
        </w:tc>
        <w:tc>
          <w:tcPr>
            <w:tcW w:w="1200" w:type="dxa"/>
            <w:vAlign w:val="bottom"/>
            <w:tcBorders>
              <w:bottom w:val="single" w:sz="8" w:color="8C8272"/>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828282"/>
            </w:tcBorders>
            <w:shd w:val="clear" w:color="auto" w:fill="E5E5E5"/>
          </w:tcPr>
          <w:p>
            <w:pPr>
              <w:spacing w:after="0"/>
              <w:rPr>
                <w:sz w:val="15"/>
                <w:szCs w:val="15"/>
                <w:color w:val="auto"/>
              </w:rPr>
            </w:pPr>
          </w:p>
        </w:tc>
        <w:tc>
          <w:tcPr>
            <w:tcW w:w="128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123</w:t>
            </w:r>
          </w:p>
        </w:tc>
        <w:tc>
          <w:tcPr>
            <w:tcW w:w="11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168</w:t>
            </w:r>
          </w:p>
        </w:tc>
        <w:tc>
          <w:tcPr>
            <w:tcW w:w="92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(45)</w:t>
            </w:r>
          </w:p>
        </w:tc>
        <w:tc>
          <w:tcPr>
            <w:tcW w:w="102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8C8272"/>
            </w:tcBorders>
          </w:tcPr>
          <w:p>
            <w:pPr>
              <w:ind w:left="140"/>
              <w:spacing w:after="0"/>
              <w:rPr>
                <w:sz w:val="20"/>
                <w:szCs w:val="20"/>
                <w:color w:val="auto"/>
              </w:rPr>
            </w:pPr>
            <w:r>
              <w:rPr>
                <w:rFonts w:ascii="Arial" w:cs="Arial" w:eastAsia="Arial" w:hAnsi="Arial"/>
                <w:sz w:val="14"/>
                <w:szCs w:val="14"/>
                <w:b w:val="1"/>
                <w:bCs w:val="1"/>
                <w:color w:val="auto"/>
              </w:rPr>
              <w:t>Total</w:t>
            </w:r>
          </w:p>
        </w:tc>
        <w:tc>
          <w:tcPr>
            <w:tcW w:w="12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11,204</w:t>
            </w:r>
          </w:p>
        </w:tc>
        <w:tc>
          <w:tcPr>
            <w:tcW w:w="12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11,484</w:t>
            </w:r>
          </w:p>
        </w:tc>
        <w:tc>
          <w:tcPr>
            <w:tcW w:w="9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(280)</w:t>
            </w:r>
          </w:p>
        </w:tc>
        <w:tc>
          <w:tcPr>
            <w:tcW w:w="10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(2.4)%</w:t>
            </w:r>
          </w:p>
        </w:tc>
        <w:tc>
          <w:tcPr>
            <w:tcW w:w="420" w:type="dxa"/>
            <w:vAlign w:val="bottom"/>
            <w:tcBorders>
              <w:bottom w:val="single" w:sz="8" w:color="828282"/>
            </w:tcBorders>
          </w:tcPr>
          <w:p>
            <w:pPr>
              <w:ind w:left="20"/>
              <w:spacing w:after="0"/>
              <w:rPr>
                <w:sz w:val="20"/>
                <w:szCs w:val="20"/>
                <w:color w:val="auto"/>
              </w:rPr>
            </w:pPr>
            <w:r>
              <w:rPr>
                <w:rFonts w:ascii="Arial" w:cs="Arial" w:eastAsia="Arial" w:hAnsi="Arial"/>
                <w:sz w:val="14"/>
                <w:szCs w:val="14"/>
                <w:b w:val="1"/>
                <w:bCs w:val="1"/>
                <w:color w:val="auto"/>
              </w:rPr>
              <w:t>(d)</w:t>
            </w:r>
          </w:p>
        </w:tc>
        <w:tc>
          <w:tcPr>
            <w:tcW w:w="128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b w:val="1"/>
                <w:bCs w:val="1"/>
                <w:color w:val="auto"/>
              </w:rPr>
              <w:t>$1,963</w:t>
            </w:r>
          </w:p>
        </w:tc>
        <w:tc>
          <w:tcPr>
            <w:tcW w:w="11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$1,845</w:t>
            </w:r>
          </w:p>
        </w:tc>
        <w:tc>
          <w:tcPr>
            <w:tcW w:w="920" w:type="dxa"/>
            <w:vAlign w:val="bottom"/>
            <w:tcBorders>
              <w:bottom w:val="single" w:sz="8" w:color="828282"/>
            </w:tcBorders>
          </w:tcPr>
          <w:p>
            <w:pPr>
              <w:jc w:val="right"/>
              <w:spacing w:after="0"/>
              <w:rPr>
                <w:sz w:val="20"/>
                <w:szCs w:val="20"/>
                <w:color w:val="auto"/>
              </w:rPr>
            </w:pPr>
            <w:r>
              <w:rPr>
                <w:rFonts w:ascii="Arial" w:cs="Arial" w:eastAsia="Arial" w:hAnsi="Arial"/>
                <w:sz w:val="14"/>
                <w:szCs w:val="14"/>
                <w:b w:val="1"/>
                <w:bCs w:val="1"/>
                <w:color w:val="auto"/>
              </w:rPr>
              <w:t>$118</w:t>
            </w:r>
          </w:p>
        </w:tc>
        <w:tc>
          <w:tcPr>
            <w:tcW w:w="10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6.4 %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-128270</wp:posOffset>
            </wp:positionV>
            <wp:extent cx="8890" cy="1714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-102235</wp:posOffset>
            </wp:positionV>
            <wp:extent cx="8890"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-85090</wp:posOffset>
            </wp:positionV>
            <wp:extent cx="8890"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-67945</wp:posOffset>
            </wp:positionV>
            <wp:extent cx="889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-50800</wp:posOffset>
            </wp:positionV>
            <wp:extent cx="889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-33655</wp:posOffset>
            </wp:positionV>
            <wp:extent cx="8890"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-16510</wp:posOffset>
            </wp:positionV>
            <wp:extent cx="8890"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-256540</wp:posOffset>
            </wp:positionV>
            <wp:extent cx="8890" cy="1714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-231140</wp:posOffset>
            </wp:positionV>
            <wp:extent cx="8890"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-213995</wp:posOffset>
            </wp:positionV>
            <wp:extent cx="8890"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-196850</wp:posOffset>
            </wp:positionV>
            <wp:extent cx="8890"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-179705</wp:posOffset>
            </wp:positionV>
            <wp:extent cx="8890"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-162560</wp:posOffset>
            </wp:positionV>
            <wp:extent cx="8890"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-145415</wp:posOffset>
            </wp:positionV>
            <wp:extent cx="8890"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-445135</wp:posOffset>
            </wp:positionV>
            <wp:extent cx="8890"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-427990</wp:posOffset>
            </wp:positionV>
            <wp:extent cx="8890"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-410845</wp:posOffset>
            </wp:positionV>
            <wp:extent cx="8890"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-393700</wp:posOffset>
            </wp:positionV>
            <wp:extent cx="8890" cy="88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-376555</wp:posOffset>
            </wp:positionV>
            <wp:extent cx="8890"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-359410</wp:posOffset>
            </wp:positionV>
            <wp:extent cx="8890"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-342265</wp:posOffset>
            </wp:positionV>
            <wp:extent cx="8890"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-325120</wp:posOffset>
            </wp:positionV>
            <wp:extent cx="889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-307975</wp:posOffset>
            </wp:positionV>
            <wp:extent cx="8890" cy="88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-290830</wp:posOffset>
            </wp:positionV>
            <wp:extent cx="8890"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-273685</wp:posOffset>
            </wp:positionV>
            <wp:extent cx="8890"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-565150</wp:posOffset>
            </wp:positionV>
            <wp:extent cx="889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-548005</wp:posOffset>
            </wp:positionV>
            <wp:extent cx="8890"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-530860</wp:posOffset>
            </wp:positionV>
            <wp:extent cx="8890"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-513715</wp:posOffset>
            </wp:positionV>
            <wp:extent cx="889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-496570</wp:posOffset>
            </wp:positionV>
            <wp:extent cx="8890"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-479425</wp:posOffset>
            </wp:positionV>
            <wp:extent cx="8890" cy="2540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-685165</wp:posOffset>
            </wp:positionV>
            <wp:extent cx="8890"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-668020</wp:posOffset>
            </wp:positionV>
            <wp:extent cx="8890"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-650875</wp:posOffset>
            </wp:positionV>
            <wp:extent cx="8890" cy="88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-633730</wp:posOffset>
            </wp:positionV>
            <wp:extent cx="8890"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-616585</wp:posOffset>
            </wp:positionV>
            <wp:extent cx="8890"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-599440</wp:posOffset>
            </wp:positionV>
            <wp:extent cx="8890" cy="2540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-831215</wp:posOffset>
            </wp:positionV>
            <wp:extent cx="8890" cy="1714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-805180</wp:posOffset>
            </wp:positionV>
            <wp:extent cx="8890"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-788035</wp:posOffset>
            </wp:positionV>
            <wp:extent cx="8890"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-770890</wp:posOffset>
            </wp:positionV>
            <wp:extent cx="8890"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-753745</wp:posOffset>
            </wp:positionV>
            <wp:extent cx="8890"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-736600</wp:posOffset>
            </wp:positionV>
            <wp:extent cx="889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-719455</wp:posOffset>
            </wp:positionV>
            <wp:extent cx="8890" cy="2540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-1045210</wp:posOffset>
            </wp:positionV>
            <wp:extent cx="8890" cy="1714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-1019810</wp:posOffset>
            </wp:positionV>
            <wp:extent cx="8890"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-1002665</wp:posOffset>
            </wp:positionV>
            <wp:extent cx="8890"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-985520</wp:posOffset>
            </wp:positionV>
            <wp:extent cx="8890"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-967740</wp:posOffset>
            </wp:positionV>
            <wp:extent cx="8890"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-951230</wp:posOffset>
            </wp:positionV>
            <wp:extent cx="8890"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-934085</wp:posOffset>
            </wp:positionV>
            <wp:extent cx="8890"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-916940</wp:posOffset>
            </wp:positionV>
            <wp:extent cx="8890"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-899795</wp:posOffset>
            </wp:positionV>
            <wp:extent cx="8890"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-882015</wp:posOffset>
            </wp:positionV>
            <wp:extent cx="8890"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-865505</wp:posOffset>
            </wp:positionV>
            <wp:extent cx="8890"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-848360</wp:posOffset>
            </wp:positionV>
            <wp:extent cx="8890"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-1199515</wp:posOffset>
            </wp:positionV>
            <wp:extent cx="8890"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-1182370</wp:posOffset>
            </wp:positionV>
            <wp:extent cx="8890"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-1165225</wp:posOffset>
            </wp:positionV>
            <wp:extent cx="8890"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-1148080</wp:posOffset>
            </wp:positionV>
            <wp:extent cx="8890"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-1130935</wp:posOffset>
            </wp:positionV>
            <wp:extent cx="8890"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-1113790</wp:posOffset>
            </wp:positionV>
            <wp:extent cx="8890"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-1096645</wp:posOffset>
            </wp:positionV>
            <wp:extent cx="8890"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-1079500</wp:posOffset>
            </wp:positionV>
            <wp:extent cx="889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-1062355</wp:posOffset>
            </wp:positionV>
            <wp:extent cx="889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66" w:lineRule="exact"/>
        <w:rPr>
          <w:sz w:val="20"/>
          <w:szCs w:val="20"/>
          <w:color w:val="auto"/>
        </w:rPr>
      </w:pPr>
    </w:p>
    <w:p>
      <w:pPr>
        <w:ind w:left="340" w:right="380" w:hanging="332"/>
        <w:spacing w:after="0" w:line="24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Revenues from electric sales are subject to a revenue decoupling mechanism, as a result of which delivery revenues generally are not affected by changes in delivery volumes from levels assumed when rates were approved.</w:t>
      </w:r>
    </w:p>
    <w:p>
      <w:pPr>
        <w:ind w:left="340" w:right="380" w:hanging="332"/>
        <w:spacing w:after="0" w:line="24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“Residential/Religious” generally includes single-family dwellings, individual apartments in multi-family dwellings, religious organizations and certain other not-for-profit organizations.</w:t>
      </w:r>
    </w:p>
    <w:p>
      <w:pPr>
        <w:ind w:left="340" w:right="60" w:hanging="332"/>
        <w:spacing w:after="0" w:line="241"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Other electric operating revenues generally reflect changes in the revenue decoupling mechanism current asset or regulatory liability and changes in regulatory assets and liabilities in accordance with other provisions of the company’s rate plans.</w:t>
      </w:r>
    </w:p>
    <w:p>
      <w:pPr>
        <w:ind w:left="340" w:right="180" w:hanging="332"/>
        <w:spacing w:after="0" w:line="258"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After adjusting for variations, primarily weather and billing days, electric delivery volumes in CECONY’s service area decreased by 1.3 percent in the three months ended June 30, 2021 compared with the 2020 period. See “Coronavirus Disease 2019 (COVID-19) Impacts,” above.</w:t>
      </w:r>
    </w:p>
    <w:p>
      <w:pPr>
        <w:spacing w:after="0" w:line="19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increased $118 million in the three months ended June 30, 2021 compared with the 2020 period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power expenses ($71 million), an increase in revenues from the electric rate plan ($29 million), and higher fuel expenses ($16 million).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62" w:name="page63"/>
    <w:bookmarkEnd w:id="62"/>
    <w:p>
      <w:pPr>
        <w:ind w:right="320"/>
        <w:spacing w:after="0" w:line="282" w:lineRule="auto"/>
        <w:rPr>
          <w:sz w:val="20"/>
          <w:szCs w:val="20"/>
          <w:color w:val="auto"/>
        </w:rPr>
      </w:pPr>
      <w:r>
        <w:rPr>
          <w:rFonts w:ascii="Arial" w:cs="Arial" w:eastAsia="Arial" w:hAnsi="Arial"/>
          <w:sz w:val="18"/>
          <w:szCs w:val="18"/>
          <w:i w:val="1"/>
          <w:iCs w:val="1"/>
          <w:color w:val="auto"/>
        </w:rPr>
        <w:t xml:space="preserve">Purchased power </w:t>
      </w:r>
      <w:r>
        <w:rPr>
          <w:rFonts w:ascii="Arial" w:cs="Arial" w:eastAsia="Arial" w:hAnsi="Arial"/>
          <w:sz w:val="18"/>
          <w:szCs w:val="18"/>
          <w:color w:val="auto"/>
        </w:rPr>
        <w:t>expenses increased $71 million in the three months ended June 30, 2021 compared with the 2020 period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unit costs ($41 million) and purchased volumes ($31 million).</w:t>
      </w:r>
    </w:p>
    <w:p>
      <w:pPr>
        <w:spacing w:after="0" w:line="18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expenses increased $16 million in the three months ended June 30, 2021 compared with the 2020 period due to higher unit costs ($19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offset in part by lower purchased volumes from the company's electric generating facilities ($3 million).</w:t>
      </w:r>
    </w:p>
    <w:p>
      <w:pPr>
        <w:spacing w:after="0" w:line="17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i w:val="1"/>
          <w:iCs w:val="1"/>
          <w:color w:val="auto"/>
        </w:rPr>
        <w:t xml:space="preserve">Other operations and maintenance </w:t>
      </w:r>
      <w:r>
        <w:rPr>
          <w:rFonts w:ascii="Arial" w:cs="Arial" w:eastAsia="Arial" w:hAnsi="Arial"/>
          <w:sz w:val="18"/>
          <w:szCs w:val="18"/>
          <w:color w:val="auto"/>
        </w:rPr>
        <w:t>expenses increased $38 million in the three months ended June 30, 2021 compared with the 2020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healthcare costs ($18 million), higher costs for pensions and other postretirement benefits ($9 million), higher costs related to heat events ($9 million) and higher municipal infrastructure support ($1 million).</w:t>
      </w:r>
    </w:p>
    <w:p>
      <w:pPr>
        <w:spacing w:after="0" w:line="21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increased $19 million in the three months ended June 30, 2021 compared with the 2020 period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higher electric utility plant balances.</w:t>
      </w:r>
    </w:p>
    <w:p>
      <w:pPr>
        <w:spacing w:after="0" w:line="18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$37 million in the three months ended June 30, 2021 compared with the 2020 period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higher property taxes ($26 million), higher state and local taxes ($4 million) and lower deferral of under-collected property taxes ($4 million).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CECONY’s results of gas operations for the three months ended June 30, 2021 compared with the 2020 period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Borders>
              <w:bottom w:val="single" w:sz="8" w:color="8C8272"/>
            </w:tcBorders>
          </w:tcPr>
          <w:p>
            <w:pPr>
              <w:spacing w:after="0"/>
              <w:rPr>
                <w:sz w:val="16"/>
                <w:szCs w:val="16"/>
                <w:color w:val="auto"/>
              </w:rPr>
            </w:pPr>
          </w:p>
        </w:tc>
        <w:tc>
          <w:tcPr>
            <w:tcW w:w="5380" w:type="dxa"/>
            <w:vAlign w:val="bottom"/>
            <w:tcBorders>
              <w:bottom w:val="single" w:sz="8" w:color="8C8272"/>
            </w:tcBorders>
            <w:gridSpan w:val="2"/>
          </w:tcPr>
          <w:p>
            <w:pPr>
              <w:jc w:val="right"/>
              <w:ind w:right="768"/>
              <w:spacing w:after="0"/>
              <w:rPr>
                <w:sz w:val="20"/>
                <w:szCs w:val="20"/>
                <w:color w:val="auto"/>
              </w:rPr>
            </w:pPr>
            <w:r>
              <w:rPr>
                <w:rFonts w:ascii="Arial" w:cs="Arial" w:eastAsia="Arial" w:hAnsi="Arial"/>
                <w:sz w:val="14"/>
                <w:szCs w:val="14"/>
                <w:b w:val="1"/>
                <w:bCs w:val="1"/>
                <w:color w:val="auto"/>
              </w:rPr>
              <w:t>For the Three Months Ended</w:t>
            </w:r>
          </w:p>
        </w:tc>
        <w:tc>
          <w:tcPr>
            <w:tcW w:w="1040" w:type="dxa"/>
            <w:vAlign w:val="bottom"/>
            <w:tcBorders>
              <w:bottom w:val="single" w:sz="8" w:color="8C8272"/>
            </w:tcBorders>
          </w:tcPr>
          <w:p>
            <w:pPr>
              <w:spacing w:after="0"/>
              <w:rPr>
                <w:sz w:val="16"/>
                <w:szCs w:val="16"/>
                <w:color w:val="auto"/>
              </w:rPr>
            </w:pPr>
          </w:p>
        </w:tc>
      </w:tr>
      <w:tr>
        <w:trPr>
          <w:trHeight w:val="183"/>
        </w:trPr>
        <w:tc>
          <w:tcPr>
            <w:tcW w:w="482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78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June 30, 2021</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June 30, 2020</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r>
      <w:tr>
        <w:trPr>
          <w:trHeight w:val="183"/>
        </w:trPr>
        <w:tc>
          <w:tcPr>
            <w:tcW w:w="4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revenues</w:t>
            </w:r>
          </w:p>
        </w:tc>
        <w:tc>
          <w:tcPr>
            <w:tcW w:w="37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$449</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$416</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w:t>
            </w:r>
          </w:p>
        </w:tc>
      </w:tr>
      <w:tr>
        <w:trPr>
          <w:trHeight w:val="189"/>
        </w:trPr>
        <w:tc>
          <w:tcPr>
            <w:tcW w:w="4820" w:type="dxa"/>
            <w:vAlign w:val="bottom"/>
          </w:tcPr>
          <w:p>
            <w:pPr>
              <w:ind w:left="20"/>
              <w:spacing w:after="0"/>
              <w:rPr>
                <w:sz w:val="20"/>
                <w:szCs w:val="20"/>
                <w:color w:val="auto"/>
              </w:rPr>
            </w:pPr>
            <w:r>
              <w:rPr>
                <w:rFonts w:ascii="Arial" w:cs="Arial" w:eastAsia="Arial" w:hAnsi="Arial"/>
                <w:sz w:val="14"/>
                <w:szCs w:val="14"/>
                <w:color w:val="auto"/>
              </w:rPr>
              <w:t>Gas purchased for resale</w:t>
            </w:r>
          </w:p>
        </w:tc>
        <w:tc>
          <w:tcPr>
            <w:tcW w:w="3780" w:type="dxa"/>
            <w:vAlign w:val="bottom"/>
          </w:tcPr>
          <w:p>
            <w:pPr>
              <w:jc w:val="right"/>
              <w:ind w:right="168"/>
              <w:spacing w:after="0"/>
              <w:rPr>
                <w:sz w:val="20"/>
                <w:szCs w:val="20"/>
                <w:color w:val="auto"/>
              </w:rPr>
            </w:pPr>
            <w:r>
              <w:rPr>
                <w:rFonts w:ascii="Arial" w:cs="Arial" w:eastAsia="Arial" w:hAnsi="Arial"/>
                <w:sz w:val="14"/>
                <w:szCs w:val="14"/>
                <w:color w:val="auto"/>
              </w:rPr>
              <w:t>63</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64</w:t>
            </w: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4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 operations and maintenance</w:t>
            </w:r>
          </w:p>
        </w:tc>
        <w:tc>
          <w:tcPr>
            <w:tcW w:w="37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91</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87</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48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780" w:type="dxa"/>
            <w:vAlign w:val="bottom"/>
          </w:tcPr>
          <w:p>
            <w:pPr>
              <w:jc w:val="right"/>
              <w:ind w:right="168"/>
              <w:spacing w:after="0"/>
              <w:rPr>
                <w:sz w:val="20"/>
                <w:szCs w:val="20"/>
                <w:color w:val="auto"/>
              </w:rPr>
            </w:pPr>
            <w:r>
              <w:rPr>
                <w:rFonts w:ascii="Arial" w:cs="Arial" w:eastAsia="Arial" w:hAnsi="Arial"/>
                <w:sz w:val="14"/>
                <w:szCs w:val="14"/>
                <w:color w:val="auto"/>
              </w:rPr>
              <w:t>80</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72</w:t>
            </w:r>
          </w:p>
        </w:tc>
        <w:tc>
          <w:tcPr>
            <w:tcW w:w="10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9"/>
        </w:trPr>
        <w:tc>
          <w:tcPr>
            <w:tcW w:w="482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Taxes, other than income taxes</w:t>
            </w:r>
          </w:p>
        </w:tc>
        <w:tc>
          <w:tcPr>
            <w:tcW w:w="3780" w:type="dxa"/>
            <w:vAlign w:val="bottom"/>
            <w:tcBorders>
              <w:bottom w:val="single" w:sz="8" w:color="8C8272"/>
            </w:tcBorders>
            <w:shd w:val="clear" w:color="auto" w:fill="E5E5E5"/>
          </w:tcPr>
          <w:p>
            <w:pPr>
              <w:jc w:val="right"/>
              <w:ind w:right="168"/>
              <w:spacing w:after="0"/>
              <w:rPr>
                <w:sz w:val="20"/>
                <w:szCs w:val="20"/>
                <w:color w:val="auto"/>
              </w:rPr>
            </w:pPr>
            <w:r>
              <w:rPr>
                <w:rFonts w:ascii="Arial" w:cs="Arial" w:eastAsia="Arial" w:hAnsi="Arial"/>
                <w:sz w:val="14"/>
                <w:szCs w:val="14"/>
                <w:color w:val="auto"/>
              </w:rPr>
              <w:t>116</w:t>
            </w:r>
          </w:p>
        </w:tc>
        <w:tc>
          <w:tcPr>
            <w:tcW w:w="1600" w:type="dxa"/>
            <w:vAlign w:val="bottom"/>
            <w:tcBorders>
              <w:bottom w:val="single" w:sz="8" w:color="8C8272"/>
            </w:tcBorders>
            <w:shd w:val="clear" w:color="auto" w:fill="E5E5E5"/>
          </w:tcPr>
          <w:p>
            <w:pPr>
              <w:jc w:val="right"/>
              <w:ind w:right="328"/>
              <w:spacing w:after="0"/>
              <w:rPr>
                <w:sz w:val="20"/>
                <w:szCs w:val="20"/>
                <w:color w:val="auto"/>
              </w:rPr>
            </w:pPr>
            <w:r>
              <w:rPr>
                <w:rFonts w:ascii="Arial" w:cs="Arial" w:eastAsia="Arial" w:hAnsi="Arial"/>
                <w:sz w:val="14"/>
                <w:szCs w:val="14"/>
                <w:color w:val="auto"/>
              </w:rPr>
              <w:t>88</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28</w:t>
            </w:r>
          </w:p>
        </w:tc>
      </w:tr>
      <w:tr>
        <w:trPr>
          <w:trHeight w:val="183"/>
        </w:trPr>
        <w:tc>
          <w:tcPr>
            <w:tcW w:w="4820" w:type="dxa"/>
            <w:vAlign w:val="bottom"/>
            <w:tcBorders>
              <w:bottom w:val="single" w:sz="8" w:color="8C8272"/>
            </w:tcBorders>
          </w:tcPr>
          <w:p>
            <w:pPr>
              <w:ind w:left="140"/>
              <w:spacing w:after="0"/>
              <w:rPr>
                <w:sz w:val="20"/>
                <w:szCs w:val="20"/>
                <w:color w:val="auto"/>
              </w:rPr>
            </w:pPr>
            <w:r>
              <w:rPr>
                <w:rFonts w:ascii="Arial" w:cs="Arial" w:eastAsia="Arial" w:hAnsi="Arial"/>
                <w:sz w:val="14"/>
                <w:szCs w:val="14"/>
                <w:b w:val="1"/>
                <w:bCs w:val="1"/>
                <w:color w:val="auto"/>
              </w:rPr>
              <w:t>Gas operating income</w:t>
            </w:r>
          </w:p>
        </w:tc>
        <w:tc>
          <w:tcPr>
            <w:tcW w:w="378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$99</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$105</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$(6)</w:t>
            </w:r>
          </w:p>
        </w:tc>
      </w:tr>
    </w:tbl>
    <w:p>
      <w:pPr>
        <w:spacing w:after="0" w:line="33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CECONY’s gas sales and deliveries, excluding off-system sales, for the three months ended June 30, 2021 compared with the 2020 period were: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60" w:type="dxa"/>
            <w:vAlign w:val="bottom"/>
            <w:tcBorders>
              <w:bottom w:val="single" w:sz="8" w:color="8C8272"/>
            </w:tcBorders>
          </w:tcPr>
          <w:p>
            <w:pPr>
              <w:spacing w:after="0"/>
              <w:rPr>
                <w:sz w:val="16"/>
                <w:szCs w:val="16"/>
                <w:color w:val="auto"/>
              </w:rPr>
            </w:pPr>
          </w:p>
        </w:tc>
        <w:tc>
          <w:tcPr>
            <w:tcW w:w="1180" w:type="dxa"/>
            <w:vAlign w:val="bottom"/>
            <w:tcBorders>
              <w:bottom w:val="single" w:sz="8" w:color="8C8272"/>
            </w:tcBorders>
          </w:tcPr>
          <w:p>
            <w:pPr>
              <w:spacing w:after="0"/>
              <w:rPr>
                <w:sz w:val="16"/>
                <w:szCs w:val="16"/>
                <w:color w:val="auto"/>
              </w:rPr>
            </w:pPr>
          </w:p>
        </w:tc>
        <w:tc>
          <w:tcPr>
            <w:tcW w:w="2320" w:type="dxa"/>
            <w:vAlign w:val="bottom"/>
            <w:tcBorders>
              <w:bottom w:val="single" w:sz="8" w:color="8C8272"/>
            </w:tcBorders>
            <w:gridSpan w:val="2"/>
          </w:tcPr>
          <w:p>
            <w:pPr>
              <w:jc w:val="right"/>
              <w:ind w:right="368"/>
              <w:spacing w:after="0"/>
              <w:rPr>
                <w:sz w:val="20"/>
                <w:szCs w:val="20"/>
                <w:color w:val="auto"/>
              </w:rPr>
            </w:pPr>
            <w:r>
              <w:rPr>
                <w:rFonts w:ascii="Arial" w:cs="Arial" w:eastAsia="Arial" w:hAnsi="Arial"/>
                <w:sz w:val="14"/>
                <w:szCs w:val="14"/>
                <w:b w:val="1"/>
                <w:bCs w:val="1"/>
                <w:color w:val="auto"/>
              </w:rPr>
              <w:t>Thousands of Dt Delivered</w:t>
            </w:r>
          </w:p>
        </w:tc>
        <w:tc>
          <w:tcPr>
            <w:tcW w:w="840" w:type="dxa"/>
            <w:vAlign w:val="bottom"/>
            <w:tcBorders>
              <w:bottom w:val="single" w:sz="8" w:color="8C8272"/>
            </w:tcBorders>
          </w:tcPr>
          <w:p>
            <w:pPr>
              <w:spacing w:after="0"/>
              <w:rPr>
                <w:sz w:val="16"/>
                <w:szCs w:val="16"/>
                <w:color w:val="auto"/>
              </w:rPr>
            </w:pPr>
          </w:p>
        </w:tc>
        <w:tc>
          <w:tcPr>
            <w:tcW w:w="420" w:type="dxa"/>
            <w:vAlign w:val="bottom"/>
            <w:tcBorders>
              <w:bottom w:val="single" w:sz="8" w:color="828282"/>
            </w:tcBorders>
          </w:tcPr>
          <w:p>
            <w:pPr>
              <w:spacing w:after="0"/>
              <w:rPr>
                <w:sz w:val="16"/>
                <w:szCs w:val="16"/>
                <w:color w:val="auto"/>
              </w:rPr>
            </w:pPr>
          </w:p>
        </w:tc>
        <w:tc>
          <w:tcPr>
            <w:tcW w:w="20" w:type="dxa"/>
            <w:vAlign w:val="bottom"/>
            <w:tcBorders>
              <w:bottom w:val="single" w:sz="8" w:color="828282"/>
            </w:tcBorders>
          </w:tcPr>
          <w:p>
            <w:pPr>
              <w:spacing w:after="0"/>
              <w:rPr>
                <w:sz w:val="16"/>
                <w:szCs w:val="16"/>
                <w:color w:val="auto"/>
              </w:rPr>
            </w:pPr>
          </w:p>
        </w:tc>
        <w:tc>
          <w:tcPr>
            <w:tcW w:w="1260" w:type="dxa"/>
            <w:vAlign w:val="bottom"/>
            <w:tcBorders>
              <w:bottom w:val="single" w:sz="8" w:color="8C8272"/>
            </w:tcBorders>
          </w:tcPr>
          <w:p>
            <w:pPr>
              <w:spacing w:after="0"/>
              <w:rPr>
                <w:sz w:val="16"/>
                <w:szCs w:val="16"/>
                <w:color w:val="auto"/>
              </w:rPr>
            </w:pPr>
          </w:p>
        </w:tc>
        <w:tc>
          <w:tcPr>
            <w:tcW w:w="2260" w:type="dxa"/>
            <w:vAlign w:val="bottom"/>
            <w:tcBorders>
              <w:bottom w:val="single" w:sz="8" w:color="8C8272"/>
            </w:tcBorders>
            <w:gridSpan w:val="2"/>
          </w:tcPr>
          <w:p>
            <w:pPr>
              <w:jc w:val="right"/>
              <w:ind w:right="448"/>
              <w:spacing w:after="0"/>
              <w:rPr>
                <w:sz w:val="20"/>
                <w:szCs w:val="20"/>
                <w:color w:val="auto"/>
              </w:rPr>
            </w:pPr>
            <w:r>
              <w:rPr>
                <w:rFonts w:ascii="Arial" w:cs="Arial" w:eastAsia="Arial" w:hAnsi="Arial"/>
                <w:sz w:val="14"/>
                <w:szCs w:val="14"/>
                <w:b w:val="1"/>
                <w:bCs w:val="1"/>
                <w:color w:val="auto"/>
              </w:rPr>
              <w:t>Revenues in Millions (a)</w:t>
            </w:r>
          </w:p>
        </w:tc>
        <w:tc>
          <w:tcPr>
            <w:tcW w:w="840" w:type="dxa"/>
            <w:vAlign w:val="bottom"/>
            <w:tcBorders>
              <w:bottom w:val="single" w:sz="8" w:color="8C8272"/>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8C8272"/>
            </w:tcBorders>
          </w:tcPr>
          <w:p>
            <w:pPr>
              <w:spacing w:after="0"/>
              <w:rPr>
                <w:sz w:val="19"/>
                <w:szCs w:val="19"/>
                <w:color w:val="auto"/>
              </w:rPr>
            </w:pPr>
          </w:p>
        </w:tc>
        <w:tc>
          <w:tcPr>
            <w:tcW w:w="2500" w:type="dxa"/>
            <w:vAlign w:val="bottom"/>
            <w:tcBorders>
              <w:bottom w:val="single" w:sz="8" w:color="8C8272"/>
            </w:tcBorders>
            <w:gridSpan w:val="2"/>
          </w:tcPr>
          <w:p>
            <w:pPr>
              <w:jc w:val="right"/>
              <w:ind w:right="288"/>
              <w:spacing w:after="0"/>
              <w:rPr>
                <w:sz w:val="20"/>
                <w:szCs w:val="20"/>
                <w:color w:val="auto"/>
              </w:rPr>
            </w:pPr>
            <w:r>
              <w:rPr>
                <w:rFonts w:ascii="Arial" w:cs="Arial" w:eastAsia="Arial" w:hAnsi="Arial"/>
                <w:sz w:val="14"/>
                <w:szCs w:val="14"/>
                <w:b w:val="1"/>
                <w:bCs w:val="1"/>
                <w:color w:val="auto"/>
              </w:rPr>
              <w:t>For the Three Months Ended</w:t>
            </w:r>
          </w:p>
        </w:tc>
        <w:tc>
          <w:tcPr>
            <w:tcW w:w="1000" w:type="dxa"/>
            <w:vAlign w:val="bottom"/>
            <w:tcBorders>
              <w:bottom w:val="single" w:sz="8" w:color="8C8272"/>
            </w:tcBorders>
          </w:tcPr>
          <w:p>
            <w:pPr>
              <w:spacing w:after="0"/>
              <w:rPr>
                <w:sz w:val="19"/>
                <w:szCs w:val="19"/>
                <w:color w:val="auto"/>
              </w:rPr>
            </w:pPr>
          </w:p>
        </w:tc>
        <w:tc>
          <w:tcPr>
            <w:tcW w:w="840" w:type="dxa"/>
            <w:vAlign w:val="bottom"/>
            <w:tcBorders>
              <w:bottom w:val="single" w:sz="8" w:color="8C8272"/>
            </w:tcBorders>
          </w:tcPr>
          <w:p>
            <w:pPr>
              <w:spacing w:after="0"/>
              <w:rPr>
                <w:sz w:val="19"/>
                <w:szCs w:val="19"/>
                <w:color w:val="auto"/>
              </w:rPr>
            </w:pPr>
          </w:p>
        </w:tc>
        <w:tc>
          <w:tcPr>
            <w:tcW w:w="420" w:type="dxa"/>
            <w:vAlign w:val="bottom"/>
            <w:tcBorders>
              <w:bottom w:val="single" w:sz="8" w:color="828282"/>
            </w:tcBorders>
          </w:tcPr>
          <w:p>
            <w:pPr>
              <w:spacing w:after="0"/>
              <w:rPr>
                <w:sz w:val="19"/>
                <w:szCs w:val="19"/>
                <w:color w:val="auto"/>
              </w:rPr>
            </w:pPr>
          </w:p>
        </w:tc>
        <w:tc>
          <w:tcPr>
            <w:tcW w:w="20" w:type="dxa"/>
            <w:vAlign w:val="bottom"/>
            <w:tcBorders>
              <w:bottom w:val="single" w:sz="8" w:color="828282"/>
            </w:tcBorders>
          </w:tcPr>
          <w:p>
            <w:pPr>
              <w:spacing w:after="0"/>
              <w:rPr>
                <w:sz w:val="19"/>
                <w:szCs w:val="19"/>
                <w:color w:val="auto"/>
              </w:rPr>
            </w:pPr>
          </w:p>
        </w:tc>
        <w:tc>
          <w:tcPr>
            <w:tcW w:w="2560" w:type="dxa"/>
            <w:vAlign w:val="bottom"/>
            <w:tcBorders>
              <w:bottom w:val="single" w:sz="8" w:color="8C8272"/>
            </w:tcBorders>
            <w:gridSpan w:val="2"/>
          </w:tcPr>
          <w:p>
            <w:pPr>
              <w:jc w:val="right"/>
              <w:ind w:right="308"/>
              <w:spacing w:after="0"/>
              <w:rPr>
                <w:sz w:val="20"/>
                <w:szCs w:val="20"/>
                <w:color w:val="auto"/>
              </w:rPr>
            </w:pPr>
            <w:r>
              <w:rPr>
                <w:rFonts w:ascii="Arial" w:cs="Arial" w:eastAsia="Arial" w:hAnsi="Arial"/>
                <w:sz w:val="14"/>
                <w:szCs w:val="14"/>
                <w:b w:val="1"/>
                <w:bCs w:val="1"/>
                <w:color w:val="auto"/>
              </w:rPr>
              <w:t>For the Three Months Ended</w:t>
            </w:r>
          </w:p>
        </w:tc>
        <w:tc>
          <w:tcPr>
            <w:tcW w:w="960" w:type="dxa"/>
            <w:vAlign w:val="bottom"/>
            <w:tcBorders>
              <w:bottom w:val="single" w:sz="8" w:color="8C8272"/>
            </w:tcBorders>
          </w:tcPr>
          <w:p>
            <w:pPr>
              <w:spacing w:after="0"/>
              <w:rPr>
                <w:sz w:val="19"/>
                <w:szCs w:val="19"/>
                <w:color w:val="auto"/>
              </w:rPr>
            </w:pPr>
          </w:p>
        </w:tc>
        <w:tc>
          <w:tcPr>
            <w:tcW w:w="840" w:type="dxa"/>
            <w:vAlign w:val="bottom"/>
            <w:tcBorders>
              <w:bottom w:val="single" w:sz="8" w:color="8C8272"/>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2021</w:t>
            </w: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June 30, 2020</w:t>
            </w:r>
          </w:p>
        </w:tc>
        <w:tc>
          <w:tcPr>
            <w:tcW w:w="10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Variation</w:t>
            </w:r>
          </w:p>
        </w:tc>
        <w:tc>
          <w:tcPr>
            <w:tcW w:w="1260" w:type="dxa"/>
            <w:vAlign w:val="bottom"/>
            <w:gridSpan w:val="2"/>
          </w:tcPr>
          <w:p>
            <w:pPr>
              <w:jc w:val="right"/>
              <w:ind w:right="368"/>
              <w:spacing w:after="0" w:line="142" w:lineRule="exact"/>
              <w:rPr>
                <w:sz w:val="20"/>
                <w:szCs w:val="20"/>
                <w:color w:val="auto"/>
              </w:rPr>
            </w:pPr>
            <w:r>
              <w:rPr>
                <w:rFonts w:ascii="Arial" w:cs="Arial" w:eastAsia="Arial" w:hAnsi="Arial"/>
                <w:sz w:val="14"/>
                <w:szCs w:val="14"/>
                <w:b w:val="1"/>
                <w:bCs w:val="1"/>
                <w:color w:val="auto"/>
              </w:rPr>
              <w:t>Percent</w:t>
            </w:r>
          </w:p>
        </w:tc>
        <w:tc>
          <w:tcPr>
            <w:tcW w:w="20" w:type="dxa"/>
            <w:vAlign w:val="bottom"/>
          </w:tcPr>
          <w:p>
            <w:pPr>
              <w:spacing w:after="0"/>
              <w:rPr>
                <w:sz w:val="12"/>
                <w:szCs w:val="12"/>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June 30, 2021</w:t>
            </w: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June 30, 2020</w:t>
            </w: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Variation</w:t>
            </w: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5"/>
        </w:trPr>
        <w:tc>
          <w:tcPr>
            <w:tcW w:w="2060" w:type="dxa"/>
            <w:vAlign w:val="bottom"/>
            <w:tcBorders>
              <w:bottom w:val="single" w:sz="8" w:color="8C8272"/>
            </w:tcBorders>
            <w:vMerge w:val="continue"/>
          </w:tcPr>
          <w:p>
            <w:pPr>
              <w:spacing w:after="0"/>
              <w:rPr>
                <w:sz w:val="15"/>
                <w:szCs w:val="15"/>
                <w:color w:val="auto"/>
              </w:rPr>
            </w:pPr>
          </w:p>
        </w:tc>
        <w:tc>
          <w:tcPr>
            <w:tcW w:w="1180" w:type="dxa"/>
            <w:vAlign w:val="bottom"/>
            <w:tcBorders>
              <w:bottom w:val="single" w:sz="8" w:color="8C8272"/>
            </w:tcBorders>
            <w:vMerge w:val="continue"/>
          </w:tcPr>
          <w:p>
            <w:pPr>
              <w:spacing w:after="0"/>
              <w:rPr>
                <w:sz w:val="15"/>
                <w:szCs w:val="15"/>
                <w:color w:val="auto"/>
              </w:rPr>
            </w:pPr>
          </w:p>
        </w:tc>
        <w:tc>
          <w:tcPr>
            <w:tcW w:w="1320" w:type="dxa"/>
            <w:vAlign w:val="bottom"/>
            <w:tcBorders>
              <w:bottom w:val="single" w:sz="8" w:color="8C8272"/>
            </w:tcBorders>
            <w:vMerge w:val="continue"/>
          </w:tcPr>
          <w:p>
            <w:pPr>
              <w:spacing w:after="0"/>
              <w:rPr>
                <w:sz w:val="15"/>
                <w:szCs w:val="15"/>
                <w:color w:val="auto"/>
              </w:rPr>
            </w:pPr>
          </w:p>
        </w:tc>
        <w:tc>
          <w:tcPr>
            <w:tcW w:w="1000" w:type="dxa"/>
            <w:vAlign w:val="bottom"/>
            <w:tcBorders>
              <w:bottom w:val="single" w:sz="8" w:color="8C8272"/>
            </w:tcBorders>
            <w:vMerge w:val="continue"/>
          </w:tcPr>
          <w:p>
            <w:pPr>
              <w:spacing w:after="0"/>
              <w:rPr>
                <w:sz w:val="15"/>
                <w:szCs w:val="15"/>
                <w:color w:val="auto"/>
              </w:rPr>
            </w:pPr>
          </w:p>
        </w:tc>
        <w:tc>
          <w:tcPr>
            <w:tcW w:w="8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c>
          <w:tcPr>
            <w:tcW w:w="420" w:type="dxa"/>
            <w:vAlign w:val="bottom"/>
            <w:tcBorders>
              <w:bottom w:val="single" w:sz="8" w:color="828282"/>
            </w:tcBorders>
          </w:tcPr>
          <w:p>
            <w:pPr>
              <w:spacing w:after="0"/>
              <w:rPr>
                <w:sz w:val="15"/>
                <w:szCs w:val="15"/>
                <w:color w:val="auto"/>
              </w:rPr>
            </w:pPr>
          </w:p>
        </w:tc>
        <w:tc>
          <w:tcPr>
            <w:tcW w:w="20" w:type="dxa"/>
            <w:vAlign w:val="bottom"/>
            <w:tcBorders>
              <w:bottom w:val="single" w:sz="8" w:color="828282"/>
            </w:tcBorders>
          </w:tcPr>
          <w:p>
            <w:pPr>
              <w:spacing w:after="0"/>
              <w:rPr>
                <w:sz w:val="15"/>
                <w:szCs w:val="15"/>
                <w:color w:val="auto"/>
              </w:rPr>
            </w:pPr>
          </w:p>
        </w:tc>
        <w:tc>
          <w:tcPr>
            <w:tcW w:w="1260" w:type="dxa"/>
            <w:vAlign w:val="bottom"/>
            <w:tcBorders>
              <w:bottom w:val="single" w:sz="8" w:color="8C8272"/>
            </w:tcBorders>
            <w:vMerge w:val="continue"/>
          </w:tcPr>
          <w:p>
            <w:pPr>
              <w:spacing w:after="0"/>
              <w:rPr>
                <w:sz w:val="15"/>
                <w:szCs w:val="15"/>
                <w:color w:val="auto"/>
              </w:rPr>
            </w:pPr>
          </w:p>
        </w:tc>
        <w:tc>
          <w:tcPr>
            <w:tcW w:w="1300" w:type="dxa"/>
            <w:vAlign w:val="bottom"/>
            <w:tcBorders>
              <w:bottom w:val="single" w:sz="8" w:color="8C8272"/>
            </w:tcBorders>
            <w:vMerge w:val="continue"/>
          </w:tcPr>
          <w:p>
            <w:pPr>
              <w:spacing w:after="0"/>
              <w:rPr>
                <w:sz w:val="15"/>
                <w:szCs w:val="15"/>
                <w:color w:val="auto"/>
              </w:rPr>
            </w:pPr>
          </w:p>
        </w:tc>
        <w:tc>
          <w:tcPr>
            <w:tcW w:w="960" w:type="dxa"/>
            <w:vAlign w:val="bottom"/>
            <w:tcBorders>
              <w:bottom w:val="single" w:sz="8" w:color="8C8272"/>
            </w:tcBorders>
            <w:vMerge w:val="continue"/>
          </w:tcPr>
          <w:p>
            <w:pPr>
              <w:spacing w:after="0"/>
              <w:rPr>
                <w:sz w:val="15"/>
                <w:szCs w:val="15"/>
                <w:color w:val="auto"/>
              </w:rPr>
            </w:pPr>
          </w:p>
        </w:tc>
        <w:tc>
          <w:tcPr>
            <w:tcW w:w="8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83"/>
        </w:trPr>
        <w:tc>
          <w:tcPr>
            <w:tcW w:w="2060" w:type="dxa"/>
            <w:vAlign w:val="bottom"/>
            <w:shd w:val="clear" w:color="auto" w:fill="E5E5E5"/>
          </w:tcPr>
          <w:p>
            <w:pPr>
              <w:ind w:left="20"/>
              <w:spacing w:after="0"/>
              <w:rPr>
                <w:sz w:val="20"/>
                <w:szCs w:val="20"/>
                <w:color w:val="auto"/>
              </w:rPr>
            </w:pPr>
            <w:r>
              <w:rPr>
                <w:rFonts w:ascii="Arial" w:cs="Arial" w:eastAsia="Arial" w:hAnsi="Arial"/>
                <w:sz w:val="14"/>
                <w:szCs w:val="14"/>
                <w:color w:val="auto"/>
              </w:rPr>
              <w:t>Residential</w:t>
            </w:r>
          </w:p>
        </w:tc>
        <w:tc>
          <w:tcPr>
            <w:tcW w:w="1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8,852</w:t>
            </w:r>
          </w:p>
        </w:tc>
        <w:tc>
          <w:tcPr>
            <w:tcW w:w="1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10,602</w:t>
            </w:r>
          </w:p>
        </w:tc>
        <w:tc>
          <w:tcPr>
            <w:tcW w:w="100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(1,750)</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(16.5 %)</w:t>
            </w:r>
          </w:p>
        </w:tc>
        <w:tc>
          <w:tcPr>
            <w:tcW w:w="420" w:type="dxa"/>
            <w:vAlign w:val="bottom"/>
            <w:shd w:val="clear" w:color="auto" w:fill="E5E5E5"/>
          </w:tcPr>
          <w:p>
            <w:pPr>
              <w:spacing w:after="0"/>
              <w:rPr>
                <w:sz w:val="15"/>
                <w:szCs w:val="15"/>
                <w:color w:val="auto"/>
              </w:rPr>
            </w:pPr>
          </w:p>
        </w:tc>
        <w:tc>
          <w:tcPr>
            <w:tcW w:w="1280" w:type="dxa"/>
            <w:vAlign w:val="bottom"/>
            <w:gridSpan w:val="2"/>
            <w:shd w:val="clear" w:color="auto" w:fill="E5E5E5"/>
          </w:tcPr>
          <w:p>
            <w:pPr>
              <w:jc w:val="right"/>
              <w:ind w:right="8"/>
              <w:spacing w:after="0"/>
              <w:rPr>
                <w:sz w:val="20"/>
                <w:szCs w:val="20"/>
                <w:color w:val="auto"/>
              </w:rPr>
            </w:pPr>
            <w:r>
              <w:rPr>
                <w:rFonts w:ascii="Arial" w:cs="Arial" w:eastAsia="Arial" w:hAnsi="Arial"/>
                <w:sz w:val="14"/>
                <w:szCs w:val="14"/>
                <w:color w:val="auto"/>
              </w:rPr>
              <w:t>$205</w:t>
            </w:r>
          </w:p>
        </w:tc>
        <w:tc>
          <w:tcPr>
            <w:tcW w:w="13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$192</w:t>
            </w:r>
          </w:p>
        </w:tc>
        <w:tc>
          <w:tcPr>
            <w:tcW w:w="96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$13</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General</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6,618</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6,646</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(28)</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(0.4)</w:t>
            </w:r>
          </w:p>
        </w:tc>
        <w:tc>
          <w:tcPr>
            <w:tcW w:w="420" w:type="dxa"/>
            <w:vAlign w:val="bottom"/>
          </w:tcPr>
          <w:p>
            <w:pPr>
              <w:spacing w:after="0"/>
              <w:rPr>
                <w:sz w:val="16"/>
                <w:szCs w:val="16"/>
                <w:color w:val="auto"/>
              </w:rPr>
            </w:pPr>
          </w:p>
        </w:tc>
        <w:tc>
          <w:tcPr>
            <w:tcW w:w="1280" w:type="dxa"/>
            <w:vAlign w:val="bottom"/>
            <w:gridSpan w:val="2"/>
          </w:tcPr>
          <w:p>
            <w:pPr>
              <w:jc w:val="right"/>
              <w:ind w:right="8"/>
              <w:spacing w:after="0"/>
              <w:rPr>
                <w:sz w:val="20"/>
                <w:szCs w:val="20"/>
                <w:color w:val="auto"/>
              </w:rPr>
            </w:pPr>
            <w:r>
              <w:rPr>
                <w:rFonts w:ascii="Arial" w:cs="Arial" w:eastAsia="Arial" w:hAnsi="Arial"/>
                <w:sz w:val="14"/>
                <w:szCs w:val="14"/>
                <w:color w:val="auto"/>
              </w:rPr>
              <w:t>87</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63</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24</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89"/>
        </w:trPr>
        <w:tc>
          <w:tcPr>
            <w:tcW w:w="206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Firm transportation</w:t>
            </w:r>
          </w:p>
        </w:tc>
        <w:tc>
          <w:tcPr>
            <w:tcW w:w="118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14,994</w:t>
            </w:r>
          </w:p>
        </w:tc>
        <w:tc>
          <w:tcPr>
            <w:tcW w:w="132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17,112</w:t>
            </w:r>
          </w:p>
        </w:tc>
        <w:tc>
          <w:tcPr>
            <w:tcW w:w="1000" w:type="dxa"/>
            <w:vAlign w:val="bottom"/>
            <w:tcBorders>
              <w:bottom w:val="single" w:sz="8" w:color="8C8272"/>
            </w:tcBorders>
            <w:shd w:val="clear" w:color="auto" w:fill="E5E5E5"/>
          </w:tcPr>
          <w:p>
            <w:pPr>
              <w:jc w:val="right"/>
              <w:ind w:right="168"/>
              <w:spacing w:after="0"/>
              <w:rPr>
                <w:sz w:val="20"/>
                <w:szCs w:val="20"/>
                <w:color w:val="auto"/>
              </w:rPr>
            </w:pPr>
            <w:r>
              <w:rPr>
                <w:rFonts w:ascii="Arial" w:cs="Arial" w:eastAsia="Arial" w:hAnsi="Arial"/>
                <w:sz w:val="14"/>
                <w:szCs w:val="14"/>
                <w:color w:val="auto"/>
              </w:rPr>
              <w:t>(2,118)</w:t>
            </w:r>
          </w:p>
        </w:tc>
        <w:tc>
          <w:tcPr>
            <w:tcW w:w="84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(12.4)</w:t>
            </w:r>
          </w:p>
        </w:tc>
        <w:tc>
          <w:tcPr>
            <w:tcW w:w="420" w:type="dxa"/>
            <w:vAlign w:val="bottom"/>
            <w:tcBorders>
              <w:bottom w:val="single" w:sz="8" w:color="828282"/>
            </w:tcBorders>
            <w:shd w:val="clear" w:color="auto" w:fill="E5E5E5"/>
          </w:tcPr>
          <w:p>
            <w:pPr>
              <w:spacing w:after="0"/>
              <w:rPr>
                <w:sz w:val="16"/>
                <w:szCs w:val="16"/>
                <w:color w:val="auto"/>
              </w:rPr>
            </w:pPr>
          </w:p>
        </w:tc>
        <w:tc>
          <w:tcPr>
            <w:tcW w:w="20" w:type="dxa"/>
            <w:vAlign w:val="bottom"/>
            <w:tcBorders>
              <w:bottom w:val="single" w:sz="8" w:color="828282"/>
            </w:tcBorders>
            <w:shd w:val="clear" w:color="auto" w:fill="E5E5E5"/>
          </w:tcPr>
          <w:p>
            <w:pPr>
              <w:spacing w:after="0"/>
              <w:rPr>
                <w:sz w:val="16"/>
                <w:szCs w:val="16"/>
                <w:color w:val="auto"/>
              </w:rPr>
            </w:pPr>
          </w:p>
        </w:tc>
        <w:tc>
          <w:tcPr>
            <w:tcW w:w="126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139</w:t>
            </w:r>
          </w:p>
        </w:tc>
        <w:tc>
          <w:tcPr>
            <w:tcW w:w="130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124</w:t>
            </w:r>
          </w:p>
        </w:tc>
        <w:tc>
          <w:tcPr>
            <w:tcW w:w="96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15</w:t>
            </w:r>
          </w:p>
        </w:tc>
        <w:tc>
          <w:tcPr>
            <w:tcW w:w="840" w:type="dxa"/>
            <w:vAlign w:val="bottom"/>
            <w:tcBorders>
              <w:bottom w:val="single" w:sz="8" w:color="8C8272"/>
            </w:tcBorders>
            <w:shd w:val="clear" w:color="auto" w:fill="E5E5E5"/>
          </w:tcPr>
          <w:p>
            <w:pPr>
              <w:jc w:val="right"/>
              <w:ind w:right="10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2"/>
        </w:trPr>
        <w:tc>
          <w:tcPr>
            <w:tcW w:w="206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Total firm sales and</w:t>
            </w: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30,464</w:t>
            </w:r>
          </w:p>
        </w:tc>
        <w:tc>
          <w:tcPr>
            <w:tcW w:w="13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34,360</w:t>
            </w:r>
          </w:p>
        </w:tc>
        <w:tc>
          <w:tcPr>
            <w:tcW w:w="10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(3,896)</w:t>
            </w: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(11.3)</w:t>
            </w:r>
          </w:p>
        </w:tc>
        <w:tc>
          <w:tcPr>
            <w:tcW w:w="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w:t>
            </w:r>
          </w:p>
        </w:tc>
        <w:tc>
          <w:tcPr>
            <w:tcW w:w="12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431</w:t>
            </w: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379</w:t>
            </w:r>
          </w:p>
        </w:tc>
        <w:tc>
          <w:tcPr>
            <w:tcW w:w="9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52</w:t>
            </w: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13.7</w:t>
            </w:r>
          </w:p>
        </w:tc>
        <w:tc>
          <w:tcPr>
            <w:tcW w:w="0" w:type="dxa"/>
            <w:vAlign w:val="bottom"/>
          </w:tcPr>
          <w:p>
            <w:pPr>
              <w:spacing w:after="0"/>
              <w:rPr>
                <w:sz w:val="1"/>
                <w:szCs w:val="1"/>
                <w:color w:val="auto"/>
              </w:rPr>
            </w:pPr>
          </w:p>
        </w:tc>
      </w:tr>
      <w:tr>
        <w:trPr>
          <w:trHeight w:val="175"/>
        </w:trPr>
        <w:tc>
          <w:tcPr>
            <w:tcW w:w="2060" w:type="dxa"/>
            <w:vAlign w:val="bottom"/>
          </w:tcPr>
          <w:p>
            <w:pPr>
              <w:ind w:left="140"/>
              <w:spacing w:after="0"/>
              <w:rPr>
                <w:sz w:val="20"/>
                <w:szCs w:val="20"/>
                <w:color w:val="auto"/>
              </w:rPr>
            </w:pPr>
            <w:r>
              <w:rPr>
                <w:rFonts w:ascii="Arial" w:cs="Arial" w:eastAsia="Arial" w:hAnsi="Arial"/>
                <w:sz w:val="14"/>
                <w:szCs w:val="14"/>
                <w:b w:val="1"/>
                <w:bCs w:val="1"/>
                <w:color w:val="auto"/>
              </w:rPr>
              <w:t>transportation</w:t>
            </w:r>
          </w:p>
        </w:tc>
        <w:tc>
          <w:tcPr>
            <w:tcW w:w="11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60" w:type="dxa"/>
            <w:vAlign w:val="bottom"/>
            <w:shd w:val="clear" w:color="auto" w:fill="E5E5E5"/>
          </w:tcPr>
          <w:p>
            <w:pPr>
              <w:ind w:left="20"/>
              <w:spacing w:after="0"/>
              <w:rPr>
                <w:sz w:val="20"/>
                <w:szCs w:val="20"/>
                <w:color w:val="auto"/>
              </w:rPr>
            </w:pPr>
            <w:r>
              <w:rPr>
                <w:rFonts w:ascii="Arial" w:cs="Arial" w:eastAsia="Arial" w:hAnsi="Arial"/>
                <w:sz w:val="14"/>
                <w:szCs w:val="14"/>
                <w:color w:val="auto"/>
              </w:rPr>
              <w:t>Interruptible sales (c)</w:t>
            </w:r>
          </w:p>
        </w:tc>
        <w:tc>
          <w:tcPr>
            <w:tcW w:w="1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1,696</w:t>
            </w:r>
          </w:p>
        </w:tc>
        <w:tc>
          <w:tcPr>
            <w:tcW w:w="1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2,501</w:t>
            </w:r>
          </w:p>
        </w:tc>
        <w:tc>
          <w:tcPr>
            <w:tcW w:w="100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(805)</w:t>
            </w:r>
          </w:p>
        </w:tc>
        <w:tc>
          <w:tcPr>
            <w:tcW w:w="84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(32.2)</w:t>
            </w:r>
          </w:p>
        </w:tc>
        <w:tc>
          <w:tcPr>
            <w:tcW w:w="42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8"/>
              <w:spacing w:after="0"/>
              <w:rPr>
                <w:sz w:val="20"/>
                <w:szCs w:val="20"/>
                <w:color w:val="auto"/>
              </w:rPr>
            </w:pPr>
            <w:r>
              <w:rPr>
                <w:rFonts w:ascii="Arial" w:cs="Arial" w:eastAsia="Arial" w:hAnsi="Arial"/>
                <w:sz w:val="14"/>
                <w:szCs w:val="14"/>
                <w:color w:val="auto"/>
              </w:rPr>
              <w:t>7</w:t>
            </w:r>
          </w:p>
        </w:tc>
        <w:tc>
          <w:tcPr>
            <w:tcW w:w="13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7</w:t>
            </w:r>
          </w:p>
        </w:tc>
        <w:tc>
          <w:tcPr>
            <w:tcW w:w="96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NYPA</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12,036</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7,664</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4,372</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57.0</w:t>
            </w:r>
          </w:p>
        </w:tc>
        <w:tc>
          <w:tcPr>
            <w:tcW w:w="420" w:type="dxa"/>
            <w:vAlign w:val="bottom"/>
          </w:tcPr>
          <w:p>
            <w:pPr>
              <w:spacing w:after="0"/>
              <w:rPr>
                <w:sz w:val="16"/>
                <w:szCs w:val="16"/>
                <w:color w:val="auto"/>
              </w:rPr>
            </w:pPr>
          </w:p>
        </w:tc>
        <w:tc>
          <w:tcPr>
            <w:tcW w:w="1280" w:type="dxa"/>
            <w:vAlign w:val="bottom"/>
            <w:gridSpan w:val="2"/>
          </w:tcPr>
          <w:p>
            <w:pPr>
              <w:jc w:val="right"/>
              <w:ind w:right="8"/>
              <w:spacing w:after="0"/>
              <w:rPr>
                <w:sz w:val="20"/>
                <w:szCs w:val="20"/>
                <w:color w:val="auto"/>
              </w:rPr>
            </w:pPr>
            <w:r>
              <w:rPr>
                <w:rFonts w:ascii="Arial" w:cs="Arial" w:eastAsia="Arial" w:hAnsi="Arial"/>
                <w:sz w:val="14"/>
                <w:szCs w:val="14"/>
                <w:color w:val="auto"/>
              </w:rPr>
              <w:t>1</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60" w:type="dxa"/>
            <w:vAlign w:val="bottom"/>
            <w:shd w:val="clear" w:color="auto" w:fill="E5E5E5"/>
          </w:tcPr>
          <w:p>
            <w:pPr>
              <w:ind w:left="20"/>
              <w:spacing w:after="0"/>
              <w:rPr>
                <w:sz w:val="20"/>
                <w:szCs w:val="20"/>
                <w:color w:val="auto"/>
              </w:rPr>
            </w:pPr>
            <w:r>
              <w:rPr>
                <w:rFonts w:ascii="Arial" w:cs="Arial" w:eastAsia="Arial" w:hAnsi="Arial"/>
                <w:sz w:val="14"/>
                <w:szCs w:val="14"/>
                <w:color w:val="auto"/>
              </w:rPr>
              <w:t>Generation plants</w:t>
            </w:r>
          </w:p>
        </w:tc>
        <w:tc>
          <w:tcPr>
            <w:tcW w:w="1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11,725</w:t>
            </w:r>
          </w:p>
        </w:tc>
        <w:tc>
          <w:tcPr>
            <w:tcW w:w="1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10,239</w:t>
            </w:r>
          </w:p>
        </w:tc>
        <w:tc>
          <w:tcPr>
            <w:tcW w:w="100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1,486</w:t>
            </w:r>
          </w:p>
        </w:tc>
        <w:tc>
          <w:tcPr>
            <w:tcW w:w="8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14.5</w:t>
            </w:r>
          </w:p>
        </w:tc>
        <w:tc>
          <w:tcPr>
            <w:tcW w:w="42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8"/>
              <w:spacing w:after="0"/>
              <w:rPr>
                <w:sz w:val="20"/>
                <w:szCs w:val="20"/>
                <w:color w:val="auto"/>
              </w:rPr>
            </w:pPr>
            <w:r>
              <w:rPr>
                <w:rFonts w:ascii="Arial" w:cs="Arial" w:eastAsia="Arial" w:hAnsi="Arial"/>
                <w:sz w:val="14"/>
                <w:szCs w:val="14"/>
                <w:color w:val="auto"/>
              </w:rPr>
              <w:t>5</w:t>
            </w:r>
          </w:p>
        </w:tc>
        <w:tc>
          <w:tcPr>
            <w:tcW w:w="13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w:t>
            </w:r>
          </w:p>
        </w:tc>
        <w:tc>
          <w:tcPr>
            <w:tcW w:w="9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Other</w:t>
            </w:r>
          </w:p>
        </w:tc>
        <w:tc>
          <w:tcPr>
            <w:tcW w:w="118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color w:val="auto"/>
              </w:rPr>
              <w:t>4,759</w:t>
            </w:r>
          </w:p>
        </w:tc>
        <w:tc>
          <w:tcPr>
            <w:tcW w:w="132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color w:val="auto"/>
              </w:rPr>
              <w:t>5,078</w:t>
            </w:r>
          </w:p>
        </w:tc>
        <w:tc>
          <w:tcPr>
            <w:tcW w:w="100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color w:val="auto"/>
              </w:rPr>
              <w:t>(319)</w:t>
            </w:r>
          </w:p>
        </w:tc>
        <w:tc>
          <w:tcPr>
            <w:tcW w:w="84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color w:val="auto"/>
              </w:rPr>
              <w:t>(6.3)</w:t>
            </w:r>
          </w:p>
        </w:tc>
        <w:tc>
          <w:tcPr>
            <w:tcW w:w="420" w:type="dxa"/>
            <w:vAlign w:val="bottom"/>
            <w:tcBorders>
              <w:bottom w:val="single" w:sz="8" w:color="828282"/>
            </w:tcBorders>
          </w:tcPr>
          <w:p>
            <w:pPr>
              <w:spacing w:after="0"/>
              <w:rPr>
                <w:sz w:val="16"/>
                <w:szCs w:val="16"/>
                <w:color w:val="auto"/>
              </w:rPr>
            </w:pPr>
          </w:p>
        </w:tc>
        <w:tc>
          <w:tcPr>
            <w:tcW w:w="20" w:type="dxa"/>
            <w:vAlign w:val="bottom"/>
            <w:tcBorders>
              <w:bottom w:val="single" w:sz="8" w:color="828282"/>
            </w:tcBorders>
          </w:tcPr>
          <w:p>
            <w:pPr>
              <w:spacing w:after="0"/>
              <w:rPr>
                <w:sz w:val="16"/>
                <w:szCs w:val="16"/>
                <w:color w:val="auto"/>
              </w:rPr>
            </w:pPr>
          </w:p>
        </w:tc>
        <w:tc>
          <w:tcPr>
            <w:tcW w:w="126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color w:val="auto"/>
              </w:rPr>
              <w:t>7</w:t>
            </w:r>
          </w:p>
        </w:tc>
        <w:tc>
          <w:tcPr>
            <w:tcW w:w="130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8</w:t>
            </w:r>
          </w:p>
        </w:tc>
        <w:tc>
          <w:tcPr>
            <w:tcW w:w="960" w:type="dxa"/>
            <w:vAlign w:val="bottom"/>
            <w:tcBorders>
              <w:bottom w:val="single" w:sz="8" w:color="8C8272"/>
            </w:tcBorders>
          </w:tcPr>
          <w:p>
            <w:pPr>
              <w:jc w:val="right"/>
              <w:ind w:right="148"/>
              <w:spacing w:after="0"/>
              <w:rPr>
                <w:sz w:val="20"/>
                <w:szCs w:val="20"/>
                <w:color w:val="auto"/>
              </w:rPr>
            </w:pPr>
            <w:r>
              <w:rPr>
                <w:rFonts w:ascii="Arial" w:cs="Arial" w:eastAsia="Arial" w:hAnsi="Arial"/>
                <w:sz w:val="14"/>
                <w:szCs w:val="14"/>
                <w:color w:val="auto"/>
              </w:rPr>
              <w:t>(1)</w:t>
            </w:r>
          </w:p>
        </w:tc>
        <w:tc>
          <w:tcPr>
            <w:tcW w:w="84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3"/>
        </w:trPr>
        <w:tc>
          <w:tcPr>
            <w:tcW w:w="206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Other operating revenues (d)</w:t>
            </w:r>
          </w:p>
        </w:tc>
        <w:tc>
          <w:tcPr>
            <w:tcW w:w="118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C8272"/>
            </w:tcBorders>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828282"/>
            </w:tcBorders>
            <w:shd w:val="clear" w:color="auto" w:fill="E5E5E5"/>
          </w:tcPr>
          <w:p>
            <w:pPr>
              <w:spacing w:after="0"/>
              <w:rPr>
                <w:sz w:val="15"/>
                <w:szCs w:val="15"/>
                <w:color w:val="auto"/>
              </w:rPr>
            </w:pPr>
          </w:p>
        </w:tc>
        <w:tc>
          <w:tcPr>
            <w:tcW w:w="20" w:type="dxa"/>
            <w:vAlign w:val="bottom"/>
            <w:tcBorders>
              <w:bottom w:val="single" w:sz="8" w:color="828282"/>
            </w:tcBorders>
            <w:shd w:val="clear" w:color="auto" w:fill="E5E5E5"/>
          </w:tcPr>
          <w:p>
            <w:pPr>
              <w:spacing w:after="0"/>
              <w:rPr>
                <w:sz w:val="15"/>
                <w:szCs w:val="15"/>
                <w:color w:val="auto"/>
              </w:rPr>
            </w:pPr>
          </w:p>
        </w:tc>
        <w:tc>
          <w:tcPr>
            <w:tcW w:w="126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(2)</w:t>
            </w:r>
          </w:p>
        </w:tc>
        <w:tc>
          <w:tcPr>
            <w:tcW w:w="130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16</w:t>
            </w:r>
          </w:p>
        </w:tc>
        <w:tc>
          <w:tcPr>
            <w:tcW w:w="96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(18)</w:t>
            </w:r>
          </w:p>
        </w:tc>
        <w:tc>
          <w:tcPr>
            <w:tcW w:w="8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Large</w:t>
            </w:r>
          </w:p>
        </w:tc>
        <w:tc>
          <w:tcPr>
            <w:tcW w:w="0" w:type="dxa"/>
            <w:vAlign w:val="bottom"/>
          </w:tcPr>
          <w:p>
            <w:pPr>
              <w:spacing w:after="0"/>
              <w:rPr>
                <w:sz w:val="1"/>
                <w:szCs w:val="1"/>
                <w:color w:val="auto"/>
              </w:rPr>
            </w:pPr>
          </w:p>
        </w:tc>
      </w:tr>
      <w:tr>
        <w:trPr>
          <w:trHeight w:val="183"/>
        </w:trPr>
        <w:tc>
          <w:tcPr>
            <w:tcW w:w="2060" w:type="dxa"/>
            <w:vAlign w:val="bottom"/>
            <w:tcBorders>
              <w:bottom w:val="single" w:sz="8" w:color="8C8272"/>
            </w:tcBorders>
          </w:tcPr>
          <w:p>
            <w:pPr>
              <w:ind w:left="360"/>
              <w:spacing w:after="0"/>
              <w:rPr>
                <w:sz w:val="20"/>
                <w:szCs w:val="20"/>
                <w:color w:val="auto"/>
              </w:rPr>
            </w:pPr>
            <w:r>
              <w:rPr>
                <w:rFonts w:ascii="Arial" w:cs="Arial" w:eastAsia="Arial" w:hAnsi="Arial"/>
                <w:sz w:val="14"/>
                <w:szCs w:val="14"/>
                <w:b w:val="1"/>
                <w:bCs w:val="1"/>
                <w:color w:val="auto"/>
              </w:rPr>
              <w:t>Total</w:t>
            </w:r>
          </w:p>
        </w:tc>
        <w:tc>
          <w:tcPr>
            <w:tcW w:w="118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b w:val="1"/>
                <w:bCs w:val="1"/>
                <w:color w:val="auto"/>
              </w:rPr>
              <w:t>60,680</w:t>
            </w:r>
          </w:p>
        </w:tc>
        <w:tc>
          <w:tcPr>
            <w:tcW w:w="132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59,842</w:t>
            </w:r>
          </w:p>
        </w:tc>
        <w:tc>
          <w:tcPr>
            <w:tcW w:w="1000" w:type="dxa"/>
            <w:vAlign w:val="bottom"/>
            <w:tcBorders>
              <w:bottom w:val="single" w:sz="8" w:color="8C8272"/>
            </w:tcBorders>
          </w:tcPr>
          <w:p>
            <w:pPr>
              <w:jc w:val="right"/>
              <w:ind w:right="208"/>
              <w:spacing w:after="0"/>
              <w:rPr>
                <w:sz w:val="20"/>
                <w:szCs w:val="20"/>
                <w:color w:val="auto"/>
              </w:rPr>
            </w:pPr>
            <w:r>
              <w:rPr>
                <w:rFonts w:ascii="Arial" w:cs="Arial" w:eastAsia="Arial" w:hAnsi="Arial"/>
                <w:sz w:val="14"/>
                <w:szCs w:val="14"/>
                <w:b w:val="1"/>
                <w:bCs w:val="1"/>
                <w:color w:val="auto"/>
              </w:rPr>
              <w:t>838</w:t>
            </w:r>
          </w:p>
        </w:tc>
        <w:tc>
          <w:tcPr>
            <w:tcW w:w="8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1.4 %</w:t>
            </w:r>
          </w:p>
        </w:tc>
        <w:tc>
          <w:tcPr>
            <w:tcW w:w="420" w:type="dxa"/>
            <w:vAlign w:val="bottom"/>
            <w:tcBorders>
              <w:bottom w:val="single" w:sz="8" w:color="828282"/>
            </w:tcBorders>
          </w:tcPr>
          <w:p>
            <w:pPr>
              <w:spacing w:after="0"/>
              <w:rPr>
                <w:sz w:val="15"/>
                <w:szCs w:val="15"/>
                <w:color w:val="auto"/>
              </w:rPr>
            </w:pPr>
          </w:p>
        </w:tc>
        <w:tc>
          <w:tcPr>
            <w:tcW w:w="20" w:type="dxa"/>
            <w:vAlign w:val="bottom"/>
            <w:tcBorders>
              <w:bottom w:val="single" w:sz="8" w:color="828282"/>
            </w:tcBorders>
          </w:tcPr>
          <w:p>
            <w:pPr>
              <w:spacing w:after="0"/>
              <w:rPr>
                <w:sz w:val="15"/>
                <w:szCs w:val="15"/>
                <w:color w:val="auto"/>
              </w:rPr>
            </w:pPr>
          </w:p>
        </w:tc>
        <w:tc>
          <w:tcPr>
            <w:tcW w:w="126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b w:val="1"/>
                <w:bCs w:val="1"/>
                <w:color w:val="auto"/>
              </w:rPr>
              <w:t>$449</w:t>
            </w:r>
          </w:p>
        </w:tc>
        <w:tc>
          <w:tcPr>
            <w:tcW w:w="130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$416</w:t>
            </w:r>
          </w:p>
        </w:tc>
        <w:tc>
          <w:tcPr>
            <w:tcW w:w="96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$33</w:t>
            </w:r>
          </w:p>
        </w:tc>
        <w:tc>
          <w:tcPr>
            <w:tcW w:w="8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7.9 %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-128270</wp:posOffset>
            </wp:positionV>
            <wp:extent cx="8255" cy="1714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-102235</wp:posOffset>
            </wp:positionV>
            <wp:extent cx="8255"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-85090</wp:posOffset>
            </wp:positionV>
            <wp:extent cx="8255"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-67945</wp:posOffset>
            </wp:positionV>
            <wp:extent cx="8255"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-50800</wp:posOffset>
            </wp:positionV>
            <wp:extent cx="8255"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-33655</wp:posOffset>
            </wp:positionV>
            <wp:extent cx="8255"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-16510</wp:posOffset>
            </wp:positionV>
            <wp:extent cx="8255"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-256540</wp:posOffset>
            </wp:positionV>
            <wp:extent cx="8255" cy="1714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-231140</wp:posOffset>
            </wp:positionV>
            <wp:extent cx="8255"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-213995</wp:posOffset>
            </wp:positionV>
            <wp:extent cx="8255"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-196850</wp:posOffset>
            </wp:positionV>
            <wp:extent cx="8255"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-179705</wp:posOffset>
            </wp:positionV>
            <wp:extent cx="8255"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-162560</wp:posOffset>
            </wp:positionV>
            <wp:extent cx="8255"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-145415</wp:posOffset>
            </wp:positionV>
            <wp:extent cx="8255"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-359410</wp:posOffset>
            </wp:positionV>
            <wp:extent cx="8255"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-342265</wp:posOffset>
            </wp:positionV>
            <wp:extent cx="8255"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-325120</wp:posOffset>
            </wp:positionV>
            <wp:extent cx="8255"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-307975</wp:posOffset>
            </wp:positionV>
            <wp:extent cx="8255"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-290830</wp:posOffset>
            </wp:positionV>
            <wp:extent cx="8255"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-273685</wp:posOffset>
            </wp:positionV>
            <wp:extent cx="8255"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-479425</wp:posOffset>
            </wp:positionV>
            <wp:extent cx="8255"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-462280</wp:posOffset>
            </wp:positionV>
            <wp:extent cx="8255"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-445135</wp:posOffset>
            </wp:positionV>
            <wp:extent cx="8255"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-427990</wp:posOffset>
            </wp:positionV>
            <wp:extent cx="8255"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-410845</wp:posOffset>
            </wp:positionV>
            <wp:extent cx="8255"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-393700</wp:posOffset>
            </wp:positionV>
            <wp:extent cx="8255" cy="2540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-599440</wp:posOffset>
            </wp:positionV>
            <wp:extent cx="8255"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-582295</wp:posOffset>
            </wp:positionV>
            <wp:extent cx="8255"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-565150</wp:posOffset>
            </wp:positionV>
            <wp:extent cx="8255"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-548005</wp:posOffset>
            </wp:positionV>
            <wp:extent cx="8255"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-530860</wp:posOffset>
            </wp:positionV>
            <wp:extent cx="8255"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-513715</wp:posOffset>
            </wp:positionV>
            <wp:extent cx="8255" cy="2540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-719455</wp:posOffset>
            </wp:positionV>
            <wp:extent cx="8255"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-702310</wp:posOffset>
            </wp:positionV>
            <wp:extent cx="8255"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-685165</wp:posOffset>
            </wp:positionV>
            <wp:extent cx="8255"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-668020</wp:posOffset>
            </wp:positionV>
            <wp:extent cx="8255"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-650875</wp:posOffset>
            </wp:positionV>
            <wp:extent cx="8255"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-633730</wp:posOffset>
            </wp:positionV>
            <wp:extent cx="8255" cy="2540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-951230</wp:posOffset>
            </wp:positionV>
            <wp:extent cx="8255" cy="1714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-925195</wp:posOffset>
            </wp:positionV>
            <wp:extent cx="8255"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-908050</wp:posOffset>
            </wp:positionV>
            <wp:extent cx="8255"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-890905</wp:posOffset>
            </wp:positionV>
            <wp:extent cx="8255"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-873760</wp:posOffset>
            </wp:positionV>
            <wp:extent cx="8255"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-856615</wp:posOffset>
            </wp:positionV>
            <wp:extent cx="8255"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-839470</wp:posOffset>
            </wp:positionV>
            <wp:extent cx="8255"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-822325</wp:posOffset>
            </wp:positionV>
            <wp:extent cx="8255" cy="88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-805180</wp:posOffset>
            </wp:positionV>
            <wp:extent cx="8255"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-788035</wp:posOffset>
            </wp:positionV>
            <wp:extent cx="8255"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-770890</wp:posOffset>
            </wp:positionV>
            <wp:extent cx="8255"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-753745</wp:posOffset>
            </wp:positionV>
            <wp:extent cx="8255" cy="2540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-1053465</wp:posOffset>
            </wp:positionV>
            <wp:extent cx="8255"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-1036955</wp:posOffset>
            </wp:positionV>
            <wp:extent cx="8255" cy="88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-1019810</wp:posOffset>
            </wp:positionV>
            <wp:extent cx="8255"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-1002665</wp:posOffset>
            </wp:positionV>
            <wp:extent cx="8255"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-985520</wp:posOffset>
            </wp:positionV>
            <wp:extent cx="8255"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-967740</wp:posOffset>
            </wp:positionV>
            <wp:extent cx="8255"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-1174115</wp:posOffset>
            </wp:positionV>
            <wp:extent cx="8255"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-1156970</wp:posOffset>
            </wp:positionV>
            <wp:extent cx="8255"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-1139190</wp:posOffset>
            </wp:positionV>
            <wp:extent cx="8255"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-1122680</wp:posOffset>
            </wp:positionV>
            <wp:extent cx="8255" cy="889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-1105535</wp:posOffset>
            </wp:positionV>
            <wp:extent cx="8255" cy="889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-1088390</wp:posOffset>
            </wp:positionV>
            <wp:extent cx="8255" cy="2540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-1319530</wp:posOffset>
            </wp:positionV>
            <wp:extent cx="8255" cy="1714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-1294130</wp:posOffset>
            </wp:positionV>
            <wp:extent cx="8255" cy="88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-1276985</wp:posOffset>
            </wp:positionV>
            <wp:extent cx="8255" cy="889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-1259840</wp:posOffset>
            </wp:positionV>
            <wp:extent cx="8255"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-1242695</wp:posOffset>
            </wp:positionV>
            <wp:extent cx="8255"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-1224915</wp:posOffset>
            </wp:positionV>
            <wp:extent cx="8255"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-1208405</wp:posOffset>
            </wp:positionV>
            <wp:extent cx="8255" cy="2603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-1534160</wp:posOffset>
            </wp:positionV>
            <wp:extent cx="8255" cy="1714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-1508125</wp:posOffset>
            </wp:positionV>
            <wp:extent cx="8255"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-1490980</wp:posOffset>
            </wp:positionV>
            <wp:extent cx="8255" cy="889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-1473835</wp:posOffset>
            </wp:positionV>
            <wp:extent cx="8255"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-1456690</wp:posOffset>
            </wp:positionV>
            <wp:extent cx="8255"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-1439545</wp:posOffset>
            </wp:positionV>
            <wp:extent cx="8255"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-1422400</wp:posOffset>
            </wp:positionV>
            <wp:extent cx="8255"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-1405255</wp:posOffset>
            </wp:positionV>
            <wp:extent cx="8255" cy="88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-1388110</wp:posOffset>
            </wp:positionV>
            <wp:extent cx="8255" cy="88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-1370965</wp:posOffset>
            </wp:positionV>
            <wp:extent cx="8255"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-1353820</wp:posOffset>
            </wp:positionV>
            <wp:extent cx="8255"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-1336675</wp:posOffset>
            </wp:positionV>
            <wp:extent cx="8255"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-1688465</wp:posOffset>
            </wp:positionV>
            <wp:extent cx="8255" cy="88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-1671320</wp:posOffset>
            </wp:positionV>
            <wp:extent cx="8255"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-1653540</wp:posOffset>
            </wp:positionV>
            <wp:extent cx="8255"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-1636395</wp:posOffset>
            </wp:positionV>
            <wp:extent cx="8255"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-1619885</wp:posOffset>
            </wp:positionV>
            <wp:extent cx="8255" cy="88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-1602740</wp:posOffset>
            </wp:positionV>
            <wp:extent cx="8255" cy="88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-1585595</wp:posOffset>
            </wp:positionV>
            <wp:extent cx="8255"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-1567815</wp:posOffset>
            </wp:positionV>
            <wp:extent cx="8255"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-1550670</wp:posOffset>
            </wp:positionV>
            <wp:extent cx="8255"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79" w:lineRule="exact"/>
        <w:rPr>
          <w:sz w:val="20"/>
          <w:szCs w:val="20"/>
          <w:color w:val="auto"/>
        </w:rPr>
      </w:pPr>
    </w:p>
    <w:p>
      <w:pPr>
        <w:ind w:left="340" w:right="300" w:hanging="332"/>
        <w:spacing w:after="0" w:line="241"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Revenues from gas sales are subject to a weather normalization clause and a revenue decoupling mechanism, as a result of which delivery revenues are generally not affected by changes in delivery volumes from levels assumed when rates were approved.</w:t>
      </w:r>
    </w:p>
    <w:p>
      <w:pPr>
        <w:ind w:left="340" w:right="340" w:hanging="332"/>
        <w:spacing w:after="0" w:line="241"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After adjusting for variations, primarily billing days, firm gas sales and transportation volumes in the company’s service area decreased 1.4 percent in the three months ended June 30, 2021 compared with the 2020 period. See “Coronavirus Disease 2019 (COVID-19) Impacts,” above.</w:t>
      </w: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680 thousand and 1,315 thousand of Dt for the 2021 and 2020 periods, respectively, which are also reflected in firm transportation and other.</w:t>
      </w:r>
    </w:p>
    <w:p>
      <w:pPr>
        <w:spacing w:after="0" w:line="1" w:lineRule="exact"/>
        <w:rPr>
          <w:rFonts w:ascii="Arial" w:cs="Arial" w:eastAsia="Arial" w:hAnsi="Arial"/>
          <w:sz w:val="14"/>
          <w:szCs w:val="14"/>
          <w:color w:val="auto"/>
        </w:rPr>
      </w:pPr>
    </w:p>
    <w:p>
      <w:pPr>
        <w:ind w:left="340" w:right="260" w:hanging="332"/>
        <w:spacing w:after="0" w:line="258"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Other gas operating revenues generally reflect changes in the revenue decoupling mechanism and weather normalization clause current asset or regulatory liability and changes in regulatory assets and liabilities in accordance with other provisions of the company’s rate plans.</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63" w:name="page64"/>
    <w:bookmarkEnd w:id="63"/>
    <w:p>
      <w:pPr>
        <w:ind w:right="520"/>
        <w:spacing w:after="0" w:line="282"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increased $33 million in the three months ended June 30, 2021 compared with the 2020 period primarily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revenues from the gas rate plan ($40 million), offset in part by lower gas purchased for resale ($1 million).</w:t>
      </w:r>
    </w:p>
    <w:p>
      <w:pPr>
        <w:spacing w:after="0" w:line="189"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i w:val="1"/>
          <w:iCs w:val="1"/>
          <w:color w:val="auto"/>
        </w:rPr>
        <w:t xml:space="preserve">Gas purchased for resale </w:t>
      </w:r>
      <w:r>
        <w:rPr>
          <w:rFonts w:ascii="Arial" w:cs="Arial" w:eastAsia="Arial" w:hAnsi="Arial"/>
          <w:sz w:val="18"/>
          <w:szCs w:val="18"/>
          <w:color w:val="auto"/>
        </w:rPr>
        <w:t>decreased $ 1 million in the three months ended June 30, 2021 compared with the 2020 period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volumes ($2 million), offset in part by higher unit costs ($1 million).</w:t>
      </w:r>
    </w:p>
    <w:p>
      <w:pPr>
        <w:spacing w:after="0" w:line="18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Other operations and maintenance </w:t>
      </w:r>
      <w:r>
        <w:rPr>
          <w:rFonts w:ascii="Arial" w:cs="Arial" w:eastAsia="Arial" w:hAnsi="Arial"/>
          <w:sz w:val="18"/>
          <w:szCs w:val="18"/>
          <w:color w:val="auto"/>
        </w:rPr>
        <w:t>expenses increased $4 million in the three months ended June 30, 2021 compared with the 2020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healthcare costs.</w:t>
      </w:r>
    </w:p>
    <w:p>
      <w:pPr>
        <w:spacing w:after="0" w:line="18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increased $8 million in the three months ended June 30, 2021 compared with the 2020 period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gas utility plant balances.</w:t>
      </w:r>
    </w:p>
    <w:p>
      <w:pPr>
        <w:spacing w:after="0" w:line="18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$28 million in the three months ended June 30, 2021 compared with the 2020 period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lower deferral of under-collected property taxes ($15 million), higher property taxes ($10 million), and higher state and local taxes ($2 million).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Steam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CECONY’s results of steam operations for the three months ended June 30, 2021 compared with the 2020 period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Borders>
              <w:bottom w:val="single" w:sz="8" w:color="8C8272"/>
            </w:tcBorders>
          </w:tcPr>
          <w:p>
            <w:pPr>
              <w:spacing w:after="0"/>
              <w:rPr>
                <w:sz w:val="16"/>
                <w:szCs w:val="16"/>
                <w:color w:val="auto"/>
              </w:rPr>
            </w:pPr>
          </w:p>
        </w:tc>
        <w:tc>
          <w:tcPr>
            <w:tcW w:w="5380" w:type="dxa"/>
            <w:vAlign w:val="bottom"/>
            <w:tcBorders>
              <w:bottom w:val="single" w:sz="8" w:color="8C8272"/>
            </w:tcBorders>
            <w:gridSpan w:val="2"/>
          </w:tcPr>
          <w:p>
            <w:pPr>
              <w:jc w:val="right"/>
              <w:ind w:right="768"/>
              <w:spacing w:after="0"/>
              <w:rPr>
                <w:sz w:val="20"/>
                <w:szCs w:val="20"/>
                <w:color w:val="auto"/>
              </w:rPr>
            </w:pPr>
            <w:r>
              <w:rPr>
                <w:rFonts w:ascii="Arial" w:cs="Arial" w:eastAsia="Arial" w:hAnsi="Arial"/>
                <w:sz w:val="14"/>
                <w:szCs w:val="14"/>
                <w:b w:val="1"/>
                <w:bCs w:val="1"/>
                <w:color w:val="auto"/>
              </w:rPr>
              <w:t>For the Three Months Ended</w:t>
            </w:r>
          </w:p>
        </w:tc>
        <w:tc>
          <w:tcPr>
            <w:tcW w:w="1040" w:type="dxa"/>
            <w:vAlign w:val="bottom"/>
            <w:tcBorders>
              <w:bottom w:val="single" w:sz="8" w:color="8C8272"/>
            </w:tcBorders>
          </w:tcPr>
          <w:p>
            <w:pPr>
              <w:spacing w:after="0"/>
              <w:rPr>
                <w:sz w:val="16"/>
                <w:szCs w:val="16"/>
                <w:color w:val="auto"/>
              </w:rPr>
            </w:pPr>
          </w:p>
        </w:tc>
      </w:tr>
      <w:tr>
        <w:trPr>
          <w:trHeight w:val="183"/>
        </w:trPr>
        <w:tc>
          <w:tcPr>
            <w:tcW w:w="482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78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June 30, 2021</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June 30, 2020</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r>
      <w:tr>
        <w:trPr>
          <w:trHeight w:val="183"/>
        </w:trPr>
        <w:tc>
          <w:tcPr>
            <w:tcW w:w="4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revenues</w:t>
            </w:r>
          </w:p>
        </w:tc>
        <w:tc>
          <w:tcPr>
            <w:tcW w:w="37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$74</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$84</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4820" w:type="dxa"/>
            <w:vAlign w:val="bottom"/>
          </w:tcPr>
          <w:p>
            <w:pPr>
              <w:ind w:left="20"/>
              <w:spacing w:after="0"/>
              <w:rPr>
                <w:sz w:val="20"/>
                <w:szCs w:val="20"/>
                <w:color w:val="auto"/>
              </w:rPr>
            </w:pPr>
            <w:r>
              <w:rPr>
                <w:rFonts w:ascii="Arial" w:cs="Arial" w:eastAsia="Arial" w:hAnsi="Arial"/>
                <w:sz w:val="14"/>
                <w:szCs w:val="14"/>
                <w:color w:val="auto"/>
              </w:rPr>
              <w:t>Purchased power</w:t>
            </w:r>
          </w:p>
        </w:tc>
        <w:tc>
          <w:tcPr>
            <w:tcW w:w="3780" w:type="dxa"/>
            <w:vAlign w:val="bottom"/>
          </w:tcPr>
          <w:p>
            <w:pPr>
              <w:jc w:val="right"/>
              <w:ind w:right="168"/>
              <w:spacing w:after="0"/>
              <w:rPr>
                <w:sz w:val="20"/>
                <w:szCs w:val="20"/>
                <w:color w:val="auto"/>
              </w:rPr>
            </w:pPr>
            <w:r>
              <w:rPr>
                <w:rFonts w:ascii="Arial" w:cs="Arial" w:eastAsia="Arial" w:hAnsi="Arial"/>
                <w:sz w:val="14"/>
                <w:szCs w:val="14"/>
                <w:color w:val="auto"/>
              </w:rPr>
              <w:t>6</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5</w:t>
            </w: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4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Fuel</w:t>
            </w:r>
          </w:p>
        </w:tc>
        <w:tc>
          <w:tcPr>
            <w:tcW w:w="37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6</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16</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4820" w:type="dxa"/>
            <w:vAlign w:val="bottom"/>
          </w:tcPr>
          <w:p>
            <w:pPr>
              <w:ind w:left="20"/>
              <w:spacing w:after="0"/>
              <w:rPr>
                <w:sz w:val="20"/>
                <w:szCs w:val="20"/>
                <w:color w:val="auto"/>
              </w:rPr>
            </w:pPr>
            <w:r>
              <w:rPr>
                <w:rFonts w:ascii="Arial" w:cs="Arial" w:eastAsia="Arial" w:hAnsi="Arial"/>
                <w:sz w:val="14"/>
                <w:szCs w:val="14"/>
                <w:color w:val="auto"/>
              </w:rPr>
              <w:t>Other operations and maintenance</w:t>
            </w:r>
          </w:p>
        </w:tc>
        <w:tc>
          <w:tcPr>
            <w:tcW w:w="3780" w:type="dxa"/>
            <w:vAlign w:val="bottom"/>
          </w:tcPr>
          <w:p>
            <w:pPr>
              <w:jc w:val="right"/>
              <w:ind w:right="168"/>
              <w:spacing w:after="0"/>
              <w:rPr>
                <w:sz w:val="20"/>
                <w:szCs w:val="20"/>
                <w:color w:val="auto"/>
              </w:rPr>
            </w:pPr>
            <w:r>
              <w:rPr>
                <w:rFonts w:ascii="Arial" w:cs="Arial" w:eastAsia="Arial" w:hAnsi="Arial"/>
                <w:sz w:val="14"/>
                <w:szCs w:val="14"/>
                <w:color w:val="auto"/>
              </w:rPr>
              <w:t>39</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40</w:t>
            </w: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4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Depreciation and amortization</w:t>
            </w:r>
          </w:p>
        </w:tc>
        <w:tc>
          <w:tcPr>
            <w:tcW w:w="37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23</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23</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8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Taxes, other than income taxes</w:t>
            </w:r>
          </w:p>
        </w:tc>
        <w:tc>
          <w:tcPr>
            <w:tcW w:w="378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color w:val="auto"/>
              </w:rPr>
              <w:t>33</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color w:val="auto"/>
              </w:rPr>
              <w:t>34</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482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b w:val="1"/>
                <w:bCs w:val="1"/>
                <w:color w:val="auto"/>
              </w:rPr>
              <w:t>Steam operating income</w:t>
            </w:r>
          </w:p>
        </w:tc>
        <w:tc>
          <w:tcPr>
            <w:tcW w:w="3780" w:type="dxa"/>
            <w:vAlign w:val="bottom"/>
            <w:tcBorders>
              <w:bottom w:val="single" w:sz="8" w:color="8C8272"/>
            </w:tcBorders>
            <w:shd w:val="clear" w:color="auto" w:fill="E5E5E5"/>
          </w:tcPr>
          <w:p>
            <w:pPr>
              <w:jc w:val="right"/>
              <w:ind w:right="168"/>
              <w:spacing w:after="0"/>
              <w:rPr>
                <w:sz w:val="20"/>
                <w:szCs w:val="20"/>
                <w:color w:val="auto"/>
              </w:rPr>
            </w:pPr>
            <w:r>
              <w:rPr>
                <w:rFonts w:ascii="Arial" w:cs="Arial" w:eastAsia="Arial" w:hAnsi="Arial"/>
                <w:sz w:val="14"/>
                <w:szCs w:val="14"/>
                <w:b w:val="1"/>
                <w:bCs w:val="1"/>
                <w:color w:val="auto"/>
              </w:rPr>
              <w:t>$(33)</w:t>
            </w:r>
          </w:p>
        </w:tc>
        <w:tc>
          <w:tcPr>
            <w:tcW w:w="1600" w:type="dxa"/>
            <w:vAlign w:val="bottom"/>
            <w:tcBorders>
              <w:bottom w:val="single" w:sz="8" w:color="8C8272"/>
            </w:tcBorders>
            <w:shd w:val="clear" w:color="auto" w:fill="E5E5E5"/>
          </w:tcPr>
          <w:p>
            <w:pPr>
              <w:jc w:val="right"/>
              <w:ind w:right="328"/>
              <w:spacing w:after="0"/>
              <w:rPr>
                <w:sz w:val="20"/>
                <w:szCs w:val="20"/>
                <w:color w:val="auto"/>
              </w:rPr>
            </w:pPr>
            <w:r>
              <w:rPr>
                <w:rFonts w:ascii="Arial" w:cs="Arial" w:eastAsia="Arial" w:hAnsi="Arial"/>
                <w:sz w:val="14"/>
                <w:szCs w:val="14"/>
                <w:b w:val="1"/>
                <w:bCs w:val="1"/>
                <w:color w:val="auto"/>
              </w:rPr>
              <w:t>$(34)</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$1</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CECONY’s steam sales and deliveries for the three months ended June 30, 2021 compared with the 2020 period were: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60" w:type="dxa"/>
            <w:vAlign w:val="bottom"/>
            <w:tcBorders>
              <w:bottom w:val="single" w:sz="8" w:color="8C8272"/>
            </w:tcBorders>
          </w:tcPr>
          <w:p>
            <w:pPr>
              <w:spacing w:after="0"/>
              <w:rPr>
                <w:sz w:val="16"/>
                <w:szCs w:val="16"/>
                <w:color w:val="auto"/>
              </w:rPr>
            </w:pPr>
          </w:p>
        </w:tc>
        <w:tc>
          <w:tcPr>
            <w:tcW w:w="1140" w:type="dxa"/>
            <w:vAlign w:val="bottom"/>
            <w:tcBorders>
              <w:bottom w:val="single" w:sz="8" w:color="8C8272"/>
            </w:tcBorders>
          </w:tcPr>
          <w:p>
            <w:pPr>
              <w:spacing w:after="0"/>
              <w:rPr>
                <w:sz w:val="16"/>
                <w:szCs w:val="16"/>
                <w:color w:val="auto"/>
              </w:rPr>
            </w:pPr>
          </w:p>
        </w:tc>
        <w:tc>
          <w:tcPr>
            <w:tcW w:w="2340" w:type="dxa"/>
            <w:vAlign w:val="bottom"/>
            <w:tcBorders>
              <w:bottom w:val="single" w:sz="8" w:color="8C8272"/>
            </w:tcBorders>
            <w:gridSpan w:val="2"/>
          </w:tcPr>
          <w:p>
            <w:pPr>
              <w:jc w:val="right"/>
              <w:ind w:right="288"/>
              <w:spacing w:after="0"/>
              <w:rPr>
                <w:sz w:val="20"/>
                <w:szCs w:val="20"/>
                <w:color w:val="auto"/>
              </w:rPr>
            </w:pPr>
            <w:r>
              <w:rPr>
                <w:rFonts w:ascii="Arial" w:cs="Arial" w:eastAsia="Arial" w:hAnsi="Arial"/>
                <w:sz w:val="14"/>
                <w:szCs w:val="14"/>
                <w:b w:val="1"/>
                <w:bCs w:val="1"/>
                <w:color w:val="auto"/>
              </w:rPr>
              <w:t>Millions of Pounds Delivered</w:t>
            </w:r>
          </w:p>
        </w:tc>
        <w:tc>
          <w:tcPr>
            <w:tcW w:w="860" w:type="dxa"/>
            <w:vAlign w:val="bottom"/>
            <w:tcBorders>
              <w:bottom w:val="single" w:sz="8" w:color="8C8272"/>
            </w:tcBorders>
          </w:tcPr>
          <w:p>
            <w:pPr>
              <w:spacing w:after="0"/>
              <w:rPr>
                <w:sz w:val="16"/>
                <w:szCs w:val="16"/>
                <w:color w:val="auto"/>
              </w:rPr>
            </w:pPr>
          </w:p>
        </w:tc>
        <w:tc>
          <w:tcPr>
            <w:tcW w:w="420" w:type="dxa"/>
            <w:vAlign w:val="bottom"/>
            <w:tcBorders>
              <w:bottom w:val="single" w:sz="8" w:color="828282"/>
            </w:tcBorders>
          </w:tcPr>
          <w:p>
            <w:pPr>
              <w:spacing w:after="0"/>
              <w:rPr>
                <w:sz w:val="16"/>
                <w:szCs w:val="16"/>
                <w:color w:val="auto"/>
              </w:rPr>
            </w:pPr>
          </w:p>
        </w:tc>
        <w:tc>
          <w:tcPr>
            <w:tcW w:w="1340" w:type="dxa"/>
            <w:vAlign w:val="bottom"/>
            <w:tcBorders>
              <w:bottom w:val="single" w:sz="8" w:color="8C8272"/>
            </w:tcBorders>
          </w:tcPr>
          <w:p>
            <w:pPr>
              <w:spacing w:after="0"/>
              <w:rPr>
                <w:sz w:val="16"/>
                <w:szCs w:val="16"/>
                <w:color w:val="auto"/>
              </w:rPr>
            </w:pPr>
          </w:p>
        </w:tc>
        <w:tc>
          <w:tcPr>
            <w:tcW w:w="2200" w:type="dxa"/>
            <w:vAlign w:val="bottom"/>
            <w:tcBorders>
              <w:bottom w:val="single" w:sz="8" w:color="8C8272"/>
            </w:tcBorders>
            <w:gridSpan w:val="2"/>
          </w:tcPr>
          <w:p>
            <w:pPr>
              <w:jc w:val="right"/>
              <w:ind w:right="568"/>
              <w:spacing w:after="0"/>
              <w:rPr>
                <w:sz w:val="20"/>
                <w:szCs w:val="20"/>
                <w:color w:val="auto"/>
              </w:rPr>
            </w:pPr>
            <w:r>
              <w:rPr>
                <w:rFonts w:ascii="Arial" w:cs="Arial" w:eastAsia="Arial" w:hAnsi="Arial"/>
                <w:sz w:val="14"/>
                <w:szCs w:val="14"/>
                <w:b w:val="1"/>
                <w:bCs w:val="1"/>
                <w:color w:val="auto"/>
              </w:rPr>
              <w:t>Revenues in Millions</w:t>
            </w:r>
          </w:p>
        </w:tc>
        <w:tc>
          <w:tcPr>
            <w:tcW w:w="840" w:type="dxa"/>
            <w:vAlign w:val="bottom"/>
            <w:tcBorders>
              <w:bottom w:val="single" w:sz="8" w:color="8C8272"/>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8C8272"/>
            </w:tcBorders>
          </w:tcPr>
          <w:p>
            <w:pPr>
              <w:spacing w:after="0"/>
              <w:rPr>
                <w:sz w:val="19"/>
                <w:szCs w:val="19"/>
                <w:color w:val="auto"/>
              </w:rPr>
            </w:pPr>
          </w:p>
        </w:tc>
        <w:tc>
          <w:tcPr>
            <w:tcW w:w="2500" w:type="dxa"/>
            <w:vAlign w:val="bottom"/>
            <w:tcBorders>
              <w:bottom w:val="single" w:sz="8" w:color="8C8272"/>
            </w:tcBorders>
            <w:gridSpan w:val="2"/>
          </w:tcPr>
          <w:p>
            <w:pPr>
              <w:jc w:val="right"/>
              <w:ind w:right="308"/>
              <w:spacing w:after="0"/>
              <w:rPr>
                <w:sz w:val="20"/>
                <w:szCs w:val="20"/>
                <w:color w:val="auto"/>
              </w:rPr>
            </w:pPr>
            <w:r>
              <w:rPr>
                <w:rFonts w:ascii="Arial" w:cs="Arial" w:eastAsia="Arial" w:hAnsi="Arial"/>
                <w:sz w:val="14"/>
                <w:szCs w:val="14"/>
                <w:b w:val="1"/>
                <w:bCs w:val="1"/>
                <w:color w:val="auto"/>
              </w:rPr>
              <w:t>For the Three Months Ended</w:t>
            </w:r>
          </w:p>
        </w:tc>
        <w:tc>
          <w:tcPr>
            <w:tcW w:w="980" w:type="dxa"/>
            <w:vAlign w:val="bottom"/>
            <w:tcBorders>
              <w:bottom w:val="single" w:sz="8" w:color="8C8272"/>
            </w:tcBorders>
          </w:tcPr>
          <w:p>
            <w:pPr>
              <w:spacing w:after="0"/>
              <w:rPr>
                <w:sz w:val="19"/>
                <w:szCs w:val="19"/>
                <w:color w:val="auto"/>
              </w:rPr>
            </w:pPr>
          </w:p>
        </w:tc>
        <w:tc>
          <w:tcPr>
            <w:tcW w:w="860" w:type="dxa"/>
            <w:vAlign w:val="bottom"/>
            <w:tcBorders>
              <w:bottom w:val="single" w:sz="8" w:color="8C8272"/>
            </w:tcBorders>
          </w:tcPr>
          <w:p>
            <w:pPr>
              <w:spacing w:after="0"/>
              <w:rPr>
                <w:sz w:val="19"/>
                <w:szCs w:val="19"/>
                <w:color w:val="auto"/>
              </w:rPr>
            </w:pPr>
          </w:p>
        </w:tc>
        <w:tc>
          <w:tcPr>
            <w:tcW w:w="420" w:type="dxa"/>
            <w:vAlign w:val="bottom"/>
            <w:tcBorders>
              <w:bottom w:val="single" w:sz="8" w:color="828282"/>
            </w:tcBorders>
          </w:tcPr>
          <w:p>
            <w:pPr>
              <w:spacing w:after="0"/>
              <w:rPr>
                <w:sz w:val="19"/>
                <w:szCs w:val="19"/>
                <w:color w:val="auto"/>
              </w:rPr>
            </w:pPr>
          </w:p>
        </w:tc>
        <w:tc>
          <w:tcPr>
            <w:tcW w:w="2580" w:type="dxa"/>
            <w:vAlign w:val="bottom"/>
            <w:tcBorders>
              <w:bottom w:val="single" w:sz="8" w:color="8C8272"/>
            </w:tcBorders>
            <w:gridSpan w:val="2"/>
          </w:tcPr>
          <w:p>
            <w:pPr>
              <w:jc w:val="right"/>
              <w:ind w:right="308"/>
              <w:spacing w:after="0"/>
              <w:rPr>
                <w:sz w:val="20"/>
                <w:szCs w:val="20"/>
                <w:color w:val="auto"/>
              </w:rPr>
            </w:pPr>
            <w:r>
              <w:rPr>
                <w:rFonts w:ascii="Arial" w:cs="Arial" w:eastAsia="Arial" w:hAnsi="Arial"/>
                <w:sz w:val="14"/>
                <w:szCs w:val="14"/>
                <w:b w:val="1"/>
                <w:bCs w:val="1"/>
                <w:color w:val="auto"/>
              </w:rPr>
              <w:t>For the Three Months Ended</w:t>
            </w:r>
          </w:p>
        </w:tc>
        <w:tc>
          <w:tcPr>
            <w:tcW w:w="960" w:type="dxa"/>
            <w:vAlign w:val="bottom"/>
            <w:tcBorders>
              <w:bottom w:val="single" w:sz="8" w:color="8C8272"/>
            </w:tcBorders>
          </w:tcPr>
          <w:p>
            <w:pPr>
              <w:spacing w:after="0"/>
              <w:rPr>
                <w:sz w:val="19"/>
                <w:szCs w:val="19"/>
                <w:color w:val="auto"/>
              </w:rPr>
            </w:pPr>
          </w:p>
        </w:tc>
        <w:tc>
          <w:tcPr>
            <w:tcW w:w="840" w:type="dxa"/>
            <w:vAlign w:val="bottom"/>
            <w:tcBorders>
              <w:bottom w:val="single" w:sz="8" w:color="8C8272"/>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2021</w:t>
            </w:r>
          </w:p>
        </w:tc>
        <w:tc>
          <w:tcPr>
            <w:tcW w:w="13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June 30, 2020</w:t>
            </w: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Variation</w:t>
            </w:r>
          </w:p>
        </w:tc>
        <w:tc>
          <w:tcPr>
            <w:tcW w:w="12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Percent</w:t>
            </w: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June 30, 2021</w:t>
            </w: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June 30, 2020</w:t>
            </w: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Variation</w:t>
            </w: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5"/>
        </w:trPr>
        <w:tc>
          <w:tcPr>
            <w:tcW w:w="20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Variation</w:t>
            </w:r>
          </w:p>
        </w:tc>
        <w:tc>
          <w:tcPr>
            <w:tcW w:w="13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83"/>
        </w:trPr>
        <w:tc>
          <w:tcPr>
            <w:tcW w:w="2060" w:type="dxa"/>
            <w:vAlign w:val="bottom"/>
            <w:tcBorders>
              <w:top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General</w:t>
            </w:r>
          </w:p>
        </w:tc>
        <w:tc>
          <w:tcPr>
            <w:tcW w:w="1140" w:type="dxa"/>
            <w:vAlign w:val="bottom"/>
            <w:tcBorders>
              <w:top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58</w:t>
            </w:r>
          </w:p>
        </w:tc>
        <w:tc>
          <w:tcPr>
            <w:tcW w:w="1360" w:type="dxa"/>
            <w:vAlign w:val="bottom"/>
            <w:tcBorders>
              <w:top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65</w:t>
            </w:r>
          </w:p>
        </w:tc>
        <w:tc>
          <w:tcPr>
            <w:tcW w:w="980" w:type="dxa"/>
            <w:vAlign w:val="bottom"/>
            <w:tcBorders>
              <w:top w:val="single" w:sz="8" w:color="8C8272"/>
            </w:tcBorders>
            <w:shd w:val="clear" w:color="auto" w:fill="E5E5E5"/>
          </w:tcPr>
          <w:p>
            <w:pPr>
              <w:jc w:val="right"/>
              <w:ind w:right="168"/>
              <w:spacing w:after="0"/>
              <w:rPr>
                <w:sz w:val="20"/>
                <w:szCs w:val="20"/>
                <w:color w:val="auto"/>
              </w:rPr>
            </w:pPr>
            <w:r>
              <w:rPr>
                <w:rFonts w:ascii="Arial" w:cs="Arial" w:eastAsia="Arial" w:hAnsi="Arial"/>
                <w:sz w:val="14"/>
                <w:szCs w:val="14"/>
                <w:color w:val="auto"/>
              </w:rPr>
              <w:t>(7)</w:t>
            </w:r>
          </w:p>
        </w:tc>
        <w:tc>
          <w:tcPr>
            <w:tcW w:w="860" w:type="dxa"/>
            <w:vAlign w:val="bottom"/>
            <w:tcBorders>
              <w:top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(10.8 %)</w:t>
            </w:r>
          </w:p>
        </w:tc>
        <w:tc>
          <w:tcPr>
            <w:tcW w:w="420" w:type="dxa"/>
            <w:vAlign w:val="bottom"/>
            <w:tcBorders>
              <w:top w:val="single" w:sz="8" w:color="828282"/>
            </w:tcBorders>
            <w:shd w:val="clear" w:color="auto" w:fill="E5E5E5"/>
          </w:tcPr>
          <w:p>
            <w:pPr>
              <w:spacing w:after="0"/>
              <w:rPr>
                <w:sz w:val="15"/>
                <w:szCs w:val="15"/>
                <w:color w:val="auto"/>
              </w:rPr>
            </w:pPr>
          </w:p>
        </w:tc>
        <w:tc>
          <w:tcPr>
            <w:tcW w:w="1340" w:type="dxa"/>
            <w:vAlign w:val="bottom"/>
            <w:tcBorders>
              <w:top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$3</w:t>
            </w:r>
          </w:p>
        </w:tc>
        <w:tc>
          <w:tcPr>
            <w:tcW w:w="1240" w:type="dxa"/>
            <w:vAlign w:val="bottom"/>
            <w:tcBorders>
              <w:top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$4</w:t>
            </w:r>
          </w:p>
        </w:tc>
        <w:tc>
          <w:tcPr>
            <w:tcW w:w="960" w:type="dxa"/>
            <w:vAlign w:val="bottom"/>
            <w:tcBorders>
              <w:top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$(1)</w:t>
            </w:r>
          </w:p>
        </w:tc>
        <w:tc>
          <w:tcPr>
            <w:tcW w:w="840" w:type="dxa"/>
            <w:vAlign w:val="bottom"/>
            <w:tcBorders>
              <w:top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Apartment house</w:t>
            </w:r>
          </w:p>
        </w:tc>
        <w:tc>
          <w:tcPr>
            <w:tcW w:w="1140" w:type="dxa"/>
            <w:vAlign w:val="bottom"/>
          </w:tcPr>
          <w:p>
            <w:pPr>
              <w:jc w:val="right"/>
              <w:spacing w:after="0"/>
              <w:rPr>
                <w:sz w:val="20"/>
                <w:szCs w:val="20"/>
                <w:color w:val="auto"/>
              </w:rPr>
            </w:pPr>
            <w:r>
              <w:rPr>
                <w:rFonts w:ascii="Arial" w:cs="Arial" w:eastAsia="Arial" w:hAnsi="Arial"/>
                <w:sz w:val="14"/>
                <w:szCs w:val="14"/>
                <w:color w:val="auto"/>
              </w:rPr>
              <w:t>867</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1,037</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(170)</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(16.4)</w:t>
            </w:r>
          </w:p>
        </w:tc>
        <w:tc>
          <w:tcPr>
            <w:tcW w:w="420" w:type="dxa"/>
            <w:vAlign w:val="bottom"/>
          </w:tcPr>
          <w:p>
            <w:pPr>
              <w:spacing w:after="0"/>
              <w:rPr>
                <w:sz w:val="16"/>
                <w:szCs w:val="16"/>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9"/>
        </w:trPr>
        <w:tc>
          <w:tcPr>
            <w:tcW w:w="206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Annual power</w:t>
            </w:r>
          </w:p>
        </w:tc>
        <w:tc>
          <w:tcPr>
            <w:tcW w:w="11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1,823</w:t>
            </w:r>
          </w:p>
        </w:tc>
        <w:tc>
          <w:tcPr>
            <w:tcW w:w="136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1,920</w:t>
            </w:r>
          </w:p>
        </w:tc>
        <w:tc>
          <w:tcPr>
            <w:tcW w:w="980" w:type="dxa"/>
            <w:vAlign w:val="bottom"/>
            <w:tcBorders>
              <w:bottom w:val="single" w:sz="8" w:color="8C8272"/>
            </w:tcBorders>
            <w:shd w:val="clear" w:color="auto" w:fill="E5E5E5"/>
          </w:tcPr>
          <w:p>
            <w:pPr>
              <w:jc w:val="right"/>
              <w:ind w:right="168"/>
              <w:spacing w:after="0"/>
              <w:rPr>
                <w:sz w:val="20"/>
                <w:szCs w:val="20"/>
                <w:color w:val="auto"/>
              </w:rPr>
            </w:pPr>
            <w:r>
              <w:rPr>
                <w:rFonts w:ascii="Arial" w:cs="Arial" w:eastAsia="Arial" w:hAnsi="Arial"/>
                <w:sz w:val="14"/>
                <w:szCs w:val="14"/>
                <w:color w:val="auto"/>
              </w:rPr>
              <w:t>(97)</w:t>
            </w:r>
          </w:p>
        </w:tc>
        <w:tc>
          <w:tcPr>
            <w:tcW w:w="86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(5.1)</w:t>
            </w:r>
          </w:p>
        </w:tc>
        <w:tc>
          <w:tcPr>
            <w:tcW w:w="420" w:type="dxa"/>
            <w:vAlign w:val="bottom"/>
            <w:tcBorders>
              <w:bottom w:val="single" w:sz="8" w:color="828282"/>
            </w:tcBorders>
            <w:shd w:val="clear" w:color="auto" w:fill="E5E5E5"/>
          </w:tcPr>
          <w:p>
            <w:pPr>
              <w:spacing w:after="0"/>
              <w:rPr>
                <w:sz w:val="16"/>
                <w:szCs w:val="16"/>
                <w:color w:val="auto"/>
              </w:rPr>
            </w:pPr>
          </w:p>
        </w:tc>
        <w:tc>
          <w:tcPr>
            <w:tcW w:w="134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47</w:t>
            </w:r>
          </w:p>
        </w:tc>
        <w:tc>
          <w:tcPr>
            <w:tcW w:w="124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52</w:t>
            </w:r>
          </w:p>
        </w:tc>
        <w:tc>
          <w:tcPr>
            <w:tcW w:w="96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(5)</w:t>
            </w:r>
          </w:p>
        </w:tc>
        <w:tc>
          <w:tcPr>
            <w:tcW w:w="84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3"/>
        </w:trPr>
        <w:tc>
          <w:tcPr>
            <w:tcW w:w="20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Other operating revenues (a)</w:t>
            </w:r>
          </w:p>
        </w:tc>
        <w:tc>
          <w:tcPr>
            <w:tcW w:w="11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C8272"/>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828282"/>
            </w:tcBorders>
          </w:tcPr>
          <w:p>
            <w:pPr>
              <w:spacing w:after="0"/>
              <w:rPr>
                <w:sz w:val="15"/>
                <w:szCs w:val="15"/>
                <w:color w:val="auto"/>
              </w:rPr>
            </w:pPr>
          </w:p>
        </w:tc>
        <w:tc>
          <w:tcPr>
            <w:tcW w:w="134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3</w:t>
            </w:r>
          </w:p>
        </w:tc>
        <w:tc>
          <w:tcPr>
            <w:tcW w:w="124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color w:val="auto"/>
              </w:rPr>
              <w:t>1</w:t>
            </w:r>
          </w:p>
        </w:tc>
        <w:tc>
          <w:tcPr>
            <w:tcW w:w="84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3"/>
        </w:trPr>
        <w:tc>
          <w:tcPr>
            <w:tcW w:w="2060" w:type="dxa"/>
            <w:vAlign w:val="bottom"/>
            <w:shd w:val="clear" w:color="auto" w:fill="E5E5E5"/>
          </w:tcPr>
          <w:p>
            <w:pPr>
              <w:ind w:left="140"/>
              <w:spacing w:after="0"/>
              <w:rPr>
                <w:sz w:val="20"/>
                <w:szCs w:val="20"/>
                <w:color w:val="auto"/>
              </w:rPr>
            </w:pPr>
            <w:r>
              <w:rPr>
                <w:rFonts w:ascii="Arial" w:cs="Arial" w:eastAsia="Arial" w:hAnsi="Arial"/>
                <w:sz w:val="14"/>
                <w:szCs w:val="14"/>
                <w:b w:val="1"/>
                <w:bCs w:val="1"/>
                <w:color w:val="auto"/>
              </w:rPr>
              <w:t>Total</w:t>
            </w:r>
          </w:p>
        </w:tc>
        <w:tc>
          <w:tcPr>
            <w:tcW w:w="11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2,748</w:t>
            </w:r>
          </w:p>
        </w:tc>
        <w:tc>
          <w:tcPr>
            <w:tcW w:w="1360" w:type="dxa"/>
            <w:vAlign w:val="bottom"/>
            <w:shd w:val="clear" w:color="auto" w:fill="E5E5E5"/>
          </w:tcPr>
          <w:p>
            <w:pPr>
              <w:jc w:val="right"/>
              <w:ind w:right="128"/>
              <w:spacing w:after="0"/>
              <w:rPr>
                <w:sz w:val="20"/>
                <w:szCs w:val="20"/>
                <w:color w:val="auto"/>
              </w:rPr>
            </w:pPr>
            <w:r>
              <w:rPr>
                <w:rFonts w:ascii="Arial" w:cs="Arial" w:eastAsia="Arial" w:hAnsi="Arial"/>
                <w:sz w:val="14"/>
                <w:szCs w:val="14"/>
                <w:b w:val="1"/>
                <w:bCs w:val="1"/>
                <w:color w:val="auto"/>
              </w:rPr>
              <w:t>3,022</w:t>
            </w:r>
          </w:p>
        </w:tc>
        <w:tc>
          <w:tcPr>
            <w:tcW w:w="980" w:type="dxa"/>
            <w:vAlign w:val="bottom"/>
            <w:shd w:val="clear" w:color="auto" w:fill="E5E5E5"/>
          </w:tcPr>
          <w:p>
            <w:pPr>
              <w:jc w:val="right"/>
              <w:ind w:right="168"/>
              <w:spacing w:after="0"/>
              <w:rPr>
                <w:sz w:val="20"/>
                <w:szCs w:val="20"/>
                <w:color w:val="auto"/>
              </w:rPr>
            </w:pPr>
            <w:r>
              <w:rPr>
                <w:rFonts w:ascii="Arial" w:cs="Arial" w:eastAsia="Arial" w:hAnsi="Arial"/>
                <w:sz w:val="14"/>
                <w:szCs w:val="14"/>
                <w:b w:val="1"/>
                <w:bCs w:val="1"/>
                <w:color w:val="auto"/>
              </w:rPr>
              <w:t>(274)</w:t>
            </w:r>
          </w:p>
        </w:tc>
        <w:tc>
          <w:tcPr>
            <w:tcW w:w="1280" w:type="dxa"/>
            <w:vAlign w:val="bottom"/>
            <w:gridSpan w:val="2"/>
            <w:shd w:val="clear" w:color="auto" w:fill="E5E5E5"/>
          </w:tcPr>
          <w:p>
            <w:pPr>
              <w:ind w:left="360"/>
              <w:spacing w:after="0"/>
              <w:rPr>
                <w:sz w:val="20"/>
                <w:szCs w:val="20"/>
                <w:color w:val="auto"/>
              </w:rPr>
            </w:pPr>
            <w:r>
              <w:rPr>
                <w:rFonts w:ascii="Arial" w:cs="Arial" w:eastAsia="Arial" w:hAnsi="Arial"/>
                <w:sz w:val="14"/>
                <w:szCs w:val="14"/>
                <w:b w:val="1"/>
                <w:bCs w:val="1"/>
                <w:color w:val="auto"/>
              </w:rPr>
              <w:t>(9.1) % (b)</w:t>
            </w:r>
          </w:p>
        </w:tc>
        <w:tc>
          <w:tcPr>
            <w:tcW w:w="1340" w:type="dxa"/>
            <w:vAlign w:val="bottom"/>
            <w:shd w:val="clear" w:color="auto" w:fill="E5E5E5"/>
          </w:tcPr>
          <w:p>
            <w:pPr>
              <w:jc w:val="right"/>
              <w:ind w:right="68"/>
              <w:spacing w:after="0"/>
              <w:rPr>
                <w:sz w:val="20"/>
                <w:szCs w:val="20"/>
                <w:color w:val="auto"/>
              </w:rPr>
            </w:pPr>
            <w:r>
              <w:rPr>
                <w:rFonts w:ascii="Arial" w:cs="Arial" w:eastAsia="Arial" w:hAnsi="Arial"/>
                <w:sz w:val="14"/>
                <w:szCs w:val="14"/>
                <w:b w:val="1"/>
                <w:bCs w:val="1"/>
                <w:color w:val="auto"/>
              </w:rPr>
              <w:t>$74</w:t>
            </w:r>
          </w:p>
        </w:tc>
        <w:tc>
          <w:tcPr>
            <w:tcW w:w="1240" w:type="dxa"/>
            <w:vAlign w:val="bottom"/>
            <w:shd w:val="clear" w:color="auto" w:fill="E5E5E5"/>
          </w:tcPr>
          <w:p>
            <w:pPr>
              <w:jc w:val="right"/>
              <w:ind w:right="68"/>
              <w:spacing w:after="0"/>
              <w:rPr>
                <w:sz w:val="20"/>
                <w:szCs w:val="20"/>
                <w:color w:val="auto"/>
              </w:rPr>
            </w:pPr>
            <w:r>
              <w:rPr>
                <w:rFonts w:ascii="Arial" w:cs="Arial" w:eastAsia="Arial" w:hAnsi="Arial"/>
                <w:sz w:val="14"/>
                <w:szCs w:val="14"/>
                <w:b w:val="1"/>
                <w:bCs w:val="1"/>
                <w:color w:val="auto"/>
              </w:rPr>
              <w:t>$84</w:t>
            </w:r>
          </w:p>
        </w:tc>
        <w:tc>
          <w:tcPr>
            <w:tcW w:w="960" w:type="dxa"/>
            <w:vAlign w:val="bottom"/>
            <w:shd w:val="clear" w:color="auto" w:fill="E5E5E5"/>
          </w:tcPr>
          <w:p>
            <w:pPr>
              <w:jc w:val="right"/>
              <w:ind w:right="128"/>
              <w:spacing w:after="0"/>
              <w:rPr>
                <w:sz w:val="20"/>
                <w:szCs w:val="20"/>
                <w:color w:val="auto"/>
              </w:rPr>
            </w:pPr>
            <w:r>
              <w:rPr>
                <w:rFonts w:ascii="Arial" w:cs="Arial" w:eastAsia="Arial" w:hAnsi="Arial"/>
                <w:sz w:val="14"/>
                <w:szCs w:val="14"/>
                <w:b w:val="1"/>
                <w:bCs w:val="1"/>
                <w:color w:val="auto"/>
              </w:rPr>
              <w:t>$(10)</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(11.9)%</w:t>
            </w:r>
          </w:p>
        </w:tc>
        <w:tc>
          <w:tcPr>
            <w:tcW w:w="0" w:type="dxa"/>
            <w:vAlign w:val="bottom"/>
          </w:tcPr>
          <w:p>
            <w:pPr>
              <w:spacing w:after="0"/>
              <w:rPr>
                <w:sz w:val="1"/>
                <w:szCs w:val="1"/>
                <w:color w:val="auto"/>
              </w:rPr>
            </w:pPr>
          </w:p>
        </w:tc>
      </w:tr>
      <w:tr>
        <w:trPr>
          <w:trHeight w:val="20"/>
        </w:trPr>
        <w:tc>
          <w:tcPr>
            <w:tcW w:w="2060" w:type="dxa"/>
            <w:vAlign w:val="bottom"/>
            <w:shd w:val="clear" w:color="auto" w:fill="8C8272"/>
          </w:tcPr>
          <w:p>
            <w:pPr>
              <w:spacing w:after="0" w:line="20" w:lineRule="exact"/>
              <w:rPr>
                <w:sz w:val="1"/>
                <w:szCs w:val="1"/>
                <w:color w:val="auto"/>
              </w:rPr>
            </w:pPr>
          </w:p>
        </w:tc>
        <w:tc>
          <w:tcPr>
            <w:tcW w:w="1140" w:type="dxa"/>
            <w:vAlign w:val="bottom"/>
            <w:shd w:val="clear" w:color="auto" w:fill="8C8272"/>
          </w:tcPr>
          <w:p>
            <w:pPr>
              <w:spacing w:after="0" w:line="20" w:lineRule="exact"/>
              <w:rPr>
                <w:sz w:val="1"/>
                <w:szCs w:val="1"/>
                <w:color w:val="auto"/>
              </w:rPr>
            </w:pPr>
          </w:p>
        </w:tc>
        <w:tc>
          <w:tcPr>
            <w:tcW w:w="1360" w:type="dxa"/>
            <w:vAlign w:val="bottom"/>
            <w:shd w:val="clear" w:color="auto" w:fill="8C8272"/>
          </w:tcPr>
          <w:p>
            <w:pPr>
              <w:spacing w:after="0" w:line="20" w:lineRule="exact"/>
              <w:rPr>
                <w:sz w:val="1"/>
                <w:szCs w:val="1"/>
                <w:color w:val="auto"/>
              </w:rPr>
            </w:pPr>
          </w:p>
        </w:tc>
        <w:tc>
          <w:tcPr>
            <w:tcW w:w="980" w:type="dxa"/>
            <w:vAlign w:val="bottom"/>
            <w:shd w:val="clear" w:color="auto" w:fill="8C8272"/>
          </w:tcPr>
          <w:p>
            <w:pPr>
              <w:spacing w:after="0" w:line="20" w:lineRule="exact"/>
              <w:rPr>
                <w:sz w:val="1"/>
                <w:szCs w:val="1"/>
                <w:color w:val="auto"/>
              </w:rPr>
            </w:pPr>
          </w:p>
        </w:tc>
        <w:tc>
          <w:tcPr>
            <w:tcW w:w="860" w:type="dxa"/>
            <w:vAlign w:val="bottom"/>
            <w:shd w:val="clear" w:color="auto" w:fill="8C8272"/>
          </w:tcPr>
          <w:p>
            <w:pPr>
              <w:spacing w:after="0" w:line="20" w:lineRule="exact"/>
              <w:rPr>
                <w:sz w:val="1"/>
                <w:szCs w:val="1"/>
                <w:color w:val="auto"/>
              </w:rPr>
            </w:pPr>
          </w:p>
        </w:tc>
        <w:tc>
          <w:tcPr>
            <w:tcW w:w="420" w:type="dxa"/>
            <w:vAlign w:val="bottom"/>
            <w:shd w:val="clear" w:color="auto" w:fill="828282"/>
          </w:tcPr>
          <w:p>
            <w:pPr>
              <w:spacing w:after="0" w:line="20" w:lineRule="exact"/>
              <w:rPr>
                <w:sz w:val="1"/>
                <w:szCs w:val="1"/>
                <w:color w:val="auto"/>
              </w:rPr>
            </w:pPr>
          </w:p>
        </w:tc>
        <w:tc>
          <w:tcPr>
            <w:tcW w:w="1340" w:type="dxa"/>
            <w:vAlign w:val="bottom"/>
            <w:shd w:val="clear" w:color="auto" w:fill="8C8272"/>
          </w:tcPr>
          <w:p>
            <w:pPr>
              <w:spacing w:after="0" w:line="20" w:lineRule="exact"/>
              <w:rPr>
                <w:sz w:val="1"/>
                <w:szCs w:val="1"/>
                <w:color w:val="auto"/>
              </w:rPr>
            </w:pPr>
          </w:p>
        </w:tc>
        <w:tc>
          <w:tcPr>
            <w:tcW w:w="1240" w:type="dxa"/>
            <w:vAlign w:val="bottom"/>
            <w:shd w:val="clear" w:color="auto" w:fill="8C8272"/>
          </w:tcPr>
          <w:p>
            <w:pPr>
              <w:spacing w:after="0" w:line="20" w:lineRule="exact"/>
              <w:rPr>
                <w:sz w:val="1"/>
                <w:szCs w:val="1"/>
                <w:color w:val="auto"/>
              </w:rPr>
            </w:pPr>
          </w:p>
        </w:tc>
        <w:tc>
          <w:tcPr>
            <w:tcW w:w="960" w:type="dxa"/>
            <w:vAlign w:val="bottom"/>
            <w:shd w:val="clear" w:color="auto" w:fill="8C8272"/>
          </w:tcPr>
          <w:p>
            <w:pPr>
              <w:spacing w:after="0" w:line="20" w:lineRule="exact"/>
              <w:rPr>
                <w:sz w:val="1"/>
                <w:szCs w:val="1"/>
                <w:color w:val="auto"/>
              </w:rPr>
            </w:pPr>
          </w:p>
        </w:tc>
        <w:tc>
          <w:tcPr>
            <w:tcW w:w="840" w:type="dxa"/>
            <w:vAlign w:val="bottom"/>
            <w:shd w:val="clear" w:color="auto" w:fill="8C82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-128270</wp:posOffset>
            </wp:positionV>
            <wp:extent cx="8890" cy="1714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-102235</wp:posOffset>
            </wp:positionV>
            <wp:extent cx="8890"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-85090</wp:posOffset>
            </wp:positionV>
            <wp:extent cx="8890"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-67945</wp:posOffset>
            </wp:positionV>
            <wp:extent cx="8890"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-50800</wp:posOffset>
            </wp:positionV>
            <wp:extent cx="8890" cy="88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-33655</wp:posOffset>
            </wp:positionV>
            <wp:extent cx="8890" cy="88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-16510</wp:posOffset>
            </wp:positionV>
            <wp:extent cx="8890"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-256540</wp:posOffset>
            </wp:positionV>
            <wp:extent cx="8890" cy="1714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-231140</wp:posOffset>
            </wp:positionV>
            <wp:extent cx="8890"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-213995</wp:posOffset>
            </wp:positionV>
            <wp:extent cx="8890"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-196215</wp:posOffset>
            </wp:positionV>
            <wp:extent cx="8890"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-179705</wp:posOffset>
            </wp:positionV>
            <wp:extent cx="8890"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-162560</wp:posOffset>
            </wp:positionV>
            <wp:extent cx="8890"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-145415</wp:posOffset>
            </wp:positionV>
            <wp:extent cx="8890"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-359410</wp:posOffset>
            </wp:positionV>
            <wp:extent cx="8890"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-342265</wp:posOffset>
            </wp:positionV>
            <wp:extent cx="8890"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-325120</wp:posOffset>
            </wp:positionV>
            <wp:extent cx="8890"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-307975</wp:posOffset>
            </wp:positionV>
            <wp:extent cx="8890"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-290830</wp:posOffset>
            </wp:positionV>
            <wp:extent cx="8890"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-273685</wp:posOffset>
            </wp:positionV>
            <wp:extent cx="8890"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-479425</wp:posOffset>
            </wp:positionV>
            <wp:extent cx="8890"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-462280</wp:posOffset>
            </wp:positionV>
            <wp:extent cx="8890" cy="88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-445135</wp:posOffset>
            </wp:positionV>
            <wp:extent cx="8890"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-427990</wp:posOffset>
            </wp:positionV>
            <wp:extent cx="8890"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-410845</wp:posOffset>
            </wp:positionV>
            <wp:extent cx="8890"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-393700</wp:posOffset>
            </wp:positionV>
            <wp:extent cx="8890" cy="2603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-624840</wp:posOffset>
            </wp:positionV>
            <wp:extent cx="8890" cy="1714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-599440</wp:posOffset>
            </wp:positionV>
            <wp:extent cx="8890"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-582295</wp:posOffset>
            </wp:positionV>
            <wp:extent cx="8890"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-565150</wp:posOffset>
            </wp:positionV>
            <wp:extent cx="8890"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-548005</wp:posOffset>
            </wp:positionV>
            <wp:extent cx="8890" cy="889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-530860</wp:posOffset>
            </wp:positionV>
            <wp:extent cx="8890" cy="8890"/>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-513715</wp:posOffset>
            </wp:positionV>
            <wp:extent cx="8890" cy="2540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-839470</wp:posOffset>
            </wp:positionV>
            <wp:extent cx="8890" cy="1714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-814070</wp:posOffset>
            </wp:positionV>
            <wp:extent cx="8890"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-796290</wp:posOffset>
            </wp:positionV>
            <wp:extent cx="8890"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-779145</wp:posOffset>
            </wp:positionV>
            <wp:extent cx="8890"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-762635</wp:posOffset>
            </wp:positionV>
            <wp:extent cx="8890" cy="889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-745490</wp:posOffset>
            </wp:positionV>
            <wp:extent cx="8890" cy="889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-728345</wp:posOffset>
            </wp:positionV>
            <wp:extent cx="8890"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-710565</wp:posOffset>
            </wp:positionV>
            <wp:extent cx="8890"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-693420</wp:posOffset>
            </wp:positionV>
            <wp:extent cx="8890"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-676910</wp:posOffset>
            </wp:positionV>
            <wp:extent cx="8890" cy="889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-659765</wp:posOffset>
            </wp:positionV>
            <wp:extent cx="8890" cy="889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-642620</wp:posOffset>
            </wp:positionV>
            <wp:extent cx="8890"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-993775</wp:posOffset>
            </wp:positionV>
            <wp:extent cx="8890"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-976630</wp:posOffset>
            </wp:positionV>
            <wp:extent cx="8890" cy="889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-959485</wp:posOffset>
            </wp:positionV>
            <wp:extent cx="8890" cy="889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-942340</wp:posOffset>
            </wp:positionV>
            <wp:extent cx="8890"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-925195</wp:posOffset>
            </wp:positionV>
            <wp:extent cx="8890"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-908050</wp:posOffset>
            </wp:positionV>
            <wp:extent cx="8890"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-890905</wp:posOffset>
            </wp:positionV>
            <wp:extent cx="8890" cy="889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-873760</wp:posOffset>
            </wp:positionV>
            <wp:extent cx="8890" cy="889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-856615</wp:posOffset>
            </wp:positionV>
            <wp:extent cx="8890"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79"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Other steam operating revenues generally reflect changes in regulatory assets and liabilities in accordance with the company’s rate plan.</w:t>
      </w:r>
    </w:p>
    <w:p>
      <w:pPr>
        <w:spacing w:after="0" w:line="1" w:lineRule="exact"/>
        <w:rPr>
          <w:rFonts w:ascii="Arial" w:cs="Arial" w:eastAsia="Arial" w:hAnsi="Arial"/>
          <w:sz w:val="14"/>
          <w:szCs w:val="14"/>
          <w:color w:val="auto"/>
        </w:rPr>
      </w:pPr>
    </w:p>
    <w:p>
      <w:pPr>
        <w:ind w:left="340" w:right="100" w:hanging="332"/>
        <w:spacing w:after="0" w:line="258"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After adjusting for variations, primarily weather and billing days, steam sales and deliveries increased 7.9 percent in the three months ended June 30, 2021 compared with the 2020 period. See “Coronavirus Disease 2019 (COVID-19) Impacts,” above.</w:t>
      </w:r>
    </w:p>
    <w:p>
      <w:pPr>
        <w:spacing w:after="0" w:line="197"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decreased $10 million in the three months ended June 30, 2021 compared with the 2020 period primarily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fuel expense ($10 million), the impact of the milder than normal weather ($8 million), offset in part by higher usage by steam customers ($5 million) and higher purchased power expenses ($1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Purchased power </w:t>
      </w:r>
      <w:r>
        <w:rPr>
          <w:rFonts w:ascii="Arial" w:cs="Arial" w:eastAsia="Arial" w:hAnsi="Arial"/>
          <w:sz w:val="18"/>
          <w:szCs w:val="18"/>
          <w:color w:val="auto"/>
        </w:rPr>
        <w:t>increased $1 million in the three months ended June 30, 2021 compared with the 2020 period due to higher unit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decreased $10 million in the three months ended June 30, 2021 compared with the 2020 period due to lower unit costs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64" w:name="page65"/>
    <w:bookmarkEnd w:id="64"/>
    <w:p>
      <w:pPr>
        <w:ind w:right="80"/>
        <w:spacing w:after="0" w:line="282" w:lineRule="auto"/>
        <w:rPr>
          <w:sz w:val="20"/>
          <w:szCs w:val="20"/>
          <w:color w:val="auto"/>
        </w:rPr>
      </w:pPr>
      <w:r>
        <w:rPr>
          <w:rFonts w:ascii="Arial" w:cs="Arial" w:eastAsia="Arial" w:hAnsi="Arial"/>
          <w:sz w:val="18"/>
          <w:szCs w:val="18"/>
          <w:i w:val="1"/>
          <w:iCs w:val="1"/>
          <w:color w:val="auto"/>
        </w:rPr>
        <w:t xml:space="preserve">Other operations and maintenance </w:t>
      </w:r>
      <w:r>
        <w:rPr>
          <w:rFonts w:ascii="Arial" w:cs="Arial" w:eastAsia="Arial" w:hAnsi="Arial"/>
          <w:sz w:val="18"/>
          <w:szCs w:val="18"/>
          <w:color w:val="auto"/>
        </w:rPr>
        <w:t>expenses decreased $1 million in the three months ended June 30, 2021 compared with the 2020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lower surcharges for assessments and fees that are collected in revenues from customers.</w:t>
      </w:r>
    </w:p>
    <w:p>
      <w:pPr>
        <w:spacing w:after="0" w:line="17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decreased $1 million in the three months ended June 30, 2021 compared with the 2020 period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higher deferral of under-collected property taxes.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(Deductions)</w:t>
      </w:r>
    </w:p>
    <w:p>
      <w:pPr>
        <w:spacing w:after="0" w:line="7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Other income (deductions) increased $17 million in the three months ended June 30, 2021 compared with the 2020 period primarily due to lower costs associated with components of pension and other postretirement benefits other than service cost.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Expense</w:t>
      </w:r>
    </w:p>
    <w:p>
      <w:pPr>
        <w:spacing w:after="0" w:line="7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Net Interest Expense decreased $4 million in the three months ended June 30, 2021 compared with the 2020 period primarily due to lower interest on allowance for borrowed funds used during construction ($2 million) and lower interest accrued on the system benefit charge liability ($1 million).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8"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Income taxes decreased $23 million in the three months ended June 30, 2021 compared with the 2020 period primarily due to lower income before income tax expense ($10 million), lower state income taxes ($3 million), lower allowance for uncollectible accounts ($3 million), higher settlement payments related to injuries and damages ($2 million) and an increase in the amortization of excess deferred federal income taxes due to the TCJA ($4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O&amp;R</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8C8272"/>
            </w:tcBorders>
          </w:tcPr>
          <w:p>
            <w:pPr>
              <w:spacing w:after="0"/>
              <w:rPr>
                <w:sz w:val="15"/>
                <w:szCs w:val="15"/>
                <w:color w:val="auto"/>
              </w:rPr>
            </w:pPr>
          </w:p>
        </w:tc>
        <w:tc>
          <w:tcPr>
            <w:tcW w:w="2500" w:type="dxa"/>
            <w:vAlign w:val="bottom"/>
            <w:tcBorders>
              <w:bottom w:val="single" w:sz="8" w:color="8C8272"/>
            </w:tcBorders>
          </w:tcPr>
          <w:p>
            <w:pPr>
              <w:jc w:val="right"/>
              <w:ind w:right="448"/>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Borders>
              <w:bottom w:val="single" w:sz="8" w:color="8C8272"/>
            </w:tcBorders>
          </w:tcPr>
          <w:p>
            <w:pPr>
              <w:spacing w:after="0"/>
              <w:rPr>
                <w:sz w:val="15"/>
                <w:szCs w:val="15"/>
                <w:color w:val="auto"/>
              </w:rPr>
            </w:pPr>
          </w:p>
        </w:tc>
        <w:tc>
          <w:tcPr>
            <w:tcW w:w="940" w:type="dxa"/>
            <w:vAlign w:val="bottom"/>
            <w:tcBorders>
              <w:bottom w:val="single" w:sz="8" w:color="828282"/>
            </w:tcBorders>
          </w:tcPr>
          <w:p>
            <w:pPr>
              <w:spacing w:after="0"/>
              <w:rPr>
                <w:sz w:val="15"/>
                <w:szCs w:val="15"/>
                <w:color w:val="auto"/>
              </w:rPr>
            </w:pPr>
          </w:p>
        </w:tc>
        <w:tc>
          <w:tcPr>
            <w:tcW w:w="2300" w:type="dxa"/>
            <w:vAlign w:val="bottom"/>
            <w:tcBorders>
              <w:bottom w:val="single" w:sz="8" w:color="8C8272"/>
            </w:tcBorders>
          </w:tcPr>
          <w:p>
            <w:pPr>
              <w:jc w:val="right"/>
              <w:ind w:right="448"/>
              <w:spacing w:after="0"/>
              <w:rPr>
                <w:sz w:val="20"/>
                <w:szCs w:val="20"/>
                <w:color w:val="auto"/>
              </w:rPr>
            </w:pPr>
            <w:r>
              <w:rPr>
                <w:rFonts w:ascii="Arial" w:cs="Arial" w:eastAsia="Arial" w:hAnsi="Arial"/>
                <w:sz w:val="14"/>
                <w:szCs w:val="14"/>
                <w:b w:val="1"/>
                <w:bCs w:val="1"/>
                <w:color w:val="auto"/>
              </w:rPr>
              <w:t>June 30, 2020</w:t>
            </w:r>
          </w:p>
        </w:tc>
        <w:tc>
          <w:tcPr>
            <w:tcW w:w="400" w:type="dxa"/>
            <w:vAlign w:val="bottom"/>
            <w:tcBorders>
              <w:bottom w:val="single" w:sz="8" w:color="8C8272"/>
            </w:tcBorders>
          </w:tcPr>
          <w:p>
            <w:pPr>
              <w:spacing w:after="0"/>
              <w:rPr>
                <w:sz w:val="15"/>
                <w:szCs w:val="15"/>
                <w:color w:val="auto"/>
              </w:rPr>
            </w:pPr>
          </w:p>
        </w:tc>
        <w:tc>
          <w:tcPr>
            <w:tcW w:w="1080" w:type="dxa"/>
            <w:vAlign w:val="bottom"/>
            <w:tcBorders>
              <w:bottom w:val="single" w:sz="8" w:color="8C8272"/>
            </w:tcBorders>
          </w:tcPr>
          <w:p>
            <w:pPr>
              <w:spacing w:after="0"/>
              <w:rPr>
                <w:sz w:val="15"/>
                <w:szCs w:val="15"/>
                <w:color w:val="auto"/>
              </w:rPr>
            </w:pPr>
          </w:p>
        </w:tc>
        <w:tc>
          <w:tcPr>
            <w:tcW w:w="940" w:type="dxa"/>
            <w:vAlign w:val="bottom"/>
            <w:tcBorders>
              <w:bottom w:val="single" w:sz="8" w:color="8C8272"/>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2500" w:type="dxa"/>
            <w:vAlign w:val="bottom"/>
            <w:vMerge w:val="restart"/>
          </w:tcPr>
          <w:p>
            <w:pPr>
              <w:jc w:val="right"/>
              <w:ind w:right="948"/>
              <w:spacing w:after="0"/>
              <w:rPr>
                <w:sz w:val="20"/>
                <w:szCs w:val="20"/>
                <w:color w:val="auto"/>
              </w:rPr>
            </w:pPr>
            <w:r>
              <w:rPr>
                <w:rFonts w:ascii="Arial" w:cs="Arial" w:eastAsia="Arial" w:hAnsi="Arial"/>
                <w:sz w:val="14"/>
                <w:szCs w:val="14"/>
                <w:b w:val="1"/>
                <w:bCs w:val="1"/>
                <w:color w:val="auto"/>
              </w:rPr>
              <w:t>Electric</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Gas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 Total</w:t>
            </w:r>
          </w:p>
        </w:tc>
        <w:tc>
          <w:tcPr>
            <w:tcW w:w="2300" w:type="dxa"/>
            <w:vAlign w:val="bottom"/>
            <w:vMerge w:val="restart"/>
          </w:tcPr>
          <w:p>
            <w:pPr>
              <w:jc w:val="right"/>
              <w:ind w:right="948"/>
              <w:spacing w:after="0"/>
              <w:rPr>
                <w:sz w:val="20"/>
                <w:szCs w:val="20"/>
                <w:color w:val="auto"/>
              </w:rPr>
            </w:pPr>
            <w:r>
              <w:rPr>
                <w:rFonts w:ascii="Arial" w:cs="Arial" w:eastAsia="Arial" w:hAnsi="Arial"/>
                <w:sz w:val="14"/>
                <w:szCs w:val="14"/>
                <w:b w:val="1"/>
                <w:bCs w:val="1"/>
                <w:color w:val="auto"/>
              </w:rPr>
              <w:t>Electric</w:t>
            </w:r>
          </w:p>
        </w:tc>
        <w:tc>
          <w:tcPr>
            <w:tcW w:w="4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8"/>
              </w:rPr>
              <w:t>Gas</w:t>
            </w: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2020 Total</w:t>
            </w:r>
          </w:p>
        </w:tc>
        <w:tc>
          <w:tcPr>
            <w:tcW w:w="9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2021-2020</w:t>
            </w:r>
          </w:p>
        </w:tc>
        <w:tc>
          <w:tcPr>
            <w:tcW w:w="0" w:type="dxa"/>
            <w:vAlign w:val="bottom"/>
          </w:tcPr>
          <w:p>
            <w:pPr>
              <w:spacing w:after="0"/>
              <w:rPr>
                <w:sz w:val="1"/>
                <w:szCs w:val="1"/>
                <w:color w:val="auto"/>
              </w:rPr>
            </w:pPr>
          </w:p>
        </w:tc>
      </w:tr>
      <w:tr>
        <w:trPr>
          <w:trHeight w:val="175"/>
        </w:trPr>
        <w:tc>
          <w:tcPr>
            <w:tcW w:w="2780" w:type="dxa"/>
            <w:vAlign w:val="bottom"/>
            <w:tcBorders>
              <w:bottom w:val="single" w:sz="8" w:color="8C8272"/>
            </w:tcBorders>
            <w:vMerge w:val="continue"/>
          </w:tcPr>
          <w:p>
            <w:pPr>
              <w:spacing w:after="0"/>
              <w:rPr>
                <w:sz w:val="15"/>
                <w:szCs w:val="15"/>
                <w:color w:val="auto"/>
              </w:rPr>
            </w:pPr>
          </w:p>
        </w:tc>
        <w:tc>
          <w:tcPr>
            <w:tcW w:w="2500" w:type="dxa"/>
            <w:vAlign w:val="bottom"/>
            <w:tcBorders>
              <w:bottom w:val="single" w:sz="8" w:color="8C8272"/>
            </w:tcBorders>
            <w:vMerge w:val="continue"/>
          </w:tcPr>
          <w:p>
            <w:pPr>
              <w:spacing w:after="0"/>
              <w:rPr>
                <w:sz w:val="15"/>
                <w:szCs w:val="15"/>
                <w:color w:val="auto"/>
              </w:rPr>
            </w:pPr>
          </w:p>
        </w:tc>
        <w:tc>
          <w:tcPr>
            <w:tcW w:w="300" w:type="dxa"/>
            <w:vAlign w:val="bottom"/>
            <w:tcBorders>
              <w:bottom w:val="single" w:sz="8" w:color="8C8272"/>
            </w:tcBorders>
            <w:vMerge w:val="continue"/>
          </w:tcPr>
          <w:p>
            <w:pPr>
              <w:spacing w:after="0"/>
              <w:rPr>
                <w:sz w:val="15"/>
                <w:szCs w:val="15"/>
                <w:color w:val="auto"/>
              </w:rPr>
            </w:pPr>
          </w:p>
        </w:tc>
        <w:tc>
          <w:tcPr>
            <w:tcW w:w="940" w:type="dxa"/>
            <w:vAlign w:val="bottom"/>
            <w:tcBorders>
              <w:bottom w:val="single" w:sz="8" w:color="8C8272"/>
            </w:tcBorders>
            <w:vMerge w:val="continue"/>
          </w:tcPr>
          <w:p>
            <w:pPr>
              <w:spacing w:after="0"/>
              <w:rPr>
                <w:sz w:val="15"/>
                <w:szCs w:val="15"/>
                <w:color w:val="auto"/>
              </w:rPr>
            </w:pPr>
          </w:p>
        </w:tc>
        <w:tc>
          <w:tcPr>
            <w:tcW w:w="2300" w:type="dxa"/>
            <w:vAlign w:val="bottom"/>
            <w:tcBorders>
              <w:bottom w:val="single" w:sz="8" w:color="8C8272"/>
            </w:tcBorders>
            <w:vMerge w:val="continue"/>
          </w:tcPr>
          <w:p>
            <w:pPr>
              <w:spacing w:after="0"/>
              <w:rPr>
                <w:sz w:val="15"/>
                <w:szCs w:val="15"/>
                <w:color w:val="auto"/>
              </w:rPr>
            </w:pPr>
          </w:p>
        </w:tc>
        <w:tc>
          <w:tcPr>
            <w:tcW w:w="400" w:type="dxa"/>
            <w:vAlign w:val="bottom"/>
            <w:tcBorders>
              <w:bottom w:val="single" w:sz="8" w:color="8C8272"/>
            </w:tcBorders>
            <w:vMerge w:val="continue"/>
          </w:tcPr>
          <w:p>
            <w:pPr>
              <w:spacing w:after="0"/>
              <w:rPr>
                <w:sz w:val="15"/>
                <w:szCs w:val="15"/>
                <w:color w:val="auto"/>
              </w:rPr>
            </w:pPr>
          </w:p>
        </w:tc>
        <w:tc>
          <w:tcPr>
            <w:tcW w:w="1080" w:type="dxa"/>
            <w:vAlign w:val="bottom"/>
            <w:tcBorders>
              <w:bottom w:val="single" w:sz="8" w:color="8C8272"/>
            </w:tcBorders>
            <w:vMerge w:val="continue"/>
          </w:tcPr>
          <w:p>
            <w:pPr>
              <w:spacing w:after="0"/>
              <w:rPr>
                <w:sz w:val="15"/>
                <w:szCs w:val="15"/>
                <w:color w:val="auto"/>
              </w:rPr>
            </w:pPr>
          </w:p>
        </w:tc>
        <w:tc>
          <w:tcPr>
            <w:tcW w:w="9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83"/>
        </w:trPr>
        <w:tc>
          <w:tcPr>
            <w:tcW w:w="278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revenues</w:t>
            </w:r>
          </w:p>
        </w:tc>
        <w:tc>
          <w:tcPr>
            <w:tcW w:w="2500" w:type="dxa"/>
            <w:vAlign w:val="bottom"/>
            <w:shd w:val="clear" w:color="auto" w:fill="E5E5E5"/>
          </w:tcPr>
          <w:p>
            <w:pPr>
              <w:jc w:val="right"/>
              <w:ind w:right="948"/>
              <w:spacing w:after="0"/>
              <w:rPr>
                <w:sz w:val="20"/>
                <w:szCs w:val="20"/>
                <w:color w:val="auto"/>
              </w:rPr>
            </w:pPr>
            <w:r>
              <w:rPr>
                <w:rFonts w:ascii="Arial" w:cs="Arial" w:eastAsia="Arial" w:hAnsi="Arial"/>
                <w:sz w:val="14"/>
                <w:szCs w:val="14"/>
                <w:color w:val="auto"/>
              </w:rPr>
              <w:t>$153</w:t>
            </w:r>
          </w:p>
        </w:tc>
        <w:tc>
          <w:tcPr>
            <w:tcW w:w="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$41</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$194</w:t>
            </w:r>
          </w:p>
        </w:tc>
        <w:tc>
          <w:tcPr>
            <w:tcW w:w="2300" w:type="dxa"/>
            <w:vAlign w:val="bottom"/>
            <w:shd w:val="clear" w:color="auto" w:fill="E5E5E5"/>
          </w:tcPr>
          <w:p>
            <w:pPr>
              <w:jc w:val="right"/>
              <w:ind w:right="948"/>
              <w:spacing w:after="0"/>
              <w:rPr>
                <w:sz w:val="20"/>
                <w:szCs w:val="20"/>
                <w:color w:val="auto"/>
              </w:rPr>
            </w:pPr>
            <w:r>
              <w:rPr>
                <w:rFonts w:ascii="Arial" w:cs="Arial" w:eastAsia="Arial" w:hAnsi="Arial"/>
                <w:sz w:val="14"/>
                <w:szCs w:val="14"/>
                <w:color w:val="auto"/>
              </w:rPr>
              <w:t>$138</w:t>
            </w:r>
          </w:p>
        </w:tc>
        <w:tc>
          <w:tcPr>
            <w:tcW w:w="4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$37</w:t>
            </w:r>
          </w:p>
        </w:tc>
        <w:tc>
          <w:tcPr>
            <w:tcW w:w="10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$175</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Arial" w:cs="Arial" w:eastAsia="Arial" w:hAnsi="Arial"/>
                <w:sz w:val="14"/>
                <w:szCs w:val="14"/>
                <w:color w:val="auto"/>
              </w:rPr>
              <w:t>Purchased power</w:t>
            </w:r>
          </w:p>
        </w:tc>
        <w:tc>
          <w:tcPr>
            <w:tcW w:w="2500" w:type="dxa"/>
            <w:vAlign w:val="bottom"/>
          </w:tcPr>
          <w:p>
            <w:pPr>
              <w:jc w:val="right"/>
              <w:ind w:right="948"/>
              <w:spacing w:after="0"/>
              <w:rPr>
                <w:sz w:val="20"/>
                <w:szCs w:val="20"/>
                <w:color w:val="auto"/>
              </w:rPr>
            </w:pPr>
            <w:r>
              <w:rPr>
                <w:rFonts w:ascii="Arial" w:cs="Arial" w:eastAsia="Arial" w:hAnsi="Arial"/>
                <w:sz w:val="14"/>
                <w:szCs w:val="14"/>
                <w:color w:val="auto"/>
              </w:rPr>
              <w:t>47</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47</w:t>
            </w:r>
          </w:p>
        </w:tc>
        <w:tc>
          <w:tcPr>
            <w:tcW w:w="2300" w:type="dxa"/>
            <w:vAlign w:val="bottom"/>
          </w:tcPr>
          <w:p>
            <w:pPr>
              <w:jc w:val="right"/>
              <w:ind w:right="948"/>
              <w:spacing w:after="0"/>
              <w:rPr>
                <w:sz w:val="20"/>
                <w:szCs w:val="20"/>
                <w:color w:val="auto"/>
              </w:rPr>
            </w:pPr>
            <w:r>
              <w:rPr>
                <w:rFonts w:ascii="Arial" w:cs="Arial" w:eastAsia="Arial" w:hAnsi="Arial"/>
                <w:sz w:val="14"/>
                <w:szCs w:val="14"/>
                <w:color w:val="auto"/>
              </w:rPr>
              <w:t>35</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35</w:t>
            </w: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ind w:left="20"/>
              <w:spacing w:after="0"/>
              <w:rPr>
                <w:sz w:val="20"/>
                <w:szCs w:val="20"/>
                <w:color w:val="auto"/>
              </w:rPr>
            </w:pPr>
            <w:r>
              <w:rPr>
                <w:rFonts w:ascii="Arial" w:cs="Arial" w:eastAsia="Arial" w:hAnsi="Arial"/>
                <w:sz w:val="14"/>
                <w:szCs w:val="14"/>
                <w:color w:val="auto"/>
              </w:rPr>
              <w:t>Gas purchased for resale</w:t>
            </w:r>
          </w:p>
        </w:tc>
        <w:tc>
          <w:tcPr>
            <w:tcW w:w="2500" w:type="dxa"/>
            <w:vAlign w:val="bottom"/>
            <w:shd w:val="clear" w:color="auto" w:fill="E5E5E5"/>
          </w:tcPr>
          <w:p>
            <w:pPr>
              <w:jc w:val="right"/>
              <w:ind w:right="988"/>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w:t>
            </w:r>
          </w:p>
        </w:tc>
        <w:tc>
          <w:tcPr>
            <w:tcW w:w="2300" w:type="dxa"/>
            <w:vAlign w:val="bottom"/>
            <w:shd w:val="clear" w:color="auto" w:fill="E5E5E5"/>
          </w:tcPr>
          <w:p>
            <w:pPr>
              <w:jc w:val="right"/>
              <w:ind w:right="988"/>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10</w:t>
            </w:r>
          </w:p>
        </w:tc>
        <w:tc>
          <w:tcPr>
            <w:tcW w:w="10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10</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Arial" w:cs="Arial" w:eastAsia="Arial" w:hAnsi="Arial"/>
                <w:sz w:val="14"/>
                <w:szCs w:val="14"/>
                <w:color w:val="auto"/>
              </w:rPr>
              <w:t>Other operations and maintenance</w:t>
            </w:r>
          </w:p>
        </w:tc>
        <w:tc>
          <w:tcPr>
            <w:tcW w:w="2500" w:type="dxa"/>
            <w:vAlign w:val="bottom"/>
          </w:tcPr>
          <w:p>
            <w:pPr>
              <w:jc w:val="right"/>
              <w:ind w:right="948"/>
              <w:spacing w:after="0"/>
              <w:rPr>
                <w:sz w:val="20"/>
                <w:szCs w:val="20"/>
                <w:color w:val="auto"/>
              </w:rPr>
            </w:pPr>
            <w:r>
              <w:rPr>
                <w:rFonts w:ascii="Arial" w:cs="Arial" w:eastAsia="Arial" w:hAnsi="Arial"/>
                <w:sz w:val="14"/>
                <w:szCs w:val="14"/>
                <w:color w:val="auto"/>
              </w:rPr>
              <w:t>61</w:t>
            </w:r>
          </w:p>
        </w:tc>
        <w:tc>
          <w:tcPr>
            <w:tcW w:w="300" w:type="dxa"/>
            <w:vAlign w:val="bottom"/>
          </w:tcPr>
          <w:p>
            <w:pPr>
              <w:jc w:val="right"/>
              <w:spacing w:after="0"/>
              <w:rPr>
                <w:sz w:val="20"/>
                <w:szCs w:val="20"/>
                <w:color w:val="auto"/>
              </w:rPr>
            </w:pPr>
            <w:r>
              <w:rPr>
                <w:rFonts w:ascii="Arial" w:cs="Arial" w:eastAsia="Arial" w:hAnsi="Arial"/>
                <w:sz w:val="14"/>
                <w:szCs w:val="14"/>
                <w:color w:val="auto"/>
              </w:rPr>
              <w:t>16</w:t>
            </w:r>
          </w:p>
        </w:tc>
        <w:tc>
          <w:tcPr>
            <w:tcW w:w="940" w:type="dxa"/>
            <w:vAlign w:val="bottom"/>
          </w:tcPr>
          <w:p>
            <w:pPr>
              <w:jc w:val="right"/>
              <w:spacing w:after="0"/>
              <w:rPr>
                <w:sz w:val="20"/>
                <w:szCs w:val="20"/>
                <w:color w:val="auto"/>
              </w:rPr>
            </w:pPr>
            <w:r>
              <w:rPr>
                <w:rFonts w:ascii="Arial" w:cs="Arial" w:eastAsia="Arial" w:hAnsi="Arial"/>
                <w:sz w:val="14"/>
                <w:szCs w:val="14"/>
                <w:color w:val="auto"/>
              </w:rPr>
              <w:t>77</w:t>
            </w:r>
          </w:p>
        </w:tc>
        <w:tc>
          <w:tcPr>
            <w:tcW w:w="2300" w:type="dxa"/>
            <w:vAlign w:val="bottom"/>
          </w:tcPr>
          <w:p>
            <w:pPr>
              <w:jc w:val="right"/>
              <w:ind w:right="948"/>
              <w:spacing w:after="0"/>
              <w:rPr>
                <w:sz w:val="20"/>
                <w:szCs w:val="20"/>
                <w:color w:val="auto"/>
              </w:rPr>
            </w:pPr>
            <w:r>
              <w:rPr>
                <w:rFonts w:ascii="Arial" w:cs="Arial" w:eastAsia="Arial" w:hAnsi="Arial"/>
                <w:sz w:val="14"/>
                <w:szCs w:val="14"/>
                <w:color w:val="auto"/>
              </w:rPr>
              <w:t>61</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77</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ind w:left="20"/>
              <w:spacing w:after="0"/>
              <w:rPr>
                <w:sz w:val="20"/>
                <w:szCs w:val="20"/>
                <w:color w:val="auto"/>
              </w:rPr>
            </w:pPr>
            <w:r>
              <w:rPr>
                <w:rFonts w:ascii="Arial" w:cs="Arial" w:eastAsia="Arial" w:hAnsi="Arial"/>
                <w:sz w:val="14"/>
                <w:szCs w:val="14"/>
                <w:color w:val="auto"/>
              </w:rPr>
              <w:t>Depreciation and amortization</w:t>
            </w:r>
          </w:p>
        </w:tc>
        <w:tc>
          <w:tcPr>
            <w:tcW w:w="2500" w:type="dxa"/>
            <w:vAlign w:val="bottom"/>
            <w:shd w:val="clear" w:color="auto" w:fill="E5E5E5"/>
          </w:tcPr>
          <w:p>
            <w:pPr>
              <w:jc w:val="right"/>
              <w:ind w:right="948"/>
              <w:spacing w:after="0"/>
              <w:rPr>
                <w:sz w:val="20"/>
                <w:szCs w:val="20"/>
                <w:color w:val="auto"/>
              </w:rPr>
            </w:pPr>
            <w:r>
              <w:rPr>
                <w:rFonts w:ascii="Arial" w:cs="Arial" w:eastAsia="Arial" w:hAnsi="Arial"/>
                <w:sz w:val="14"/>
                <w:szCs w:val="14"/>
                <w:color w:val="auto"/>
              </w:rPr>
              <w:t>17</w:t>
            </w:r>
          </w:p>
        </w:tc>
        <w:tc>
          <w:tcPr>
            <w:tcW w:w="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w:t>
            </w:r>
          </w:p>
        </w:tc>
        <w:tc>
          <w:tcPr>
            <w:tcW w:w="2300" w:type="dxa"/>
            <w:vAlign w:val="bottom"/>
            <w:shd w:val="clear" w:color="auto" w:fill="E5E5E5"/>
          </w:tcPr>
          <w:p>
            <w:pPr>
              <w:jc w:val="right"/>
              <w:ind w:right="948"/>
              <w:spacing w:after="0"/>
              <w:rPr>
                <w:sz w:val="20"/>
                <w:szCs w:val="20"/>
                <w:color w:val="auto"/>
              </w:rPr>
            </w:pPr>
            <w:r>
              <w:rPr>
                <w:rFonts w:ascii="Arial" w:cs="Arial" w:eastAsia="Arial" w:hAnsi="Arial"/>
                <w:sz w:val="14"/>
                <w:szCs w:val="14"/>
                <w:color w:val="auto"/>
              </w:rPr>
              <w:t>16</w:t>
            </w:r>
          </w:p>
        </w:tc>
        <w:tc>
          <w:tcPr>
            <w:tcW w:w="4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7</w:t>
            </w:r>
          </w:p>
        </w:tc>
        <w:tc>
          <w:tcPr>
            <w:tcW w:w="10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23</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78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Taxes, other than income taxes</w:t>
            </w:r>
          </w:p>
        </w:tc>
        <w:tc>
          <w:tcPr>
            <w:tcW w:w="2500" w:type="dxa"/>
            <w:vAlign w:val="bottom"/>
            <w:tcBorders>
              <w:bottom w:val="single" w:sz="8" w:color="8C8272"/>
            </w:tcBorders>
          </w:tcPr>
          <w:p>
            <w:pPr>
              <w:jc w:val="right"/>
              <w:ind w:right="948"/>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8</w:t>
            </w:r>
          </w:p>
        </w:tc>
        <w:tc>
          <w:tcPr>
            <w:tcW w:w="9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22</w:t>
            </w:r>
          </w:p>
        </w:tc>
        <w:tc>
          <w:tcPr>
            <w:tcW w:w="2300" w:type="dxa"/>
            <w:vAlign w:val="bottom"/>
            <w:tcBorders>
              <w:bottom w:val="single" w:sz="8" w:color="8C8272"/>
            </w:tcBorders>
          </w:tcPr>
          <w:p>
            <w:pPr>
              <w:jc w:val="right"/>
              <w:ind w:right="948"/>
              <w:spacing w:after="0"/>
              <w:rPr>
                <w:sz w:val="20"/>
                <w:szCs w:val="20"/>
                <w:color w:val="auto"/>
              </w:rPr>
            </w:pPr>
            <w:r>
              <w:rPr>
                <w:rFonts w:ascii="Arial" w:cs="Arial" w:eastAsia="Arial" w:hAnsi="Arial"/>
                <w:sz w:val="14"/>
                <w:szCs w:val="14"/>
                <w:color w:val="auto"/>
              </w:rPr>
              <w:t>13</w:t>
            </w:r>
          </w:p>
        </w:tc>
        <w:tc>
          <w:tcPr>
            <w:tcW w:w="40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7</w:t>
            </w:r>
          </w:p>
        </w:tc>
        <w:tc>
          <w:tcPr>
            <w:tcW w:w="1080" w:type="dxa"/>
            <w:vAlign w:val="bottom"/>
            <w:tcBorders>
              <w:bottom w:val="single" w:sz="8" w:color="8C8272"/>
            </w:tcBorders>
          </w:tcPr>
          <w:p>
            <w:pPr>
              <w:jc w:val="right"/>
              <w:ind w:right="188"/>
              <w:spacing w:after="0"/>
              <w:rPr>
                <w:sz w:val="20"/>
                <w:szCs w:val="20"/>
                <w:color w:val="auto"/>
              </w:rPr>
            </w:pPr>
            <w:r>
              <w:rPr>
                <w:rFonts w:ascii="Arial" w:cs="Arial" w:eastAsia="Arial" w:hAnsi="Arial"/>
                <w:sz w:val="14"/>
                <w:szCs w:val="14"/>
                <w:color w:val="auto"/>
              </w:rPr>
              <w:t>20</w:t>
            </w:r>
          </w:p>
        </w:tc>
        <w:tc>
          <w:tcPr>
            <w:tcW w:w="9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278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b w:val="1"/>
                <w:bCs w:val="1"/>
                <w:color w:val="auto"/>
              </w:rPr>
              <w:t>Operating income</w:t>
            </w:r>
          </w:p>
        </w:tc>
        <w:tc>
          <w:tcPr>
            <w:tcW w:w="2500" w:type="dxa"/>
            <w:vAlign w:val="bottom"/>
            <w:tcBorders>
              <w:bottom w:val="single" w:sz="8" w:color="8C8272"/>
            </w:tcBorders>
            <w:shd w:val="clear" w:color="auto" w:fill="E5E5E5"/>
          </w:tcPr>
          <w:p>
            <w:pPr>
              <w:jc w:val="right"/>
              <w:ind w:right="948"/>
              <w:spacing w:after="0"/>
              <w:rPr>
                <w:sz w:val="20"/>
                <w:szCs w:val="20"/>
                <w:color w:val="auto"/>
              </w:rPr>
            </w:pPr>
            <w:r>
              <w:rPr>
                <w:rFonts w:ascii="Arial" w:cs="Arial" w:eastAsia="Arial" w:hAnsi="Arial"/>
                <w:sz w:val="14"/>
                <w:szCs w:val="14"/>
                <w:b w:val="1"/>
                <w:bCs w:val="1"/>
                <w:color w:val="auto"/>
              </w:rPr>
              <w:t>$14</w:t>
            </w:r>
          </w:p>
        </w:tc>
        <w:tc>
          <w:tcPr>
            <w:tcW w:w="3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$(3)</w:t>
            </w:r>
          </w:p>
        </w:tc>
        <w:tc>
          <w:tcPr>
            <w:tcW w:w="9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$11</w:t>
            </w:r>
          </w:p>
        </w:tc>
        <w:tc>
          <w:tcPr>
            <w:tcW w:w="2300" w:type="dxa"/>
            <w:vAlign w:val="bottom"/>
            <w:tcBorders>
              <w:bottom w:val="single" w:sz="8" w:color="8C8272"/>
            </w:tcBorders>
            <w:shd w:val="clear" w:color="auto" w:fill="E5E5E5"/>
          </w:tcPr>
          <w:p>
            <w:pPr>
              <w:jc w:val="right"/>
              <w:ind w:right="948"/>
              <w:spacing w:after="0"/>
              <w:rPr>
                <w:sz w:val="20"/>
                <w:szCs w:val="20"/>
                <w:color w:val="auto"/>
              </w:rPr>
            </w:pPr>
            <w:r>
              <w:rPr>
                <w:rFonts w:ascii="Arial" w:cs="Arial" w:eastAsia="Arial" w:hAnsi="Arial"/>
                <w:sz w:val="14"/>
                <w:szCs w:val="14"/>
                <w:b w:val="1"/>
                <w:bCs w:val="1"/>
                <w:color w:val="auto"/>
              </w:rPr>
              <w:t>$13</w:t>
            </w:r>
          </w:p>
        </w:tc>
        <w:tc>
          <w:tcPr>
            <w:tcW w:w="40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$(3)</w:t>
            </w:r>
          </w:p>
        </w:tc>
        <w:tc>
          <w:tcPr>
            <w:tcW w:w="1080" w:type="dxa"/>
            <w:vAlign w:val="bottom"/>
            <w:tcBorders>
              <w:bottom w:val="single" w:sz="8" w:color="8C8272"/>
            </w:tcBorders>
            <w:shd w:val="clear" w:color="auto" w:fill="E5E5E5"/>
          </w:tcPr>
          <w:p>
            <w:pPr>
              <w:jc w:val="right"/>
              <w:ind w:right="188"/>
              <w:spacing w:after="0"/>
              <w:rPr>
                <w:sz w:val="20"/>
                <w:szCs w:val="20"/>
                <w:color w:val="auto"/>
              </w:rPr>
            </w:pPr>
            <w:r>
              <w:rPr>
                <w:rFonts w:ascii="Arial" w:cs="Arial" w:eastAsia="Arial" w:hAnsi="Arial"/>
                <w:sz w:val="14"/>
                <w:szCs w:val="14"/>
                <w:b w:val="1"/>
                <w:bCs w:val="1"/>
                <w:color w:val="auto"/>
              </w:rPr>
              <w:t>$10</w:t>
            </w:r>
          </w:p>
        </w:tc>
        <w:tc>
          <w:tcPr>
            <w:tcW w:w="9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O&amp;R’s results of electric operations for the three months ended June 30, 2021 compared with the 2020 period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Borders>
              <w:bottom w:val="single" w:sz="8" w:color="8C8272"/>
            </w:tcBorders>
          </w:tcPr>
          <w:p>
            <w:pPr>
              <w:spacing w:after="0"/>
              <w:rPr>
                <w:sz w:val="16"/>
                <w:szCs w:val="16"/>
                <w:color w:val="auto"/>
              </w:rPr>
            </w:pPr>
          </w:p>
        </w:tc>
        <w:tc>
          <w:tcPr>
            <w:tcW w:w="5380" w:type="dxa"/>
            <w:vAlign w:val="bottom"/>
            <w:tcBorders>
              <w:bottom w:val="single" w:sz="8" w:color="8C8272"/>
            </w:tcBorders>
            <w:gridSpan w:val="2"/>
          </w:tcPr>
          <w:p>
            <w:pPr>
              <w:jc w:val="right"/>
              <w:ind w:right="768"/>
              <w:spacing w:after="0"/>
              <w:rPr>
                <w:sz w:val="20"/>
                <w:szCs w:val="20"/>
                <w:color w:val="auto"/>
              </w:rPr>
            </w:pPr>
            <w:r>
              <w:rPr>
                <w:rFonts w:ascii="Arial" w:cs="Arial" w:eastAsia="Arial" w:hAnsi="Arial"/>
                <w:sz w:val="14"/>
                <w:szCs w:val="14"/>
                <w:b w:val="1"/>
                <w:bCs w:val="1"/>
                <w:color w:val="auto"/>
              </w:rPr>
              <w:t>For the Three Months Ended</w:t>
            </w:r>
          </w:p>
        </w:tc>
        <w:tc>
          <w:tcPr>
            <w:tcW w:w="1040" w:type="dxa"/>
            <w:vAlign w:val="bottom"/>
            <w:tcBorders>
              <w:bottom w:val="single" w:sz="8" w:color="8C8272"/>
            </w:tcBorders>
          </w:tcPr>
          <w:p>
            <w:pPr>
              <w:spacing w:after="0"/>
              <w:rPr>
                <w:sz w:val="16"/>
                <w:szCs w:val="16"/>
                <w:color w:val="auto"/>
              </w:rPr>
            </w:pPr>
          </w:p>
        </w:tc>
      </w:tr>
      <w:tr>
        <w:trPr>
          <w:trHeight w:val="183"/>
        </w:trPr>
        <w:tc>
          <w:tcPr>
            <w:tcW w:w="482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78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June 30, 2021</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June 30, 2020</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r>
      <w:tr>
        <w:trPr>
          <w:trHeight w:val="183"/>
        </w:trPr>
        <w:tc>
          <w:tcPr>
            <w:tcW w:w="4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revenues</w:t>
            </w:r>
          </w:p>
        </w:tc>
        <w:tc>
          <w:tcPr>
            <w:tcW w:w="37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$153</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$138</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w:t>
            </w:r>
          </w:p>
        </w:tc>
      </w:tr>
      <w:tr>
        <w:trPr>
          <w:trHeight w:val="189"/>
        </w:trPr>
        <w:tc>
          <w:tcPr>
            <w:tcW w:w="4820" w:type="dxa"/>
            <w:vAlign w:val="bottom"/>
          </w:tcPr>
          <w:p>
            <w:pPr>
              <w:ind w:left="20"/>
              <w:spacing w:after="0"/>
              <w:rPr>
                <w:sz w:val="20"/>
                <w:szCs w:val="20"/>
                <w:color w:val="auto"/>
              </w:rPr>
            </w:pPr>
            <w:r>
              <w:rPr>
                <w:rFonts w:ascii="Arial" w:cs="Arial" w:eastAsia="Arial" w:hAnsi="Arial"/>
                <w:sz w:val="14"/>
                <w:szCs w:val="14"/>
                <w:color w:val="auto"/>
              </w:rPr>
              <w:t>Purchased power</w:t>
            </w:r>
          </w:p>
        </w:tc>
        <w:tc>
          <w:tcPr>
            <w:tcW w:w="3780" w:type="dxa"/>
            <w:vAlign w:val="bottom"/>
          </w:tcPr>
          <w:p>
            <w:pPr>
              <w:jc w:val="right"/>
              <w:ind w:right="168"/>
              <w:spacing w:after="0"/>
              <w:rPr>
                <w:sz w:val="20"/>
                <w:szCs w:val="20"/>
                <w:color w:val="auto"/>
              </w:rPr>
            </w:pPr>
            <w:r>
              <w:rPr>
                <w:rFonts w:ascii="Arial" w:cs="Arial" w:eastAsia="Arial" w:hAnsi="Arial"/>
                <w:sz w:val="14"/>
                <w:szCs w:val="14"/>
                <w:color w:val="auto"/>
              </w:rPr>
              <w:t>47</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35</w:t>
            </w: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9"/>
        </w:trPr>
        <w:tc>
          <w:tcPr>
            <w:tcW w:w="4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 operations and maintenance</w:t>
            </w:r>
          </w:p>
        </w:tc>
        <w:tc>
          <w:tcPr>
            <w:tcW w:w="37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61</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61</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8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780" w:type="dxa"/>
            <w:vAlign w:val="bottom"/>
          </w:tcPr>
          <w:p>
            <w:pPr>
              <w:jc w:val="right"/>
              <w:ind w:right="168"/>
              <w:spacing w:after="0"/>
              <w:rPr>
                <w:sz w:val="20"/>
                <w:szCs w:val="20"/>
                <w:color w:val="auto"/>
              </w:rPr>
            </w:pPr>
            <w:r>
              <w:rPr>
                <w:rFonts w:ascii="Arial" w:cs="Arial" w:eastAsia="Arial" w:hAnsi="Arial"/>
                <w:sz w:val="14"/>
                <w:szCs w:val="14"/>
                <w:color w:val="auto"/>
              </w:rPr>
              <w:t>17</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16</w:t>
            </w: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482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Taxes, other than income taxes</w:t>
            </w:r>
          </w:p>
        </w:tc>
        <w:tc>
          <w:tcPr>
            <w:tcW w:w="3780" w:type="dxa"/>
            <w:vAlign w:val="bottom"/>
            <w:tcBorders>
              <w:bottom w:val="single" w:sz="8" w:color="8C8272"/>
            </w:tcBorders>
            <w:shd w:val="clear" w:color="auto" w:fill="E5E5E5"/>
          </w:tcPr>
          <w:p>
            <w:pPr>
              <w:jc w:val="right"/>
              <w:ind w:right="168"/>
              <w:spacing w:after="0"/>
              <w:rPr>
                <w:sz w:val="20"/>
                <w:szCs w:val="20"/>
                <w:color w:val="auto"/>
              </w:rPr>
            </w:pPr>
            <w:r>
              <w:rPr>
                <w:rFonts w:ascii="Arial" w:cs="Arial" w:eastAsia="Arial" w:hAnsi="Arial"/>
                <w:sz w:val="14"/>
                <w:szCs w:val="14"/>
                <w:color w:val="auto"/>
              </w:rPr>
              <w:t>14</w:t>
            </w:r>
          </w:p>
        </w:tc>
        <w:tc>
          <w:tcPr>
            <w:tcW w:w="1600" w:type="dxa"/>
            <w:vAlign w:val="bottom"/>
            <w:tcBorders>
              <w:bottom w:val="single" w:sz="8" w:color="8C8272"/>
            </w:tcBorders>
            <w:shd w:val="clear" w:color="auto" w:fill="E5E5E5"/>
          </w:tcPr>
          <w:p>
            <w:pPr>
              <w:jc w:val="right"/>
              <w:ind w:right="328"/>
              <w:spacing w:after="0"/>
              <w:rPr>
                <w:sz w:val="20"/>
                <w:szCs w:val="20"/>
                <w:color w:val="auto"/>
              </w:rPr>
            </w:pPr>
            <w:r>
              <w:rPr>
                <w:rFonts w:ascii="Arial" w:cs="Arial" w:eastAsia="Arial" w:hAnsi="Arial"/>
                <w:sz w:val="14"/>
                <w:szCs w:val="14"/>
                <w:color w:val="auto"/>
              </w:rPr>
              <w:t>13</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4820" w:type="dxa"/>
            <w:vAlign w:val="bottom"/>
            <w:tcBorders>
              <w:bottom w:val="single" w:sz="8" w:color="8C8272"/>
            </w:tcBorders>
          </w:tcPr>
          <w:p>
            <w:pPr>
              <w:ind w:left="140"/>
              <w:spacing w:after="0"/>
              <w:rPr>
                <w:sz w:val="20"/>
                <w:szCs w:val="20"/>
                <w:color w:val="auto"/>
              </w:rPr>
            </w:pPr>
            <w:r>
              <w:rPr>
                <w:rFonts w:ascii="Arial" w:cs="Arial" w:eastAsia="Arial" w:hAnsi="Arial"/>
                <w:sz w:val="14"/>
                <w:szCs w:val="14"/>
                <w:b w:val="1"/>
                <w:bCs w:val="1"/>
                <w:color w:val="auto"/>
              </w:rPr>
              <w:t>Electric operating income</w:t>
            </w:r>
          </w:p>
        </w:tc>
        <w:tc>
          <w:tcPr>
            <w:tcW w:w="378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$14</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$13</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O&amp;R’s electric sales and deliveries for the three months ended June 30, 2021 compared with the 2020 period were: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60" w:type="dxa"/>
            <w:vAlign w:val="bottom"/>
            <w:tcBorders>
              <w:bottom w:val="single" w:sz="8" w:color="8C8272"/>
            </w:tcBorders>
          </w:tcPr>
          <w:p>
            <w:pPr>
              <w:spacing w:after="0"/>
              <w:rPr>
                <w:sz w:val="16"/>
                <w:szCs w:val="16"/>
                <w:color w:val="auto"/>
              </w:rPr>
            </w:pPr>
          </w:p>
        </w:tc>
        <w:tc>
          <w:tcPr>
            <w:tcW w:w="1220" w:type="dxa"/>
            <w:vAlign w:val="bottom"/>
            <w:tcBorders>
              <w:bottom w:val="single" w:sz="8" w:color="8C8272"/>
            </w:tcBorders>
          </w:tcPr>
          <w:p>
            <w:pPr>
              <w:spacing w:after="0"/>
              <w:rPr>
                <w:sz w:val="16"/>
                <w:szCs w:val="16"/>
                <w:color w:val="auto"/>
              </w:rPr>
            </w:pPr>
          </w:p>
        </w:tc>
        <w:tc>
          <w:tcPr>
            <w:tcW w:w="2280" w:type="dxa"/>
            <w:vAlign w:val="bottom"/>
            <w:tcBorders>
              <w:bottom w:val="single" w:sz="8" w:color="8C8272"/>
            </w:tcBorders>
            <w:gridSpan w:val="2"/>
          </w:tcPr>
          <w:p>
            <w:pPr>
              <w:jc w:val="right"/>
              <w:ind w:right="388"/>
              <w:spacing w:after="0"/>
              <w:rPr>
                <w:sz w:val="20"/>
                <w:szCs w:val="20"/>
                <w:color w:val="auto"/>
              </w:rPr>
            </w:pPr>
            <w:r>
              <w:rPr>
                <w:rFonts w:ascii="Arial" w:cs="Arial" w:eastAsia="Arial" w:hAnsi="Arial"/>
                <w:sz w:val="14"/>
                <w:szCs w:val="14"/>
                <w:b w:val="1"/>
                <w:bCs w:val="1"/>
                <w:color w:val="auto"/>
              </w:rPr>
              <w:t>Millions of kWh Delivered</w:t>
            </w:r>
          </w:p>
        </w:tc>
        <w:tc>
          <w:tcPr>
            <w:tcW w:w="860" w:type="dxa"/>
            <w:vAlign w:val="bottom"/>
            <w:tcBorders>
              <w:bottom w:val="single" w:sz="8" w:color="8C8272"/>
            </w:tcBorders>
          </w:tcPr>
          <w:p>
            <w:pPr>
              <w:spacing w:after="0"/>
              <w:rPr>
                <w:sz w:val="16"/>
                <w:szCs w:val="16"/>
                <w:color w:val="auto"/>
              </w:rPr>
            </w:pPr>
          </w:p>
        </w:tc>
        <w:tc>
          <w:tcPr>
            <w:tcW w:w="440" w:type="dxa"/>
            <w:vAlign w:val="bottom"/>
            <w:tcBorders>
              <w:bottom w:val="single" w:sz="8" w:color="828282"/>
            </w:tcBorders>
          </w:tcPr>
          <w:p>
            <w:pPr>
              <w:spacing w:after="0"/>
              <w:rPr>
                <w:sz w:val="16"/>
                <w:szCs w:val="16"/>
                <w:color w:val="auto"/>
              </w:rPr>
            </w:pPr>
          </w:p>
        </w:tc>
        <w:tc>
          <w:tcPr>
            <w:tcW w:w="1260" w:type="dxa"/>
            <w:vAlign w:val="bottom"/>
            <w:tcBorders>
              <w:bottom w:val="single" w:sz="8" w:color="8C8272"/>
            </w:tcBorders>
          </w:tcPr>
          <w:p>
            <w:pPr>
              <w:spacing w:after="0"/>
              <w:rPr>
                <w:sz w:val="16"/>
                <w:szCs w:val="16"/>
                <w:color w:val="auto"/>
              </w:rPr>
            </w:pPr>
          </w:p>
        </w:tc>
        <w:tc>
          <w:tcPr>
            <w:tcW w:w="2260" w:type="dxa"/>
            <w:vAlign w:val="bottom"/>
            <w:tcBorders>
              <w:bottom w:val="single" w:sz="8" w:color="8C8272"/>
            </w:tcBorders>
            <w:gridSpan w:val="2"/>
          </w:tcPr>
          <w:p>
            <w:pPr>
              <w:jc w:val="right"/>
              <w:ind w:right="468"/>
              <w:spacing w:after="0"/>
              <w:rPr>
                <w:sz w:val="20"/>
                <w:szCs w:val="20"/>
                <w:color w:val="auto"/>
              </w:rPr>
            </w:pPr>
            <w:r>
              <w:rPr>
                <w:rFonts w:ascii="Arial" w:cs="Arial" w:eastAsia="Arial" w:hAnsi="Arial"/>
                <w:sz w:val="14"/>
                <w:szCs w:val="14"/>
                <w:b w:val="1"/>
                <w:bCs w:val="1"/>
                <w:color w:val="auto"/>
              </w:rPr>
              <w:t>Revenues in Millions (a)</w:t>
            </w:r>
          </w:p>
        </w:tc>
        <w:tc>
          <w:tcPr>
            <w:tcW w:w="820" w:type="dxa"/>
            <w:vAlign w:val="bottom"/>
            <w:tcBorders>
              <w:bottom w:val="single" w:sz="8" w:color="8C8272"/>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8C8272"/>
            </w:tcBorders>
          </w:tcPr>
          <w:p>
            <w:pPr>
              <w:spacing w:after="0"/>
              <w:rPr>
                <w:sz w:val="19"/>
                <w:szCs w:val="19"/>
                <w:color w:val="auto"/>
              </w:rPr>
            </w:pPr>
          </w:p>
        </w:tc>
        <w:tc>
          <w:tcPr>
            <w:tcW w:w="2520" w:type="dxa"/>
            <w:vAlign w:val="bottom"/>
            <w:tcBorders>
              <w:bottom w:val="single" w:sz="8" w:color="8C8272"/>
            </w:tcBorders>
            <w:gridSpan w:val="2"/>
          </w:tcPr>
          <w:p>
            <w:pPr>
              <w:jc w:val="right"/>
              <w:ind w:right="288"/>
              <w:spacing w:after="0"/>
              <w:rPr>
                <w:sz w:val="20"/>
                <w:szCs w:val="20"/>
                <w:color w:val="auto"/>
              </w:rPr>
            </w:pPr>
            <w:r>
              <w:rPr>
                <w:rFonts w:ascii="Arial" w:cs="Arial" w:eastAsia="Arial" w:hAnsi="Arial"/>
                <w:sz w:val="14"/>
                <w:szCs w:val="14"/>
                <w:b w:val="1"/>
                <w:bCs w:val="1"/>
                <w:color w:val="auto"/>
              </w:rPr>
              <w:t>For the Three Months Ended</w:t>
            </w:r>
          </w:p>
        </w:tc>
        <w:tc>
          <w:tcPr>
            <w:tcW w:w="980" w:type="dxa"/>
            <w:vAlign w:val="bottom"/>
            <w:tcBorders>
              <w:bottom w:val="single" w:sz="8" w:color="8C8272"/>
            </w:tcBorders>
          </w:tcPr>
          <w:p>
            <w:pPr>
              <w:spacing w:after="0"/>
              <w:rPr>
                <w:sz w:val="19"/>
                <w:szCs w:val="19"/>
                <w:color w:val="auto"/>
              </w:rPr>
            </w:pPr>
          </w:p>
        </w:tc>
        <w:tc>
          <w:tcPr>
            <w:tcW w:w="860" w:type="dxa"/>
            <w:vAlign w:val="bottom"/>
            <w:tcBorders>
              <w:bottom w:val="single" w:sz="8" w:color="8C8272"/>
            </w:tcBorders>
          </w:tcPr>
          <w:p>
            <w:pPr>
              <w:spacing w:after="0"/>
              <w:rPr>
                <w:sz w:val="19"/>
                <w:szCs w:val="19"/>
                <w:color w:val="auto"/>
              </w:rPr>
            </w:pPr>
          </w:p>
        </w:tc>
        <w:tc>
          <w:tcPr>
            <w:tcW w:w="440" w:type="dxa"/>
            <w:vAlign w:val="bottom"/>
            <w:tcBorders>
              <w:bottom w:val="single" w:sz="8" w:color="828282"/>
            </w:tcBorders>
          </w:tcPr>
          <w:p>
            <w:pPr>
              <w:spacing w:after="0"/>
              <w:rPr>
                <w:sz w:val="19"/>
                <w:szCs w:val="19"/>
                <w:color w:val="auto"/>
              </w:rPr>
            </w:pPr>
          </w:p>
        </w:tc>
        <w:tc>
          <w:tcPr>
            <w:tcW w:w="2560" w:type="dxa"/>
            <w:vAlign w:val="bottom"/>
            <w:tcBorders>
              <w:bottom w:val="single" w:sz="8" w:color="8C8272"/>
            </w:tcBorders>
            <w:gridSpan w:val="2"/>
          </w:tcPr>
          <w:p>
            <w:pPr>
              <w:jc w:val="right"/>
              <w:ind w:right="308"/>
              <w:spacing w:after="0"/>
              <w:rPr>
                <w:sz w:val="20"/>
                <w:szCs w:val="20"/>
                <w:color w:val="auto"/>
              </w:rPr>
            </w:pPr>
            <w:r>
              <w:rPr>
                <w:rFonts w:ascii="Arial" w:cs="Arial" w:eastAsia="Arial" w:hAnsi="Arial"/>
                <w:sz w:val="14"/>
                <w:szCs w:val="14"/>
                <w:b w:val="1"/>
                <w:bCs w:val="1"/>
                <w:color w:val="auto"/>
              </w:rPr>
              <w:t>For the Three Months Ended</w:t>
            </w:r>
          </w:p>
        </w:tc>
        <w:tc>
          <w:tcPr>
            <w:tcW w:w="960" w:type="dxa"/>
            <w:vAlign w:val="bottom"/>
            <w:tcBorders>
              <w:bottom w:val="single" w:sz="8" w:color="8C8272"/>
            </w:tcBorders>
          </w:tcPr>
          <w:p>
            <w:pPr>
              <w:spacing w:after="0"/>
              <w:rPr>
                <w:sz w:val="19"/>
                <w:szCs w:val="19"/>
                <w:color w:val="auto"/>
              </w:rPr>
            </w:pPr>
          </w:p>
        </w:tc>
        <w:tc>
          <w:tcPr>
            <w:tcW w:w="820" w:type="dxa"/>
            <w:vAlign w:val="bottom"/>
            <w:tcBorders>
              <w:bottom w:val="single" w:sz="8" w:color="8C8272"/>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2021</w:t>
            </w: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June 30, 2020</w:t>
            </w:r>
          </w:p>
        </w:tc>
        <w:tc>
          <w:tcPr>
            <w:tcW w:w="9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Variation</w:t>
            </w:r>
          </w:p>
        </w:tc>
        <w:tc>
          <w:tcPr>
            <w:tcW w:w="130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Percent</w:t>
            </w: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June 30, 2021</w:t>
            </w:r>
          </w:p>
        </w:tc>
        <w:tc>
          <w:tcPr>
            <w:tcW w:w="13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June 30, 2020</w:t>
            </w: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Variation</w:t>
            </w: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6"/>
        </w:trPr>
        <w:tc>
          <w:tcPr>
            <w:tcW w:w="2060" w:type="dxa"/>
            <w:vAlign w:val="bottom"/>
            <w:tcBorders>
              <w:bottom w:val="single" w:sz="8" w:color="8C8272"/>
            </w:tcBorders>
            <w:vMerge w:val="continue"/>
          </w:tcPr>
          <w:p>
            <w:pPr>
              <w:spacing w:after="0"/>
              <w:rPr>
                <w:sz w:val="15"/>
                <w:szCs w:val="15"/>
                <w:color w:val="auto"/>
              </w:rPr>
            </w:pPr>
          </w:p>
        </w:tc>
        <w:tc>
          <w:tcPr>
            <w:tcW w:w="1220" w:type="dxa"/>
            <w:vAlign w:val="bottom"/>
            <w:tcBorders>
              <w:bottom w:val="single" w:sz="8" w:color="8C8272"/>
            </w:tcBorders>
            <w:vMerge w:val="continue"/>
          </w:tcPr>
          <w:p>
            <w:pPr>
              <w:spacing w:after="0"/>
              <w:rPr>
                <w:sz w:val="15"/>
                <w:szCs w:val="15"/>
                <w:color w:val="auto"/>
              </w:rPr>
            </w:pPr>
          </w:p>
        </w:tc>
        <w:tc>
          <w:tcPr>
            <w:tcW w:w="1300" w:type="dxa"/>
            <w:vAlign w:val="bottom"/>
            <w:tcBorders>
              <w:bottom w:val="single" w:sz="8" w:color="8C8272"/>
            </w:tcBorders>
            <w:vMerge w:val="continue"/>
          </w:tcPr>
          <w:p>
            <w:pPr>
              <w:spacing w:after="0"/>
              <w:rPr>
                <w:sz w:val="15"/>
                <w:szCs w:val="15"/>
                <w:color w:val="auto"/>
              </w:rPr>
            </w:pPr>
          </w:p>
        </w:tc>
        <w:tc>
          <w:tcPr>
            <w:tcW w:w="980" w:type="dxa"/>
            <w:vAlign w:val="bottom"/>
            <w:tcBorders>
              <w:bottom w:val="single" w:sz="8" w:color="8C8272"/>
            </w:tcBorders>
            <w:vMerge w:val="continue"/>
          </w:tcPr>
          <w:p>
            <w:pPr>
              <w:spacing w:after="0"/>
              <w:rPr>
                <w:sz w:val="15"/>
                <w:szCs w:val="15"/>
                <w:color w:val="auto"/>
              </w:rPr>
            </w:pPr>
          </w:p>
        </w:tc>
        <w:tc>
          <w:tcPr>
            <w:tcW w:w="8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c>
          <w:tcPr>
            <w:tcW w:w="440" w:type="dxa"/>
            <w:vAlign w:val="bottom"/>
            <w:tcBorders>
              <w:bottom w:val="single" w:sz="8" w:color="828282"/>
            </w:tcBorders>
          </w:tcPr>
          <w:p>
            <w:pPr>
              <w:spacing w:after="0"/>
              <w:rPr>
                <w:sz w:val="15"/>
                <w:szCs w:val="15"/>
                <w:color w:val="auto"/>
              </w:rPr>
            </w:pPr>
          </w:p>
        </w:tc>
        <w:tc>
          <w:tcPr>
            <w:tcW w:w="1260" w:type="dxa"/>
            <w:vAlign w:val="bottom"/>
            <w:tcBorders>
              <w:bottom w:val="single" w:sz="8" w:color="8C8272"/>
            </w:tcBorders>
            <w:vMerge w:val="continue"/>
          </w:tcPr>
          <w:p>
            <w:pPr>
              <w:spacing w:after="0"/>
              <w:rPr>
                <w:sz w:val="15"/>
                <w:szCs w:val="15"/>
                <w:color w:val="auto"/>
              </w:rPr>
            </w:pPr>
          </w:p>
        </w:tc>
        <w:tc>
          <w:tcPr>
            <w:tcW w:w="1300" w:type="dxa"/>
            <w:vAlign w:val="bottom"/>
            <w:tcBorders>
              <w:bottom w:val="single" w:sz="8" w:color="8C8272"/>
            </w:tcBorders>
            <w:vMerge w:val="continue"/>
          </w:tcPr>
          <w:p>
            <w:pPr>
              <w:spacing w:after="0"/>
              <w:rPr>
                <w:sz w:val="15"/>
                <w:szCs w:val="15"/>
                <w:color w:val="auto"/>
              </w:rPr>
            </w:pPr>
          </w:p>
        </w:tc>
        <w:tc>
          <w:tcPr>
            <w:tcW w:w="960" w:type="dxa"/>
            <w:vAlign w:val="bottom"/>
            <w:tcBorders>
              <w:bottom w:val="single" w:sz="8" w:color="8C8272"/>
            </w:tcBorders>
            <w:vMerge w:val="continue"/>
          </w:tcPr>
          <w:p>
            <w:pPr>
              <w:spacing w:after="0"/>
              <w:rPr>
                <w:sz w:val="15"/>
                <w:szCs w:val="15"/>
                <w:color w:val="auto"/>
              </w:rPr>
            </w:pPr>
          </w:p>
        </w:tc>
        <w:tc>
          <w:tcPr>
            <w:tcW w:w="8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83"/>
        </w:trPr>
        <w:tc>
          <w:tcPr>
            <w:tcW w:w="2060" w:type="dxa"/>
            <w:vAlign w:val="bottom"/>
            <w:shd w:val="clear" w:color="auto" w:fill="E5E5E5"/>
          </w:tcPr>
          <w:p>
            <w:pPr>
              <w:ind w:left="20"/>
              <w:spacing w:after="0"/>
              <w:rPr>
                <w:sz w:val="20"/>
                <w:szCs w:val="20"/>
                <w:color w:val="auto"/>
              </w:rPr>
            </w:pPr>
            <w:r>
              <w:rPr>
                <w:rFonts w:ascii="Arial" w:cs="Arial" w:eastAsia="Arial" w:hAnsi="Arial"/>
                <w:sz w:val="14"/>
                <w:szCs w:val="14"/>
                <w:color w:val="auto"/>
              </w:rPr>
              <w:t>Residential/Religious (b)</w:t>
            </w:r>
          </w:p>
        </w:tc>
        <w:tc>
          <w:tcPr>
            <w:tcW w:w="1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405</w:t>
            </w:r>
          </w:p>
        </w:tc>
        <w:tc>
          <w:tcPr>
            <w:tcW w:w="130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415</w:t>
            </w:r>
          </w:p>
        </w:tc>
        <w:tc>
          <w:tcPr>
            <w:tcW w:w="9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(10)</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(2.4 %)</w:t>
            </w:r>
          </w:p>
        </w:tc>
        <w:tc>
          <w:tcPr>
            <w:tcW w:w="440" w:type="dxa"/>
            <w:vAlign w:val="bottom"/>
            <w:tcBorders>
              <w:right w:val="single" w:sz="8" w:color="E5E5E5"/>
            </w:tcBorders>
            <w:shd w:val="clear" w:color="auto" w:fill="E5E5E5"/>
          </w:tcPr>
          <w:p>
            <w:pPr>
              <w:spacing w:after="0"/>
              <w:rPr>
                <w:sz w:val="15"/>
                <w:szCs w:val="15"/>
                <w:color w:val="auto"/>
              </w:rPr>
            </w:pPr>
          </w:p>
        </w:tc>
        <w:tc>
          <w:tcPr>
            <w:tcW w:w="12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$72</w:t>
            </w:r>
          </w:p>
        </w:tc>
        <w:tc>
          <w:tcPr>
            <w:tcW w:w="13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$70</w:t>
            </w:r>
          </w:p>
        </w:tc>
        <w:tc>
          <w:tcPr>
            <w:tcW w:w="96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$2</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Commercial/Industrial</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174</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30</w:t>
            </w: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17.2</w:t>
            </w:r>
          </w:p>
        </w:tc>
        <w:tc>
          <w:tcPr>
            <w:tcW w:w="44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60" w:type="dxa"/>
            <w:vAlign w:val="bottom"/>
            <w:shd w:val="clear" w:color="auto" w:fill="E5E5E5"/>
          </w:tcPr>
          <w:p>
            <w:pPr>
              <w:ind w:left="20"/>
              <w:spacing w:after="0"/>
              <w:rPr>
                <w:sz w:val="20"/>
                <w:szCs w:val="20"/>
                <w:color w:val="auto"/>
              </w:rPr>
            </w:pPr>
            <w:r>
              <w:rPr>
                <w:rFonts w:ascii="Arial" w:cs="Arial" w:eastAsia="Arial" w:hAnsi="Arial"/>
                <w:sz w:val="14"/>
                <w:szCs w:val="14"/>
                <w:color w:val="auto"/>
              </w:rPr>
              <w:t>Retail choice customers</w:t>
            </w:r>
          </w:p>
        </w:tc>
        <w:tc>
          <w:tcPr>
            <w:tcW w:w="1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707</w:t>
            </w:r>
          </w:p>
        </w:tc>
        <w:tc>
          <w:tcPr>
            <w:tcW w:w="130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616</w:t>
            </w: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91</w:t>
            </w:r>
          </w:p>
        </w:tc>
        <w:tc>
          <w:tcPr>
            <w:tcW w:w="8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14.8</w:t>
            </w:r>
          </w:p>
        </w:tc>
        <w:tc>
          <w:tcPr>
            <w:tcW w:w="440" w:type="dxa"/>
            <w:vAlign w:val="bottom"/>
            <w:tcBorders>
              <w:right w:val="single" w:sz="8" w:color="E5E5E5"/>
            </w:tcBorders>
            <w:shd w:val="clear" w:color="auto" w:fill="E5E5E5"/>
          </w:tcPr>
          <w:p>
            <w:pPr>
              <w:spacing w:after="0"/>
              <w:rPr>
                <w:sz w:val="16"/>
                <w:szCs w:val="16"/>
                <w:color w:val="auto"/>
              </w:rPr>
            </w:pPr>
          </w:p>
        </w:tc>
        <w:tc>
          <w:tcPr>
            <w:tcW w:w="12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53</w:t>
            </w:r>
          </w:p>
        </w:tc>
        <w:tc>
          <w:tcPr>
            <w:tcW w:w="13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42</w:t>
            </w:r>
          </w:p>
        </w:tc>
        <w:tc>
          <w:tcPr>
            <w:tcW w:w="9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11</w:t>
            </w:r>
          </w:p>
        </w:tc>
        <w:tc>
          <w:tcPr>
            <w:tcW w:w="8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89"/>
        </w:trPr>
        <w:tc>
          <w:tcPr>
            <w:tcW w:w="20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Public authorities</w:t>
            </w:r>
          </w:p>
        </w:tc>
        <w:tc>
          <w:tcPr>
            <w:tcW w:w="122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26</w:t>
            </w:r>
          </w:p>
        </w:tc>
        <w:tc>
          <w:tcPr>
            <w:tcW w:w="130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color w:val="auto"/>
              </w:rPr>
              <w:t>24</w:t>
            </w:r>
          </w:p>
        </w:tc>
        <w:tc>
          <w:tcPr>
            <w:tcW w:w="980" w:type="dxa"/>
            <w:vAlign w:val="bottom"/>
            <w:tcBorders>
              <w:bottom w:val="single" w:sz="8" w:color="8C8272"/>
            </w:tcBorders>
          </w:tcPr>
          <w:p>
            <w:pPr>
              <w:jc w:val="right"/>
              <w:ind w:right="208"/>
              <w:spacing w:after="0"/>
              <w:rPr>
                <w:sz w:val="20"/>
                <w:szCs w:val="20"/>
                <w:color w:val="auto"/>
              </w:rPr>
            </w:pPr>
            <w:r>
              <w:rPr>
                <w:rFonts w:ascii="Arial" w:cs="Arial" w:eastAsia="Arial" w:hAnsi="Arial"/>
                <w:sz w:val="14"/>
                <w:szCs w:val="14"/>
                <w:color w:val="auto"/>
              </w:rPr>
              <w:t>2</w:t>
            </w:r>
          </w:p>
        </w:tc>
        <w:tc>
          <w:tcPr>
            <w:tcW w:w="86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color w:val="auto"/>
              </w:rPr>
              <w:t>8.3</w:t>
            </w:r>
          </w:p>
        </w:tc>
        <w:tc>
          <w:tcPr>
            <w:tcW w:w="440" w:type="dxa"/>
            <w:vAlign w:val="bottom"/>
            <w:tcBorders>
              <w:bottom w:val="single" w:sz="8" w:color="828282"/>
            </w:tcBorders>
          </w:tcPr>
          <w:p>
            <w:pPr>
              <w:spacing w:after="0"/>
              <w:rPr>
                <w:sz w:val="16"/>
                <w:szCs w:val="16"/>
                <w:color w:val="auto"/>
              </w:rPr>
            </w:pPr>
          </w:p>
        </w:tc>
        <w:tc>
          <w:tcPr>
            <w:tcW w:w="126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color w:val="auto"/>
              </w:rPr>
              <w:t>2</w:t>
            </w:r>
          </w:p>
        </w:tc>
        <w:tc>
          <w:tcPr>
            <w:tcW w:w="1300" w:type="dxa"/>
            <w:vAlign w:val="bottom"/>
            <w:tcBorders>
              <w:bottom w:val="single" w:sz="8" w:color="8C8272"/>
            </w:tcBorders>
          </w:tcPr>
          <w:p>
            <w:pPr>
              <w:jc w:val="right"/>
              <w:ind w:right="8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8C8272"/>
            </w:tcBorders>
          </w:tcPr>
          <w:p>
            <w:pPr>
              <w:jc w:val="right"/>
              <w:ind w:right="148"/>
              <w:spacing w:after="0"/>
              <w:rPr>
                <w:sz w:val="20"/>
                <w:szCs w:val="20"/>
                <w:color w:val="auto"/>
              </w:rPr>
            </w:pPr>
            <w:r>
              <w:rPr>
                <w:rFonts w:ascii="Arial" w:cs="Arial" w:eastAsia="Arial" w:hAnsi="Arial"/>
                <w:sz w:val="14"/>
                <w:szCs w:val="14"/>
                <w:color w:val="auto"/>
              </w:rPr>
              <w:t>1</w:t>
            </w:r>
          </w:p>
        </w:tc>
        <w:tc>
          <w:tcPr>
            <w:tcW w:w="8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Large</w:t>
            </w:r>
          </w:p>
        </w:tc>
        <w:tc>
          <w:tcPr>
            <w:tcW w:w="0" w:type="dxa"/>
            <w:vAlign w:val="bottom"/>
          </w:tcPr>
          <w:p>
            <w:pPr>
              <w:spacing w:after="0"/>
              <w:rPr>
                <w:sz w:val="1"/>
                <w:szCs w:val="1"/>
                <w:color w:val="auto"/>
              </w:rPr>
            </w:pPr>
          </w:p>
        </w:tc>
      </w:tr>
      <w:tr>
        <w:trPr>
          <w:trHeight w:val="183"/>
        </w:trPr>
        <w:tc>
          <w:tcPr>
            <w:tcW w:w="206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Other operating revenues (c)</w:t>
            </w:r>
          </w:p>
        </w:tc>
        <w:tc>
          <w:tcPr>
            <w:tcW w:w="122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C8272"/>
            </w:tcBorders>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828282"/>
              <w:right w:val="single" w:sz="8" w:color="E5E5E5"/>
            </w:tcBorders>
            <w:shd w:val="clear" w:color="auto" w:fill="E5E5E5"/>
          </w:tcPr>
          <w:p>
            <w:pPr>
              <w:spacing w:after="0"/>
              <w:rPr>
                <w:sz w:val="15"/>
                <w:szCs w:val="15"/>
                <w:color w:val="auto"/>
              </w:rPr>
            </w:pPr>
          </w:p>
        </w:tc>
        <w:tc>
          <w:tcPr>
            <w:tcW w:w="126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8C8272"/>
            </w:tcBorders>
            <w:shd w:val="clear" w:color="auto" w:fill="E5E5E5"/>
          </w:tcPr>
          <w:p>
            <w:pPr>
              <w:jc w:val="right"/>
              <w:ind w:right="8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8C8272"/>
            </w:tcBorders>
            <w:shd w:val="clear" w:color="auto" w:fill="E5E5E5"/>
          </w:tcPr>
          <w:p>
            <w:pPr>
              <w:jc w:val="right"/>
              <w:ind w:right="148"/>
              <w:spacing w:after="0"/>
              <w:rPr>
                <w:sz w:val="20"/>
                <w:szCs w:val="20"/>
                <w:color w:val="auto"/>
              </w:rPr>
            </w:pPr>
            <w:r>
              <w:rPr>
                <w:rFonts w:ascii="Arial" w:cs="Arial" w:eastAsia="Arial" w:hAnsi="Arial"/>
                <w:sz w:val="14"/>
                <w:szCs w:val="14"/>
                <w:color w:val="auto"/>
              </w:rPr>
              <w:t>1</w:t>
            </w:r>
          </w:p>
        </w:tc>
        <w:tc>
          <w:tcPr>
            <w:tcW w:w="8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Large</w:t>
            </w:r>
          </w:p>
        </w:tc>
        <w:tc>
          <w:tcPr>
            <w:tcW w:w="0" w:type="dxa"/>
            <w:vAlign w:val="bottom"/>
          </w:tcPr>
          <w:p>
            <w:pPr>
              <w:spacing w:after="0"/>
              <w:rPr>
                <w:sz w:val="1"/>
                <w:szCs w:val="1"/>
                <w:color w:val="auto"/>
              </w:rPr>
            </w:pPr>
          </w:p>
        </w:tc>
      </w:tr>
      <w:tr>
        <w:trPr>
          <w:trHeight w:val="183"/>
        </w:trPr>
        <w:tc>
          <w:tcPr>
            <w:tcW w:w="206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1,342</w:t>
            </w:r>
          </w:p>
        </w:tc>
        <w:tc>
          <w:tcPr>
            <w:tcW w:w="1300" w:type="dxa"/>
            <w:vAlign w:val="bottom"/>
          </w:tcPr>
          <w:p>
            <w:pPr>
              <w:jc w:val="right"/>
              <w:ind w:right="128"/>
              <w:spacing w:after="0"/>
              <w:rPr>
                <w:sz w:val="20"/>
                <w:szCs w:val="20"/>
                <w:color w:val="auto"/>
              </w:rPr>
            </w:pPr>
            <w:r>
              <w:rPr>
                <w:rFonts w:ascii="Arial" w:cs="Arial" w:eastAsia="Arial" w:hAnsi="Arial"/>
                <w:sz w:val="14"/>
                <w:szCs w:val="14"/>
                <w:b w:val="1"/>
                <w:bCs w:val="1"/>
                <w:color w:val="auto"/>
              </w:rPr>
              <w:t>1,229</w:t>
            </w:r>
          </w:p>
        </w:tc>
        <w:tc>
          <w:tcPr>
            <w:tcW w:w="980" w:type="dxa"/>
            <w:vAlign w:val="bottom"/>
          </w:tcPr>
          <w:p>
            <w:pPr>
              <w:jc w:val="right"/>
              <w:ind w:right="208"/>
              <w:spacing w:after="0"/>
              <w:rPr>
                <w:sz w:val="20"/>
                <w:szCs w:val="20"/>
                <w:color w:val="auto"/>
              </w:rPr>
            </w:pPr>
            <w:r>
              <w:rPr>
                <w:rFonts w:ascii="Arial" w:cs="Arial" w:eastAsia="Arial" w:hAnsi="Arial"/>
                <w:sz w:val="14"/>
                <w:szCs w:val="14"/>
                <w:b w:val="1"/>
                <w:bCs w:val="1"/>
                <w:color w:val="auto"/>
              </w:rPr>
              <w:t>113</w:t>
            </w:r>
          </w:p>
        </w:tc>
        <w:tc>
          <w:tcPr>
            <w:tcW w:w="1300" w:type="dxa"/>
            <w:vAlign w:val="bottom"/>
            <w:gridSpan w:val="2"/>
          </w:tcPr>
          <w:p>
            <w:pPr>
              <w:ind w:left="420"/>
              <w:spacing w:after="0"/>
              <w:rPr>
                <w:sz w:val="20"/>
                <w:szCs w:val="20"/>
                <w:color w:val="auto"/>
              </w:rPr>
            </w:pPr>
            <w:r>
              <w:rPr>
                <w:rFonts w:ascii="Arial" w:cs="Arial" w:eastAsia="Arial" w:hAnsi="Arial"/>
                <w:sz w:val="14"/>
                <w:szCs w:val="14"/>
                <w:b w:val="1"/>
                <w:bCs w:val="1"/>
                <w:color w:val="auto"/>
              </w:rPr>
              <w:t>9.2 % (d)</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$153</w:t>
            </w: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$138</w:t>
            </w:r>
          </w:p>
        </w:tc>
        <w:tc>
          <w:tcPr>
            <w:tcW w:w="960" w:type="dxa"/>
            <w:vAlign w:val="bottom"/>
          </w:tcPr>
          <w:p>
            <w:pPr>
              <w:jc w:val="right"/>
              <w:ind w:right="148"/>
              <w:spacing w:after="0"/>
              <w:rPr>
                <w:sz w:val="20"/>
                <w:szCs w:val="20"/>
                <w:color w:val="auto"/>
              </w:rPr>
            </w:pPr>
            <w:r>
              <w:rPr>
                <w:rFonts w:ascii="Arial" w:cs="Arial" w:eastAsia="Arial" w:hAnsi="Arial"/>
                <w:sz w:val="14"/>
                <w:szCs w:val="14"/>
                <w:b w:val="1"/>
                <w:bCs w:val="1"/>
                <w:color w:val="auto"/>
              </w:rPr>
              <w:t>$15</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10.9 %</w:t>
            </w:r>
          </w:p>
        </w:tc>
        <w:tc>
          <w:tcPr>
            <w:tcW w:w="0" w:type="dxa"/>
            <w:vAlign w:val="bottom"/>
          </w:tcPr>
          <w:p>
            <w:pPr>
              <w:spacing w:after="0"/>
              <w:rPr>
                <w:sz w:val="1"/>
                <w:szCs w:val="1"/>
                <w:color w:val="auto"/>
              </w:rPr>
            </w:pPr>
          </w:p>
        </w:tc>
      </w:tr>
      <w:tr>
        <w:trPr>
          <w:trHeight w:val="20"/>
        </w:trPr>
        <w:tc>
          <w:tcPr>
            <w:tcW w:w="2060" w:type="dxa"/>
            <w:vAlign w:val="bottom"/>
            <w:shd w:val="clear" w:color="auto" w:fill="8C8272"/>
          </w:tcPr>
          <w:p>
            <w:pPr>
              <w:spacing w:after="0" w:line="20" w:lineRule="exact"/>
              <w:rPr>
                <w:sz w:val="1"/>
                <w:szCs w:val="1"/>
                <w:color w:val="auto"/>
              </w:rPr>
            </w:pPr>
          </w:p>
        </w:tc>
        <w:tc>
          <w:tcPr>
            <w:tcW w:w="1220" w:type="dxa"/>
            <w:vAlign w:val="bottom"/>
            <w:shd w:val="clear" w:color="auto" w:fill="8C8272"/>
          </w:tcPr>
          <w:p>
            <w:pPr>
              <w:spacing w:after="0" w:line="20" w:lineRule="exact"/>
              <w:rPr>
                <w:sz w:val="1"/>
                <w:szCs w:val="1"/>
                <w:color w:val="auto"/>
              </w:rPr>
            </w:pPr>
          </w:p>
        </w:tc>
        <w:tc>
          <w:tcPr>
            <w:tcW w:w="1300" w:type="dxa"/>
            <w:vAlign w:val="bottom"/>
            <w:shd w:val="clear" w:color="auto" w:fill="8C8272"/>
          </w:tcPr>
          <w:p>
            <w:pPr>
              <w:spacing w:after="0" w:line="20" w:lineRule="exact"/>
              <w:rPr>
                <w:sz w:val="1"/>
                <w:szCs w:val="1"/>
                <w:color w:val="auto"/>
              </w:rPr>
            </w:pPr>
          </w:p>
        </w:tc>
        <w:tc>
          <w:tcPr>
            <w:tcW w:w="980" w:type="dxa"/>
            <w:vAlign w:val="bottom"/>
            <w:shd w:val="clear" w:color="auto" w:fill="8C8272"/>
          </w:tcPr>
          <w:p>
            <w:pPr>
              <w:spacing w:after="0" w:line="20" w:lineRule="exact"/>
              <w:rPr>
                <w:sz w:val="1"/>
                <w:szCs w:val="1"/>
                <w:color w:val="auto"/>
              </w:rPr>
            </w:pPr>
          </w:p>
        </w:tc>
        <w:tc>
          <w:tcPr>
            <w:tcW w:w="860" w:type="dxa"/>
            <w:vAlign w:val="bottom"/>
            <w:shd w:val="clear" w:color="auto" w:fill="8C8272"/>
          </w:tcPr>
          <w:p>
            <w:pPr>
              <w:spacing w:after="0" w:line="20" w:lineRule="exact"/>
              <w:rPr>
                <w:sz w:val="1"/>
                <w:szCs w:val="1"/>
                <w:color w:val="auto"/>
              </w:rPr>
            </w:pPr>
          </w:p>
        </w:tc>
        <w:tc>
          <w:tcPr>
            <w:tcW w:w="440" w:type="dxa"/>
            <w:vAlign w:val="bottom"/>
            <w:tcBorders>
              <w:right w:val="single" w:sz="8" w:color="828282"/>
            </w:tcBorders>
            <w:shd w:val="clear" w:color="auto" w:fill="828282"/>
          </w:tcPr>
          <w:p>
            <w:pPr>
              <w:spacing w:after="0" w:line="20" w:lineRule="exact"/>
              <w:rPr>
                <w:sz w:val="1"/>
                <w:szCs w:val="1"/>
                <w:color w:val="auto"/>
              </w:rPr>
            </w:pPr>
          </w:p>
        </w:tc>
        <w:tc>
          <w:tcPr>
            <w:tcW w:w="1260" w:type="dxa"/>
            <w:vAlign w:val="bottom"/>
            <w:shd w:val="clear" w:color="auto" w:fill="8C8272"/>
          </w:tcPr>
          <w:p>
            <w:pPr>
              <w:spacing w:after="0" w:line="20" w:lineRule="exact"/>
              <w:rPr>
                <w:sz w:val="1"/>
                <w:szCs w:val="1"/>
                <w:color w:val="auto"/>
              </w:rPr>
            </w:pPr>
          </w:p>
        </w:tc>
        <w:tc>
          <w:tcPr>
            <w:tcW w:w="1300" w:type="dxa"/>
            <w:vAlign w:val="bottom"/>
            <w:shd w:val="clear" w:color="auto" w:fill="8C8272"/>
          </w:tcPr>
          <w:p>
            <w:pPr>
              <w:spacing w:after="0" w:line="20" w:lineRule="exact"/>
              <w:rPr>
                <w:sz w:val="1"/>
                <w:szCs w:val="1"/>
                <w:color w:val="auto"/>
              </w:rPr>
            </w:pPr>
          </w:p>
        </w:tc>
        <w:tc>
          <w:tcPr>
            <w:tcW w:w="960" w:type="dxa"/>
            <w:vAlign w:val="bottom"/>
            <w:shd w:val="clear" w:color="auto" w:fill="8C8272"/>
          </w:tcPr>
          <w:p>
            <w:pPr>
              <w:spacing w:after="0" w:line="20" w:lineRule="exact"/>
              <w:rPr>
                <w:sz w:val="1"/>
                <w:szCs w:val="1"/>
                <w:color w:val="auto"/>
              </w:rPr>
            </w:pPr>
          </w:p>
        </w:tc>
        <w:tc>
          <w:tcPr>
            <w:tcW w:w="820" w:type="dxa"/>
            <w:vAlign w:val="bottom"/>
            <w:shd w:val="clear" w:color="auto" w:fill="8C82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-128270</wp:posOffset>
            </wp:positionV>
            <wp:extent cx="8890" cy="1714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-102235</wp:posOffset>
            </wp:positionV>
            <wp:extent cx="8890"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-85090</wp:posOffset>
            </wp:positionV>
            <wp:extent cx="8890"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-67945</wp:posOffset>
            </wp:positionV>
            <wp:extent cx="8890"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-50800</wp:posOffset>
            </wp:positionV>
            <wp:extent cx="8890"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-33655</wp:posOffset>
            </wp:positionV>
            <wp:extent cx="8890" cy="889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-16510</wp:posOffset>
            </wp:positionV>
            <wp:extent cx="8890"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-256540</wp:posOffset>
            </wp:positionV>
            <wp:extent cx="8890" cy="1714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-230505</wp:posOffset>
            </wp:positionV>
            <wp:extent cx="8890"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-213995</wp:posOffset>
            </wp:positionV>
            <wp:extent cx="8890"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-196215</wp:posOffset>
            </wp:positionV>
            <wp:extent cx="8890"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-179070</wp:posOffset>
            </wp:positionV>
            <wp:extent cx="8890"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-162560</wp:posOffset>
            </wp:positionV>
            <wp:extent cx="8890" cy="8890"/>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-144780</wp:posOffset>
            </wp:positionV>
            <wp:extent cx="8890"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-359410</wp:posOffset>
            </wp:positionV>
            <wp:extent cx="8890"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-342265</wp:posOffset>
            </wp:positionV>
            <wp:extent cx="8890"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-325120</wp:posOffset>
            </wp:positionV>
            <wp:extent cx="8890"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-307975</wp:posOffset>
            </wp:positionV>
            <wp:extent cx="8890"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-290830</wp:posOffset>
            </wp:positionV>
            <wp:extent cx="8890" cy="889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-273685</wp:posOffset>
            </wp:positionV>
            <wp:extent cx="8890"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-479425</wp:posOffset>
            </wp:positionV>
            <wp:extent cx="8890"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-462280</wp:posOffset>
            </wp:positionV>
            <wp:extent cx="8890" cy="889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-445135</wp:posOffset>
            </wp:positionV>
            <wp:extent cx="8890"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-427990</wp:posOffset>
            </wp:positionV>
            <wp:extent cx="8890"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-410845</wp:posOffset>
            </wp:positionV>
            <wp:extent cx="8890"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-393700</wp:posOffset>
            </wp:positionV>
            <wp:extent cx="8890" cy="2603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-599440</wp:posOffset>
            </wp:positionV>
            <wp:extent cx="8890"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-582295</wp:posOffset>
            </wp:positionV>
            <wp:extent cx="8890"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-565150</wp:posOffset>
            </wp:positionV>
            <wp:extent cx="8890"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-548005</wp:posOffset>
            </wp:positionV>
            <wp:extent cx="8890" cy="889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-530860</wp:posOffset>
            </wp:positionV>
            <wp:extent cx="8890"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-513715</wp:posOffset>
            </wp:positionV>
            <wp:extent cx="8890" cy="2603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-744855</wp:posOffset>
            </wp:positionV>
            <wp:extent cx="8890" cy="1714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-719455</wp:posOffset>
            </wp:positionV>
            <wp:extent cx="8890" cy="889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-702310</wp:posOffset>
            </wp:positionV>
            <wp:extent cx="8890"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-685165</wp:posOffset>
            </wp:positionV>
            <wp:extent cx="8890"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-668020</wp:posOffset>
            </wp:positionV>
            <wp:extent cx="8890"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-650875</wp:posOffset>
            </wp:positionV>
            <wp:extent cx="8890"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-633730</wp:posOffset>
            </wp:positionV>
            <wp:extent cx="8890" cy="2603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-959485</wp:posOffset>
            </wp:positionV>
            <wp:extent cx="8890" cy="1714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-934085</wp:posOffset>
            </wp:positionV>
            <wp:extent cx="8890" cy="889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-916305</wp:posOffset>
            </wp:positionV>
            <wp:extent cx="8890"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-899795</wp:posOffset>
            </wp:positionV>
            <wp:extent cx="8890"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-882015</wp:posOffset>
            </wp:positionV>
            <wp:extent cx="8890"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-864870</wp:posOffset>
            </wp:positionV>
            <wp:extent cx="8890"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-848360</wp:posOffset>
            </wp:positionV>
            <wp:extent cx="8890" cy="889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-830580</wp:posOffset>
            </wp:positionV>
            <wp:extent cx="8890"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-814070</wp:posOffset>
            </wp:positionV>
            <wp:extent cx="8890"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-796290</wp:posOffset>
            </wp:positionV>
            <wp:extent cx="8890"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-779145</wp:posOffset>
            </wp:positionV>
            <wp:extent cx="8890"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-762635</wp:posOffset>
            </wp:positionV>
            <wp:extent cx="8890" cy="889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-1113790</wp:posOffset>
            </wp:positionV>
            <wp:extent cx="8890"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-1096645</wp:posOffset>
            </wp:positionV>
            <wp:extent cx="8890"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-1079500</wp:posOffset>
            </wp:positionV>
            <wp:extent cx="8890"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-1062355</wp:posOffset>
            </wp:positionV>
            <wp:extent cx="8890" cy="889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-1045210</wp:posOffset>
            </wp:positionV>
            <wp:extent cx="8890"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-1028065</wp:posOffset>
            </wp:positionV>
            <wp:extent cx="8890"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-1010920</wp:posOffset>
            </wp:positionV>
            <wp:extent cx="8890"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-993775</wp:posOffset>
            </wp:positionV>
            <wp:extent cx="8890"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-976630</wp:posOffset>
            </wp:positionV>
            <wp:extent cx="8890"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79" w:lineRule="exact"/>
        <w:rPr>
          <w:sz w:val="20"/>
          <w:szCs w:val="20"/>
          <w:color w:val="auto"/>
        </w:rPr>
      </w:pPr>
    </w:p>
    <w:p>
      <w:pPr>
        <w:jc w:val="both"/>
        <w:ind w:left="340" w:right="20" w:hanging="332"/>
        <w:spacing w:after="0" w:line="241" w:lineRule="auto"/>
        <w:tabs>
          <w:tab w:leader="none" w:pos="327" w:val="left"/>
        </w:tabs>
        <w:numPr>
          <w:ilvl w:val="0"/>
          <w:numId w:val="27"/>
        </w:numPr>
        <w:rPr>
          <w:rFonts w:ascii="Arial" w:cs="Arial" w:eastAsia="Arial" w:hAnsi="Arial"/>
          <w:sz w:val="14"/>
          <w:szCs w:val="14"/>
          <w:color w:val="auto"/>
        </w:rPr>
      </w:pPr>
      <w:r>
        <w:rPr>
          <w:rFonts w:ascii="Arial" w:cs="Arial" w:eastAsia="Arial" w:hAnsi="Arial"/>
          <w:sz w:val="14"/>
          <w:szCs w:val="14"/>
          <w:color w:val="auto"/>
        </w:rPr>
        <w:t>O&amp;R’s New York electric delivery revenues are subject to a revenue decoupling mechanism, as a result of which delivery revenues are generally not affected by changes in delivery volumes from levels assumed when rates were approved. O&amp;R’s electric sales in New Jersey are not subject to a decoupling mechanism, and as a result, changes in such volumes do impact revenues.</w:t>
      </w:r>
    </w:p>
    <w:p>
      <w:pPr>
        <w:spacing w:after="0" w:line="1" w:lineRule="exact"/>
        <w:rPr>
          <w:rFonts w:ascii="Arial" w:cs="Arial" w:eastAsia="Arial" w:hAnsi="Arial"/>
          <w:sz w:val="14"/>
          <w:szCs w:val="14"/>
          <w:color w:val="auto"/>
        </w:rPr>
      </w:pPr>
    </w:p>
    <w:p>
      <w:pPr>
        <w:ind w:left="340" w:right="380" w:hanging="332"/>
        <w:spacing w:after="0" w:line="241" w:lineRule="auto"/>
        <w:tabs>
          <w:tab w:leader="none" w:pos="327"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“Residential/Religious” generally includes single-family dwellings, individual apartments in multi-family dwellings, religious organizations and certain other not-for-profit organizations.</w:t>
      </w: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Other electric operating revenues generally reflect changes in regulatory assets and liabilities in accordance with the company’s electric rate plan.</w:t>
      </w:r>
    </w:p>
    <w:p>
      <w:pPr>
        <w:spacing w:after="0" w:line="1" w:lineRule="exact"/>
        <w:rPr>
          <w:rFonts w:ascii="Arial" w:cs="Arial" w:eastAsia="Arial" w:hAnsi="Arial"/>
          <w:sz w:val="14"/>
          <w:szCs w:val="14"/>
          <w:color w:val="auto"/>
        </w:rPr>
      </w:pPr>
    </w:p>
    <w:p>
      <w:pPr>
        <w:ind w:left="340" w:right="100" w:hanging="332"/>
        <w:spacing w:after="0" w:line="258" w:lineRule="auto"/>
        <w:tabs>
          <w:tab w:leader="none" w:pos="327" w:val="left"/>
        </w:tabs>
        <w:numPr>
          <w:ilvl w:val="0"/>
          <w:numId w:val="27"/>
        </w:numPr>
        <w:rPr>
          <w:rFonts w:ascii="Arial" w:cs="Arial" w:eastAsia="Arial" w:hAnsi="Arial"/>
          <w:sz w:val="14"/>
          <w:szCs w:val="14"/>
          <w:color w:val="auto"/>
        </w:rPr>
      </w:pPr>
      <w:r>
        <w:rPr>
          <w:rFonts w:ascii="Arial" w:cs="Arial" w:eastAsia="Arial" w:hAnsi="Arial"/>
          <w:sz w:val="14"/>
          <w:szCs w:val="14"/>
          <w:color w:val="auto"/>
        </w:rPr>
        <w:t>After adjusting for weather and other variations, electric delivery volumes in O&amp;R’s service area increased 5.9 percent in the three months ended June 30, 2021 compared with the 2020 period. See “Coronavirus Disease 2019 (COVID-19) Impacts,” above.</w:t>
      </w:r>
    </w:p>
    <w:p>
      <w:pPr>
        <w:spacing w:after="0" w:line="184"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increased $15 million in the three months ended June 30, 2021 compared with the 2020 period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power expenses ($12 million) and higher revenues from the New York electric rate plan ($3 million).</w:t>
      </w:r>
    </w:p>
    <w:p>
      <w:pPr>
        <w:spacing w:after="0" w:line="20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i w:val="1"/>
          <w:iCs w:val="1"/>
          <w:color w:val="auto"/>
        </w:rPr>
        <w:t xml:space="preserve">Purchased power </w:t>
      </w:r>
      <w:r>
        <w:rPr>
          <w:rFonts w:ascii="Arial" w:cs="Arial" w:eastAsia="Arial" w:hAnsi="Arial"/>
          <w:sz w:val="18"/>
          <w:szCs w:val="18"/>
          <w:color w:val="auto"/>
        </w:rPr>
        <w:t>expenses increased $12 million in the three months ended June 30, 2021 compared with the 2020 period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unit costs ($5 million) and higher purchased volumes ($7 million).</w:t>
      </w:r>
    </w:p>
    <w:p>
      <w:pPr>
        <w:spacing w:after="0" w:line="18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increased $1 million in the three months ended June 30, 2021 compared with the 2020 period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electric utility plant balances.</w:t>
      </w:r>
    </w:p>
    <w:p>
      <w:pPr>
        <w:spacing w:after="0" w:line="189"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$1 million in the three months ended June 30, 2021 compared with the 2020 period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higher payroll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O&amp;R’s results of gas operations for the three months ended June 30, 2021 compared with the 2020 period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Borders>
              <w:bottom w:val="single" w:sz="8" w:color="8C8272"/>
            </w:tcBorders>
          </w:tcPr>
          <w:p>
            <w:pPr>
              <w:spacing w:after="0"/>
              <w:rPr>
                <w:sz w:val="16"/>
                <w:szCs w:val="16"/>
                <w:color w:val="auto"/>
              </w:rPr>
            </w:pPr>
          </w:p>
        </w:tc>
        <w:tc>
          <w:tcPr>
            <w:tcW w:w="5380" w:type="dxa"/>
            <w:vAlign w:val="bottom"/>
            <w:tcBorders>
              <w:bottom w:val="single" w:sz="8" w:color="8C8272"/>
            </w:tcBorders>
            <w:gridSpan w:val="2"/>
          </w:tcPr>
          <w:p>
            <w:pPr>
              <w:jc w:val="right"/>
              <w:ind w:right="768"/>
              <w:spacing w:after="0"/>
              <w:rPr>
                <w:sz w:val="20"/>
                <w:szCs w:val="20"/>
                <w:color w:val="auto"/>
              </w:rPr>
            </w:pPr>
            <w:r>
              <w:rPr>
                <w:rFonts w:ascii="Arial" w:cs="Arial" w:eastAsia="Arial" w:hAnsi="Arial"/>
                <w:sz w:val="14"/>
                <w:szCs w:val="14"/>
                <w:b w:val="1"/>
                <w:bCs w:val="1"/>
                <w:color w:val="auto"/>
              </w:rPr>
              <w:t>For the Three Months Ended</w:t>
            </w:r>
          </w:p>
        </w:tc>
        <w:tc>
          <w:tcPr>
            <w:tcW w:w="1040" w:type="dxa"/>
            <w:vAlign w:val="bottom"/>
            <w:tcBorders>
              <w:bottom w:val="single" w:sz="8" w:color="8C8272"/>
            </w:tcBorders>
          </w:tcPr>
          <w:p>
            <w:pPr>
              <w:spacing w:after="0"/>
              <w:rPr>
                <w:sz w:val="16"/>
                <w:szCs w:val="16"/>
                <w:color w:val="auto"/>
              </w:rPr>
            </w:pPr>
          </w:p>
        </w:tc>
      </w:tr>
      <w:tr>
        <w:trPr>
          <w:trHeight w:val="183"/>
        </w:trPr>
        <w:tc>
          <w:tcPr>
            <w:tcW w:w="482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78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June 30, 2021</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June 30, 2020</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r>
      <w:tr>
        <w:trPr>
          <w:trHeight w:val="183"/>
        </w:trPr>
        <w:tc>
          <w:tcPr>
            <w:tcW w:w="4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revenues</w:t>
            </w:r>
          </w:p>
        </w:tc>
        <w:tc>
          <w:tcPr>
            <w:tcW w:w="37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$41</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$37</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4820" w:type="dxa"/>
            <w:vAlign w:val="bottom"/>
          </w:tcPr>
          <w:p>
            <w:pPr>
              <w:ind w:left="20"/>
              <w:spacing w:after="0"/>
              <w:rPr>
                <w:sz w:val="20"/>
                <w:szCs w:val="20"/>
                <w:color w:val="auto"/>
              </w:rPr>
            </w:pPr>
            <w:r>
              <w:rPr>
                <w:rFonts w:ascii="Arial" w:cs="Arial" w:eastAsia="Arial" w:hAnsi="Arial"/>
                <w:sz w:val="14"/>
                <w:szCs w:val="14"/>
                <w:color w:val="auto"/>
              </w:rPr>
              <w:t>Gas purchased for resale</w:t>
            </w:r>
          </w:p>
        </w:tc>
        <w:tc>
          <w:tcPr>
            <w:tcW w:w="3780" w:type="dxa"/>
            <w:vAlign w:val="bottom"/>
          </w:tcPr>
          <w:p>
            <w:pPr>
              <w:jc w:val="right"/>
              <w:ind w:right="168"/>
              <w:spacing w:after="0"/>
              <w:rPr>
                <w:sz w:val="20"/>
                <w:szCs w:val="20"/>
                <w:color w:val="auto"/>
              </w:rPr>
            </w:pPr>
            <w:r>
              <w:rPr>
                <w:rFonts w:ascii="Arial" w:cs="Arial" w:eastAsia="Arial" w:hAnsi="Arial"/>
                <w:sz w:val="14"/>
                <w:szCs w:val="14"/>
                <w:color w:val="auto"/>
              </w:rPr>
              <w:t>13</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10</w:t>
            </w: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4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 operations and maintenance</w:t>
            </w:r>
          </w:p>
        </w:tc>
        <w:tc>
          <w:tcPr>
            <w:tcW w:w="37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16</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16</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8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780" w:type="dxa"/>
            <w:vAlign w:val="bottom"/>
          </w:tcPr>
          <w:p>
            <w:pPr>
              <w:jc w:val="right"/>
              <w:ind w:right="168"/>
              <w:spacing w:after="0"/>
              <w:rPr>
                <w:sz w:val="20"/>
                <w:szCs w:val="20"/>
                <w:color w:val="auto"/>
              </w:rPr>
            </w:pPr>
            <w:r>
              <w:rPr>
                <w:rFonts w:ascii="Arial" w:cs="Arial" w:eastAsia="Arial" w:hAnsi="Arial"/>
                <w:sz w:val="14"/>
                <w:szCs w:val="14"/>
                <w:color w:val="auto"/>
              </w:rPr>
              <w:t>7</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7</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82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Taxes, other than income taxes</w:t>
            </w:r>
          </w:p>
        </w:tc>
        <w:tc>
          <w:tcPr>
            <w:tcW w:w="3780" w:type="dxa"/>
            <w:vAlign w:val="bottom"/>
            <w:tcBorders>
              <w:bottom w:val="single" w:sz="8" w:color="8C8272"/>
            </w:tcBorders>
            <w:shd w:val="clear" w:color="auto" w:fill="E5E5E5"/>
          </w:tcPr>
          <w:p>
            <w:pPr>
              <w:jc w:val="right"/>
              <w:ind w:right="168"/>
              <w:spacing w:after="0"/>
              <w:rPr>
                <w:sz w:val="20"/>
                <w:szCs w:val="20"/>
                <w:color w:val="auto"/>
              </w:rPr>
            </w:pPr>
            <w:r>
              <w:rPr>
                <w:rFonts w:ascii="Arial" w:cs="Arial" w:eastAsia="Arial" w:hAnsi="Arial"/>
                <w:sz w:val="14"/>
                <w:szCs w:val="14"/>
                <w:color w:val="auto"/>
              </w:rPr>
              <w:t>8</w:t>
            </w:r>
          </w:p>
        </w:tc>
        <w:tc>
          <w:tcPr>
            <w:tcW w:w="1600" w:type="dxa"/>
            <w:vAlign w:val="bottom"/>
            <w:tcBorders>
              <w:bottom w:val="single" w:sz="8" w:color="8C8272"/>
            </w:tcBorders>
            <w:shd w:val="clear" w:color="auto" w:fill="E5E5E5"/>
          </w:tcPr>
          <w:p>
            <w:pPr>
              <w:jc w:val="right"/>
              <w:ind w:right="328"/>
              <w:spacing w:after="0"/>
              <w:rPr>
                <w:sz w:val="20"/>
                <w:szCs w:val="20"/>
                <w:color w:val="auto"/>
              </w:rPr>
            </w:pPr>
            <w:r>
              <w:rPr>
                <w:rFonts w:ascii="Arial" w:cs="Arial" w:eastAsia="Arial" w:hAnsi="Arial"/>
                <w:sz w:val="14"/>
                <w:szCs w:val="14"/>
                <w:color w:val="auto"/>
              </w:rPr>
              <w:t>7</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4820" w:type="dxa"/>
            <w:vAlign w:val="bottom"/>
            <w:tcBorders>
              <w:bottom w:val="single" w:sz="8" w:color="8C8272"/>
            </w:tcBorders>
          </w:tcPr>
          <w:p>
            <w:pPr>
              <w:ind w:left="140"/>
              <w:spacing w:after="0"/>
              <w:rPr>
                <w:sz w:val="20"/>
                <w:szCs w:val="20"/>
                <w:color w:val="auto"/>
              </w:rPr>
            </w:pPr>
            <w:r>
              <w:rPr>
                <w:rFonts w:ascii="Arial" w:cs="Arial" w:eastAsia="Arial" w:hAnsi="Arial"/>
                <w:sz w:val="14"/>
                <w:szCs w:val="14"/>
                <w:b w:val="1"/>
                <w:bCs w:val="1"/>
                <w:color w:val="auto"/>
              </w:rPr>
              <w:t>Gas operating income</w:t>
            </w:r>
          </w:p>
        </w:tc>
        <w:tc>
          <w:tcPr>
            <w:tcW w:w="378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$(3)</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$(3)</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O&amp;R’s gas sales and deliveries, excluding off-system sales, for the three months ended June 30, 2021 compared with the 2020 period were: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60" w:type="dxa"/>
            <w:vAlign w:val="bottom"/>
            <w:tcBorders>
              <w:bottom w:val="single" w:sz="8" w:color="8C8272"/>
            </w:tcBorders>
          </w:tcPr>
          <w:p>
            <w:pPr>
              <w:spacing w:after="0"/>
              <w:rPr>
                <w:sz w:val="16"/>
                <w:szCs w:val="16"/>
                <w:color w:val="auto"/>
              </w:rPr>
            </w:pPr>
          </w:p>
        </w:tc>
        <w:tc>
          <w:tcPr>
            <w:tcW w:w="1380" w:type="dxa"/>
            <w:vAlign w:val="bottom"/>
            <w:tcBorders>
              <w:bottom w:val="single" w:sz="8" w:color="8C8272"/>
            </w:tcBorders>
          </w:tcPr>
          <w:p>
            <w:pPr>
              <w:spacing w:after="0"/>
              <w:rPr>
                <w:sz w:val="16"/>
                <w:szCs w:val="16"/>
                <w:color w:val="auto"/>
              </w:rPr>
            </w:pPr>
          </w:p>
        </w:tc>
        <w:tc>
          <w:tcPr>
            <w:tcW w:w="2300" w:type="dxa"/>
            <w:vAlign w:val="bottom"/>
            <w:tcBorders>
              <w:bottom w:val="single" w:sz="8" w:color="8C8272"/>
            </w:tcBorders>
            <w:gridSpan w:val="2"/>
          </w:tcPr>
          <w:p>
            <w:pPr>
              <w:jc w:val="right"/>
              <w:ind w:right="348"/>
              <w:spacing w:after="0"/>
              <w:rPr>
                <w:sz w:val="20"/>
                <w:szCs w:val="20"/>
                <w:color w:val="auto"/>
              </w:rPr>
            </w:pPr>
            <w:r>
              <w:rPr>
                <w:rFonts w:ascii="Arial" w:cs="Arial" w:eastAsia="Arial" w:hAnsi="Arial"/>
                <w:sz w:val="14"/>
                <w:szCs w:val="14"/>
                <w:b w:val="1"/>
                <w:bCs w:val="1"/>
                <w:color w:val="auto"/>
              </w:rPr>
              <w:t>Thousands of Dt Delivered</w:t>
            </w:r>
          </w:p>
        </w:tc>
        <w:tc>
          <w:tcPr>
            <w:tcW w:w="680" w:type="dxa"/>
            <w:vAlign w:val="bottom"/>
            <w:tcBorders>
              <w:bottom w:val="single" w:sz="8" w:color="8C8272"/>
            </w:tcBorders>
          </w:tcPr>
          <w:p>
            <w:pPr>
              <w:spacing w:after="0"/>
              <w:rPr>
                <w:sz w:val="16"/>
                <w:szCs w:val="16"/>
                <w:color w:val="auto"/>
              </w:rPr>
            </w:pPr>
          </w:p>
        </w:tc>
        <w:tc>
          <w:tcPr>
            <w:tcW w:w="180" w:type="dxa"/>
            <w:vAlign w:val="bottom"/>
            <w:tcBorders>
              <w:bottom w:val="single" w:sz="8" w:color="8C8272"/>
            </w:tcBorders>
          </w:tcPr>
          <w:p>
            <w:pPr>
              <w:spacing w:after="0"/>
              <w:rPr>
                <w:sz w:val="16"/>
                <w:szCs w:val="16"/>
                <w:color w:val="auto"/>
              </w:rPr>
            </w:pPr>
          </w:p>
        </w:tc>
        <w:tc>
          <w:tcPr>
            <w:tcW w:w="420" w:type="dxa"/>
            <w:vAlign w:val="bottom"/>
            <w:tcBorders>
              <w:bottom w:val="single" w:sz="8" w:color="828282"/>
            </w:tcBorders>
          </w:tcPr>
          <w:p>
            <w:pPr>
              <w:spacing w:after="0"/>
              <w:rPr>
                <w:sz w:val="16"/>
                <w:szCs w:val="16"/>
                <w:color w:val="auto"/>
              </w:rPr>
            </w:pPr>
          </w:p>
        </w:tc>
        <w:tc>
          <w:tcPr>
            <w:tcW w:w="1280" w:type="dxa"/>
            <w:vAlign w:val="bottom"/>
            <w:tcBorders>
              <w:bottom w:val="single" w:sz="8" w:color="8C8272"/>
            </w:tcBorders>
          </w:tcPr>
          <w:p>
            <w:pPr>
              <w:spacing w:after="0"/>
              <w:rPr>
                <w:sz w:val="16"/>
                <w:szCs w:val="16"/>
                <w:color w:val="auto"/>
              </w:rPr>
            </w:pPr>
          </w:p>
        </w:tc>
        <w:tc>
          <w:tcPr>
            <w:tcW w:w="2260" w:type="dxa"/>
            <w:vAlign w:val="bottom"/>
            <w:tcBorders>
              <w:bottom w:val="single" w:sz="8" w:color="8C8272"/>
            </w:tcBorders>
            <w:gridSpan w:val="2"/>
          </w:tcPr>
          <w:p>
            <w:pPr>
              <w:jc w:val="right"/>
              <w:ind w:right="468"/>
              <w:spacing w:after="0"/>
              <w:rPr>
                <w:sz w:val="20"/>
                <w:szCs w:val="20"/>
                <w:color w:val="auto"/>
              </w:rPr>
            </w:pPr>
            <w:r>
              <w:rPr>
                <w:rFonts w:ascii="Arial" w:cs="Arial" w:eastAsia="Arial" w:hAnsi="Arial"/>
                <w:sz w:val="14"/>
                <w:szCs w:val="14"/>
                <w:b w:val="1"/>
                <w:bCs w:val="1"/>
                <w:color w:val="auto"/>
              </w:rPr>
              <w:t>Revenues in Millions (a)</w:t>
            </w:r>
          </w:p>
        </w:tc>
        <w:tc>
          <w:tcPr>
            <w:tcW w:w="840" w:type="dxa"/>
            <w:vAlign w:val="bottom"/>
            <w:tcBorders>
              <w:bottom w:val="single" w:sz="8" w:color="8C8272"/>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8C8272"/>
            </w:tcBorders>
          </w:tcPr>
          <w:p>
            <w:pPr>
              <w:spacing w:after="0"/>
              <w:rPr>
                <w:sz w:val="19"/>
                <w:szCs w:val="19"/>
                <w:color w:val="auto"/>
              </w:rPr>
            </w:pPr>
          </w:p>
        </w:tc>
        <w:tc>
          <w:tcPr>
            <w:tcW w:w="2700" w:type="dxa"/>
            <w:vAlign w:val="bottom"/>
            <w:tcBorders>
              <w:bottom w:val="single" w:sz="8" w:color="8C8272"/>
            </w:tcBorders>
            <w:gridSpan w:val="2"/>
          </w:tcPr>
          <w:p>
            <w:pPr>
              <w:jc w:val="right"/>
              <w:ind w:right="308"/>
              <w:spacing w:after="0"/>
              <w:rPr>
                <w:sz w:val="20"/>
                <w:szCs w:val="20"/>
                <w:color w:val="auto"/>
              </w:rPr>
            </w:pPr>
            <w:r>
              <w:rPr>
                <w:rFonts w:ascii="Arial" w:cs="Arial" w:eastAsia="Arial" w:hAnsi="Arial"/>
                <w:sz w:val="14"/>
                <w:szCs w:val="14"/>
                <w:b w:val="1"/>
                <w:bCs w:val="1"/>
                <w:color w:val="auto"/>
              </w:rPr>
              <w:t>For the Three Months Ended</w:t>
            </w:r>
          </w:p>
        </w:tc>
        <w:tc>
          <w:tcPr>
            <w:tcW w:w="980" w:type="dxa"/>
            <w:vAlign w:val="bottom"/>
            <w:tcBorders>
              <w:bottom w:val="single" w:sz="8" w:color="8C8272"/>
            </w:tcBorders>
          </w:tcPr>
          <w:p>
            <w:pPr>
              <w:spacing w:after="0"/>
              <w:rPr>
                <w:sz w:val="19"/>
                <w:szCs w:val="19"/>
                <w:color w:val="auto"/>
              </w:rPr>
            </w:pPr>
          </w:p>
        </w:tc>
        <w:tc>
          <w:tcPr>
            <w:tcW w:w="680" w:type="dxa"/>
            <w:vAlign w:val="bottom"/>
            <w:tcBorders>
              <w:bottom w:val="single" w:sz="8" w:color="8C8272"/>
            </w:tcBorders>
          </w:tcPr>
          <w:p>
            <w:pPr>
              <w:spacing w:after="0"/>
              <w:rPr>
                <w:sz w:val="19"/>
                <w:szCs w:val="19"/>
                <w:color w:val="auto"/>
              </w:rPr>
            </w:pPr>
          </w:p>
        </w:tc>
        <w:tc>
          <w:tcPr>
            <w:tcW w:w="180" w:type="dxa"/>
            <w:vAlign w:val="bottom"/>
            <w:tcBorders>
              <w:bottom w:val="single" w:sz="8" w:color="8C8272"/>
            </w:tcBorders>
          </w:tcPr>
          <w:p>
            <w:pPr>
              <w:spacing w:after="0"/>
              <w:rPr>
                <w:sz w:val="19"/>
                <w:szCs w:val="19"/>
                <w:color w:val="auto"/>
              </w:rPr>
            </w:pPr>
          </w:p>
        </w:tc>
        <w:tc>
          <w:tcPr>
            <w:tcW w:w="420" w:type="dxa"/>
            <w:vAlign w:val="bottom"/>
            <w:tcBorders>
              <w:bottom w:val="single" w:sz="8" w:color="828282"/>
            </w:tcBorders>
          </w:tcPr>
          <w:p>
            <w:pPr>
              <w:spacing w:after="0"/>
              <w:rPr>
                <w:sz w:val="19"/>
                <w:szCs w:val="19"/>
                <w:color w:val="auto"/>
              </w:rPr>
            </w:pPr>
          </w:p>
        </w:tc>
        <w:tc>
          <w:tcPr>
            <w:tcW w:w="2580" w:type="dxa"/>
            <w:vAlign w:val="bottom"/>
            <w:tcBorders>
              <w:bottom w:val="single" w:sz="8" w:color="8C8272"/>
            </w:tcBorders>
            <w:gridSpan w:val="2"/>
          </w:tcPr>
          <w:p>
            <w:pPr>
              <w:jc w:val="right"/>
              <w:ind w:right="308"/>
              <w:spacing w:after="0"/>
              <w:rPr>
                <w:sz w:val="20"/>
                <w:szCs w:val="20"/>
                <w:color w:val="auto"/>
              </w:rPr>
            </w:pPr>
            <w:r>
              <w:rPr>
                <w:rFonts w:ascii="Arial" w:cs="Arial" w:eastAsia="Arial" w:hAnsi="Arial"/>
                <w:sz w:val="14"/>
                <w:szCs w:val="14"/>
                <w:b w:val="1"/>
                <w:bCs w:val="1"/>
                <w:color w:val="auto"/>
              </w:rPr>
              <w:t>For the Three Months Ended</w:t>
            </w:r>
          </w:p>
        </w:tc>
        <w:tc>
          <w:tcPr>
            <w:tcW w:w="960" w:type="dxa"/>
            <w:vAlign w:val="bottom"/>
            <w:tcBorders>
              <w:bottom w:val="single" w:sz="8" w:color="8C8272"/>
            </w:tcBorders>
          </w:tcPr>
          <w:p>
            <w:pPr>
              <w:spacing w:after="0"/>
              <w:rPr>
                <w:sz w:val="19"/>
                <w:szCs w:val="19"/>
                <w:color w:val="auto"/>
              </w:rPr>
            </w:pPr>
          </w:p>
        </w:tc>
        <w:tc>
          <w:tcPr>
            <w:tcW w:w="840" w:type="dxa"/>
            <w:vAlign w:val="bottom"/>
            <w:tcBorders>
              <w:bottom w:val="single" w:sz="8" w:color="8C8272"/>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2021</w:t>
            </w: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June 30, 2020</w:t>
            </w: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Variation</w:t>
            </w:r>
          </w:p>
        </w:tc>
        <w:tc>
          <w:tcPr>
            <w:tcW w:w="1280" w:type="dxa"/>
            <w:vAlign w:val="bottom"/>
            <w:gridSpan w:val="3"/>
          </w:tcPr>
          <w:p>
            <w:pPr>
              <w:jc w:val="right"/>
              <w:ind w:right="368"/>
              <w:spacing w:after="0" w:line="142" w:lineRule="exact"/>
              <w:rPr>
                <w:sz w:val="20"/>
                <w:szCs w:val="20"/>
                <w:color w:val="auto"/>
              </w:rPr>
            </w:pPr>
            <w:r>
              <w:rPr>
                <w:rFonts w:ascii="Arial" w:cs="Arial" w:eastAsia="Arial" w:hAnsi="Arial"/>
                <w:sz w:val="14"/>
                <w:szCs w:val="14"/>
                <w:b w:val="1"/>
                <w:bCs w:val="1"/>
                <w:color w:val="auto"/>
              </w:rPr>
              <w:t>Percent</w:t>
            </w: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June 30, 2021</w:t>
            </w: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June 30, 2020</w:t>
            </w: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Variation</w:t>
            </w: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6"/>
        </w:trPr>
        <w:tc>
          <w:tcPr>
            <w:tcW w:w="18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28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Variation</w:t>
            </w:r>
          </w:p>
        </w:tc>
        <w:tc>
          <w:tcPr>
            <w:tcW w:w="128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83"/>
        </w:trPr>
        <w:tc>
          <w:tcPr>
            <w:tcW w:w="1860" w:type="dxa"/>
            <w:vAlign w:val="bottom"/>
            <w:tcBorders>
              <w:top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Residential</w:t>
            </w:r>
          </w:p>
        </w:tc>
        <w:tc>
          <w:tcPr>
            <w:tcW w:w="1380" w:type="dxa"/>
            <w:vAlign w:val="bottom"/>
            <w:tcBorders>
              <w:top w:val="single" w:sz="8" w:color="8C8272"/>
            </w:tcBorders>
            <w:shd w:val="clear" w:color="auto" w:fill="E5E5E5"/>
          </w:tcPr>
          <w:p>
            <w:pPr>
              <w:jc w:val="right"/>
              <w:ind w:right="28"/>
              <w:spacing w:after="0"/>
              <w:rPr>
                <w:sz w:val="20"/>
                <w:szCs w:val="20"/>
                <w:color w:val="auto"/>
              </w:rPr>
            </w:pPr>
            <w:r>
              <w:rPr>
                <w:rFonts w:ascii="Arial" w:cs="Arial" w:eastAsia="Arial" w:hAnsi="Arial"/>
                <w:sz w:val="14"/>
                <w:szCs w:val="14"/>
                <w:color w:val="auto"/>
              </w:rPr>
              <w:t>1,618</w:t>
            </w:r>
          </w:p>
        </w:tc>
        <w:tc>
          <w:tcPr>
            <w:tcW w:w="1320" w:type="dxa"/>
            <w:vAlign w:val="bottom"/>
            <w:tcBorders>
              <w:top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1,686</w:t>
            </w:r>
          </w:p>
        </w:tc>
        <w:tc>
          <w:tcPr>
            <w:tcW w:w="980" w:type="dxa"/>
            <w:vAlign w:val="bottom"/>
            <w:tcBorders>
              <w:top w:val="single" w:sz="8" w:color="8C8272"/>
            </w:tcBorders>
            <w:shd w:val="clear" w:color="auto" w:fill="E5E5E5"/>
          </w:tcPr>
          <w:p>
            <w:pPr>
              <w:jc w:val="right"/>
              <w:ind w:right="168"/>
              <w:spacing w:after="0"/>
              <w:rPr>
                <w:sz w:val="20"/>
                <w:szCs w:val="20"/>
                <w:color w:val="auto"/>
              </w:rPr>
            </w:pPr>
            <w:r>
              <w:rPr>
                <w:rFonts w:ascii="Arial" w:cs="Arial" w:eastAsia="Arial" w:hAnsi="Arial"/>
                <w:sz w:val="14"/>
                <w:szCs w:val="14"/>
                <w:color w:val="auto"/>
              </w:rPr>
              <w:t>(68)</w:t>
            </w:r>
          </w:p>
        </w:tc>
        <w:tc>
          <w:tcPr>
            <w:tcW w:w="860" w:type="dxa"/>
            <w:vAlign w:val="bottom"/>
            <w:tcBorders>
              <w:top w:val="single" w:sz="8" w:color="8C8272"/>
            </w:tcBorders>
            <w:gridSpan w:val="2"/>
            <w:shd w:val="clear" w:color="auto" w:fill="E5E5E5"/>
          </w:tcPr>
          <w:p>
            <w:pPr>
              <w:jc w:val="right"/>
              <w:spacing w:after="0"/>
              <w:rPr>
                <w:sz w:val="20"/>
                <w:szCs w:val="20"/>
                <w:color w:val="auto"/>
              </w:rPr>
            </w:pPr>
            <w:r>
              <w:rPr>
                <w:rFonts w:ascii="Arial" w:cs="Arial" w:eastAsia="Arial" w:hAnsi="Arial"/>
                <w:sz w:val="14"/>
                <w:szCs w:val="14"/>
                <w:color w:val="auto"/>
              </w:rPr>
              <w:t>(4.0 %)</w:t>
            </w:r>
          </w:p>
        </w:tc>
        <w:tc>
          <w:tcPr>
            <w:tcW w:w="420" w:type="dxa"/>
            <w:vAlign w:val="bottom"/>
            <w:tcBorders>
              <w:top w:val="single" w:sz="8" w:color="828282"/>
            </w:tcBorders>
            <w:shd w:val="clear" w:color="auto" w:fill="E5E5E5"/>
          </w:tcPr>
          <w:p>
            <w:pPr>
              <w:spacing w:after="0"/>
              <w:rPr>
                <w:sz w:val="15"/>
                <w:szCs w:val="15"/>
                <w:color w:val="auto"/>
              </w:rPr>
            </w:pPr>
          </w:p>
        </w:tc>
        <w:tc>
          <w:tcPr>
            <w:tcW w:w="1280" w:type="dxa"/>
            <w:vAlign w:val="bottom"/>
            <w:tcBorders>
              <w:top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$24</w:t>
            </w:r>
          </w:p>
        </w:tc>
        <w:tc>
          <w:tcPr>
            <w:tcW w:w="1300" w:type="dxa"/>
            <w:vAlign w:val="bottom"/>
            <w:tcBorders>
              <w:top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$19</w:t>
            </w:r>
          </w:p>
        </w:tc>
        <w:tc>
          <w:tcPr>
            <w:tcW w:w="960" w:type="dxa"/>
            <w:vAlign w:val="bottom"/>
            <w:tcBorders>
              <w:top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$5</w:t>
            </w:r>
          </w:p>
        </w:tc>
        <w:tc>
          <w:tcPr>
            <w:tcW w:w="840" w:type="dxa"/>
            <w:vAlign w:val="bottom"/>
            <w:tcBorders>
              <w:top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26.3 %</w:t>
            </w:r>
          </w:p>
        </w:tc>
        <w:tc>
          <w:tcPr>
            <w:tcW w:w="0" w:type="dxa"/>
            <w:vAlign w:val="bottom"/>
          </w:tcPr>
          <w:p>
            <w:pPr>
              <w:spacing w:after="0"/>
              <w:rPr>
                <w:sz w:val="1"/>
                <w:szCs w:val="1"/>
                <w:color w:val="auto"/>
              </w:rPr>
            </w:pPr>
          </w:p>
        </w:tc>
      </w:tr>
      <w:tr>
        <w:trPr>
          <w:trHeight w:val="189"/>
        </w:trPr>
        <w:tc>
          <w:tcPr>
            <w:tcW w:w="1860" w:type="dxa"/>
            <w:vAlign w:val="bottom"/>
          </w:tcPr>
          <w:p>
            <w:pPr>
              <w:ind w:left="20"/>
              <w:spacing w:after="0"/>
              <w:rPr>
                <w:sz w:val="20"/>
                <w:szCs w:val="20"/>
                <w:color w:val="auto"/>
              </w:rPr>
            </w:pPr>
            <w:r>
              <w:rPr>
                <w:rFonts w:ascii="Arial" w:cs="Arial" w:eastAsia="Arial" w:hAnsi="Arial"/>
                <w:sz w:val="14"/>
                <w:szCs w:val="14"/>
                <w:color w:val="auto"/>
              </w:rPr>
              <w:t>General</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363</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294</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69</w:t>
            </w:r>
          </w:p>
        </w:tc>
        <w:tc>
          <w:tcPr>
            <w:tcW w:w="680" w:type="dxa"/>
            <w:vAlign w:val="bottom"/>
          </w:tcPr>
          <w:p>
            <w:pPr>
              <w:jc w:val="right"/>
              <w:spacing w:after="0"/>
              <w:rPr>
                <w:sz w:val="20"/>
                <w:szCs w:val="20"/>
                <w:color w:val="auto"/>
              </w:rPr>
            </w:pPr>
            <w:r>
              <w:rPr>
                <w:rFonts w:ascii="Arial" w:cs="Arial" w:eastAsia="Arial" w:hAnsi="Arial"/>
                <w:sz w:val="14"/>
                <w:szCs w:val="14"/>
                <w:color w:val="auto"/>
              </w:rPr>
              <w:t>23.5</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6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Firm transportation</w:t>
            </w:r>
          </w:p>
        </w:tc>
        <w:tc>
          <w:tcPr>
            <w:tcW w:w="1380" w:type="dxa"/>
            <w:vAlign w:val="bottom"/>
            <w:tcBorders>
              <w:bottom w:val="single" w:sz="8" w:color="8C8272"/>
            </w:tcBorders>
            <w:shd w:val="clear" w:color="auto" w:fill="E5E5E5"/>
          </w:tcPr>
          <w:p>
            <w:pPr>
              <w:jc w:val="right"/>
              <w:ind w:right="28"/>
              <w:spacing w:after="0"/>
              <w:rPr>
                <w:sz w:val="20"/>
                <w:szCs w:val="20"/>
                <w:color w:val="auto"/>
              </w:rPr>
            </w:pPr>
            <w:r>
              <w:rPr>
                <w:rFonts w:ascii="Arial" w:cs="Arial" w:eastAsia="Arial" w:hAnsi="Arial"/>
                <w:sz w:val="14"/>
                <w:szCs w:val="14"/>
                <w:color w:val="auto"/>
              </w:rPr>
              <w:t>1,193</w:t>
            </w:r>
          </w:p>
        </w:tc>
        <w:tc>
          <w:tcPr>
            <w:tcW w:w="132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1,452</w:t>
            </w:r>
          </w:p>
        </w:tc>
        <w:tc>
          <w:tcPr>
            <w:tcW w:w="980" w:type="dxa"/>
            <w:vAlign w:val="bottom"/>
            <w:tcBorders>
              <w:bottom w:val="single" w:sz="8" w:color="8C8272"/>
            </w:tcBorders>
            <w:shd w:val="clear" w:color="auto" w:fill="E5E5E5"/>
          </w:tcPr>
          <w:p>
            <w:pPr>
              <w:jc w:val="right"/>
              <w:ind w:right="168"/>
              <w:spacing w:after="0"/>
              <w:rPr>
                <w:sz w:val="20"/>
                <w:szCs w:val="20"/>
                <w:color w:val="auto"/>
              </w:rPr>
            </w:pPr>
            <w:r>
              <w:rPr>
                <w:rFonts w:ascii="Arial" w:cs="Arial" w:eastAsia="Arial" w:hAnsi="Arial"/>
                <w:sz w:val="14"/>
                <w:szCs w:val="14"/>
                <w:color w:val="auto"/>
              </w:rPr>
              <w:t>(259)</w:t>
            </w:r>
          </w:p>
        </w:tc>
        <w:tc>
          <w:tcPr>
            <w:tcW w:w="6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(17.8)</w:t>
            </w:r>
          </w:p>
        </w:tc>
        <w:tc>
          <w:tcPr>
            <w:tcW w:w="180" w:type="dxa"/>
            <w:vAlign w:val="bottom"/>
            <w:tcBorders>
              <w:bottom w:val="single" w:sz="8" w:color="8C8272"/>
            </w:tcBorders>
            <w:shd w:val="clear" w:color="auto" w:fill="E5E5E5"/>
          </w:tcPr>
          <w:p>
            <w:pPr>
              <w:spacing w:after="0"/>
              <w:rPr>
                <w:sz w:val="16"/>
                <w:szCs w:val="16"/>
                <w:color w:val="auto"/>
              </w:rPr>
            </w:pPr>
          </w:p>
        </w:tc>
        <w:tc>
          <w:tcPr>
            <w:tcW w:w="420" w:type="dxa"/>
            <w:vAlign w:val="bottom"/>
            <w:tcBorders>
              <w:bottom w:val="single" w:sz="8" w:color="828282"/>
            </w:tcBorders>
            <w:shd w:val="clear" w:color="auto" w:fill="E5E5E5"/>
          </w:tcPr>
          <w:p>
            <w:pPr>
              <w:spacing w:after="0"/>
              <w:rPr>
                <w:sz w:val="16"/>
                <w:szCs w:val="16"/>
                <w:color w:val="auto"/>
              </w:rPr>
            </w:pPr>
          </w:p>
        </w:tc>
        <w:tc>
          <w:tcPr>
            <w:tcW w:w="128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10</w:t>
            </w:r>
          </w:p>
        </w:tc>
        <w:tc>
          <w:tcPr>
            <w:tcW w:w="130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11</w:t>
            </w:r>
          </w:p>
        </w:tc>
        <w:tc>
          <w:tcPr>
            <w:tcW w:w="96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(1)</w:t>
            </w:r>
          </w:p>
        </w:tc>
        <w:tc>
          <w:tcPr>
            <w:tcW w:w="84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2"/>
        </w:trPr>
        <w:tc>
          <w:tcPr>
            <w:tcW w:w="186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Total firm sales and</w:t>
            </w: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3,174</w:t>
            </w:r>
          </w:p>
        </w:tc>
        <w:tc>
          <w:tcPr>
            <w:tcW w:w="13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3,432</w:t>
            </w: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(258)</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(7.5)</w:t>
            </w:r>
          </w:p>
        </w:tc>
        <w:tc>
          <w:tcPr>
            <w:tcW w:w="18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w:t>
            </w: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37</w:t>
            </w: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33</w:t>
            </w: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4</w:t>
            </w: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12.1</w:t>
            </w:r>
          </w:p>
        </w:tc>
        <w:tc>
          <w:tcPr>
            <w:tcW w:w="0" w:type="dxa"/>
            <w:vAlign w:val="bottom"/>
          </w:tcPr>
          <w:p>
            <w:pPr>
              <w:spacing w:after="0"/>
              <w:rPr>
                <w:sz w:val="1"/>
                <w:szCs w:val="1"/>
                <w:color w:val="auto"/>
              </w:rPr>
            </w:pPr>
          </w:p>
        </w:tc>
      </w:tr>
      <w:tr>
        <w:trPr>
          <w:trHeight w:val="175"/>
        </w:trPr>
        <w:tc>
          <w:tcPr>
            <w:tcW w:w="1860" w:type="dxa"/>
            <w:vAlign w:val="bottom"/>
          </w:tcPr>
          <w:p>
            <w:pPr>
              <w:ind w:left="140"/>
              <w:spacing w:after="0"/>
              <w:rPr>
                <w:sz w:val="20"/>
                <w:szCs w:val="20"/>
                <w:color w:val="auto"/>
              </w:rPr>
            </w:pPr>
            <w:r>
              <w:rPr>
                <w:rFonts w:ascii="Arial" w:cs="Arial" w:eastAsia="Arial" w:hAnsi="Arial"/>
                <w:sz w:val="14"/>
                <w:szCs w:val="14"/>
                <w:b w:val="1"/>
                <w:bCs w:val="1"/>
                <w:color w:val="auto"/>
              </w:rPr>
              <w:t>transportation</w:t>
            </w:r>
          </w:p>
        </w:tc>
        <w:tc>
          <w:tcPr>
            <w:tcW w:w="13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Interruptible sales</w:t>
            </w:r>
          </w:p>
        </w:tc>
        <w:tc>
          <w:tcPr>
            <w:tcW w:w="13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940</w:t>
            </w:r>
          </w:p>
        </w:tc>
        <w:tc>
          <w:tcPr>
            <w:tcW w:w="1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771</w:t>
            </w:r>
          </w:p>
        </w:tc>
        <w:tc>
          <w:tcPr>
            <w:tcW w:w="9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169</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21.9</w:t>
            </w:r>
          </w:p>
        </w:tc>
        <w:tc>
          <w:tcPr>
            <w:tcW w:w="18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2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w:t>
            </w:r>
          </w:p>
        </w:tc>
        <w:tc>
          <w:tcPr>
            <w:tcW w:w="13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w:t>
            </w:r>
          </w:p>
        </w:tc>
        <w:tc>
          <w:tcPr>
            <w:tcW w:w="9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Large</w:t>
            </w:r>
          </w:p>
        </w:tc>
        <w:tc>
          <w:tcPr>
            <w:tcW w:w="0" w:type="dxa"/>
            <w:vAlign w:val="bottom"/>
          </w:tcPr>
          <w:p>
            <w:pPr>
              <w:spacing w:after="0"/>
              <w:rPr>
                <w:sz w:val="1"/>
                <w:szCs w:val="1"/>
                <w:color w:val="auto"/>
              </w:rPr>
            </w:pPr>
          </w:p>
        </w:tc>
      </w:tr>
      <w:tr>
        <w:trPr>
          <w:trHeight w:val="189"/>
        </w:trPr>
        <w:tc>
          <w:tcPr>
            <w:tcW w:w="1860" w:type="dxa"/>
            <w:vAlign w:val="bottom"/>
          </w:tcPr>
          <w:p>
            <w:pPr>
              <w:ind w:left="20"/>
              <w:spacing w:after="0"/>
              <w:rPr>
                <w:sz w:val="20"/>
                <w:szCs w:val="20"/>
                <w:color w:val="auto"/>
              </w:rPr>
            </w:pPr>
            <w:r>
              <w:rPr>
                <w:rFonts w:ascii="Arial" w:cs="Arial" w:eastAsia="Arial" w:hAnsi="Arial"/>
                <w:sz w:val="14"/>
                <w:szCs w:val="14"/>
                <w:color w:val="auto"/>
              </w:rPr>
              <w:t>Generation plants</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5</w:t>
            </w:r>
          </w:p>
        </w:tc>
        <w:tc>
          <w:tcPr>
            <w:tcW w:w="1280" w:type="dxa"/>
            <w:vAlign w:val="bottom"/>
            <w:gridSpan w:val="3"/>
          </w:tcPr>
          <w:p>
            <w:pPr>
              <w:jc w:val="right"/>
              <w:ind w:right="368"/>
              <w:spacing w:after="0"/>
              <w:rPr>
                <w:sz w:val="20"/>
                <w:szCs w:val="20"/>
                <w:color w:val="auto"/>
              </w:rPr>
            </w:pPr>
            <w:r>
              <w:rPr>
                <w:rFonts w:ascii="Arial" w:cs="Arial" w:eastAsia="Arial" w:hAnsi="Arial"/>
                <w:sz w:val="14"/>
                <w:szCs w:val="14"/>
                <w:color w:val="auto"/>
              </w:rPr>
              <w:t>Large</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6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Other</w:t>
            </w:r>
          </w:p>
        </w:tc>
        <w:tc>
          <w:tcPr>
            <w:tcW w:w="1380" w:type="dxa"/>
            <w:vAlign w:val="bottom"/>
            <w:tcBorders>
              <w:bottom w:val="single" w:sz="8" w:color="8C8272"/>
            </w:tcBorders>
            <w:shd w:val="clear" w:color="auto" w:fill="E5E5E5"/>
          </w:tcPr>
          <w:p>
            <w:pPr>
              <w:jc w:val="right"/>
              <w:ind w:right="28"/>
              <w:spacing w:after="0"/>
              <w:rPr>
                <w:sz w:val="20"/>
                <w:szCs w:val="20"/>
                <w:color w:val="auto"/>
              </w:rPr>
            </w:pPr>
            <w:r>
              <w:rPr>
                <w:rFonts w:ascii="Arial" w:cs="Arial" w:eastAsia="Arial" w:hAnsi="Arial"/>
                <w:sz w:val="14"/>
                <w:szCs w:val="14"/>
                <w:color w:val="auto"/>
              </w:rPr>
              <w:t>64</w:t>
            </w:r>
          </w:p>
        </w:tc>
        <w:tc>
          <w:tcPr>
            <w:tcW w:w="132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127</w:t>
            </w:r>
          </w:p>
        </w:tc>
        <w:tc>
          <w:tcPr>
            <w:tcW w:w="980" w:type="dxa"/>
            <w:vAlign w:val="bottom"/>
            <w:tcBorders>
              <w:bottom w:val="single" w:sz="8" w:color="8C8272"/>
            </w:tcBorders>
            <w:shd w:val="clear" w:color="auto" w:fill="E5E5E5"/>
          </w:tcPr>
          <w:p>
            <w:pPr>
              <w:jc w:val="right"/>
              <w:ind w:right="168"/>
              <w:spacing w:after="0"/>
              <w:rPr>
                <w:sz w:val="20"/>
                <w:szCs w:val="20"/>
                <w:color w:val="auto"/>
              </w:rPr>
            </w:pPr>
            <w:r>
              <w:rPr>
                <w:rFonts w:ascii="Arial" w:cs="Arial" w:eastAsia="Arial" w:hAnsi="Arial"/>
                <w:sz w:val="14"/>
                <w:szCs w:val="14"/>
                <w:color w:val="auto"/>
              </w:rPr>
              <w:t>(63)</w:t>
            </w:r>
          </w:p>
        </w:tc>
        <w:tc>
          <w:tcPr>
            <w:tcW w:w="6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(49.6)</w:t>
            </w:r>
          </w:p>
        </w:tc>
        <w:tc>
          <w:tcPr>
            <w:tcW w:w="180" w:type="dxa"/>
            <w:vAlign w:val="bottom"/>
            <w:tcBorders>
              <w:bottom w:val="single" w:sz="8" w:color="8C8272"/>
            </w:tcBorders>
            <w:shd w:val="clear" w:color="auto" w:fill="E5E5E5"/>
          </w:tcPr>
          <w:p>
            <w:pPr>
              <w:spacing w:after="0"/>
              <w:rPr>
                <w:sz w:val="16"/>
                <w:szCs w:val="16"/>
                <w:color w:val="auto"/>
              </w:rPr>
            </w:pPr>
          </w:p>
        </w:tc>
        <w:tc>
          <w:tcPr>
            <w:tcW w:w="420" w:type="dxa"/>
            <w:vAlign w:val="bottom"/>
            <w:tcBorders>
              <w:bottom w:val="single" w:sz="8" w:color="828282"/>
            </w:tcBorders>
            <w:shd w:val="clear" w:color="auto" w:fill="E5E5E5"/>
          </w:tcPr>
          <w:p>
            <w:pPr>
              <w:spacing w:after="0"/>
              <w:rPr>
                <w:sz w:val="16"/>
                <w:szCs w:val="16"/>
                <w:color w:val="auto"/>
              </w:rPr>
            </w:pPr>
          </w:p>
        </w:tc>
        <w:tc>
          <w:tcPr>
            <w:tcW w:w="128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color w:val="auto"/>
              </w:rPr>
              <w:t>1</w:t>
            </w:r>
          </w:p>
        </w:tc>
        <w:tc>
          <w:tcPr>
            <w:tcW w:w="130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C8272"/>
            </w:tcBorders>
            <w:shd w:val="clear" w:color="auto" w:fill="E5E5E5"/>
          </w:tcPr>
          <w:p>
            <w:pPr>
              <w:jc w:val="right"/>
              <w:ind w:right="188"/>
              <w:spacing w:after="0"/>
              <w:rPr>
                <w:sz w:val="20"/>
                <w:szCs w:val="20"/>
                <w:color w:val="auto"/>
              </w:rPr>
            </w:pPr>
            <w:r>
              <w:rPr>
                <w:rFonts w:ascii="Arial" w:cs="Arial" w:eastAsia="Arial" w:hAnsi="Arial"/>
                <w:sz w:val="14"/>
                <w:szCs w:val="14"/>
                <w:color w:val="auto"/>
              </w:rPr>
              <w:t>1</w:t>
            </w:r>
          </w:p>
        </w:tc>
        <w:tc>
          <w:tcPr>
            <w:tcW w:w="840" w:type="dxa"/>
            <w:vAlign w:val="bottom"/>
            <w:tcBorders>
              <w:bottom w:val="single" w:sz="8" w:color="8C8272"/>
            </w:tcBorders>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860" w:type="dxa"/>
            <w:vAlign w:val="bottom"/>
          </w:tcPr>
          <w:p>
            <w:pPr>
              <w:ind w:left="20"/>
              <w:spacing w:after="0"/>
              <w:rPr>
                <w:sz w:val="20"/>
                <w:szCs w:val="20"/>
                <w:color w:val="auto"/>
              </w:rPr>
            </w:pPr>
            <w:r>
              <w:rPr>
                <w:rFonts w:ascii="Arial" w:cs="Arial" w:eastAsia="Arial" w:hAnsi="Arial"/>
                <w:sz w:val="14"/>
                <w:szCs w:val="14"/>
                <w:color w:val="auto"/>
              </w:rPr>
              <w:t>Other gas revenues</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5"/>
                <w:szCs w:val="15"/>
                <w:color w:val="auto"/>
              </w:rPr>
            </w:pPr>
          </w:p>
        </w:tc>
        <w:tc>
          <w:tcPr>
            <w:tcW w:w="600" w:type="dxa"/>
            <w:vAlign w:val="bottom"/>
            <w:gridSpan w:val="2"/>
          </w:tcPr>
          <w:p>
            <w:pPr>
              <w:jc w:val="right"/>
              <w:ind w:right="368"/>
              <w:spacing w:after="0"/>
              <w:rPr>
                <w:sz w:val="20"/>
                <w:szCs w:val="20"/>
                <w:color w:val="auto"/>
              </w:rPr>
            </w:pPr>
            <w:r>
              <w:rPr>
                <w:rFonts w:ascii="Arial" w:cs="Arial" w:eastAsia="Arial" w:hAnsi="Arial"/>
                <w:sz w:val="14"/>
                <w:szCs w:val="14"/>
                <w:color w:val="auto"/>
                <w:w w:val="99"/>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83"/>
        </w:trPr>
        <w:tc>
          <w:tcPr>
            <w:tcW w:w="1860" w:type="dxa"/>
            <w:vAlign w:val="bottom"/>
            <w:tcBorders>
              <w:top w:val="single" w:sz="8" w:color="8C8272"/>
              <w:bottom w:val="single" w:sz="8" w:color="8C8272"/>
            </w:tcBorders>
            <w:shd w:val="clear" w:color="auto" w:fill="E5E5E5"/>
          </w:tcPr>
          <w:p>
            <w:pPr>
              <w:ind w:left="360"/>
              <w:spacing w:after="0"/>
              <w:rPr>
                <w:sz w:val="20"/>
                <w:szCs w:val="20"/>
                <w:color w:val="auto"/>
              </w:rPr>
            </w:pPr>
            <w:r>
              <w:rPr>
                <w:rFonts w:ascii="Arial" w:cs="Arial" w:eastAsia="Arial" w:hAnsi="Arial"/>
                <w:sz w:val="14"/>
                <w:szCs w:val="14"/>
                <w:b w:val="1"/>
                <w:bCs w:val="1"/>
                <w:color w:val="auto"/>
              </w:rPr>
              <w:t>Total</w:t>
            </w:r>
          </w:p>
        </w:tc>
        <w:tc>
          <w:tcPr>
            <w:tcW w:w="1380" w:type="dxa"/>
            <w:vAlign w:val="bottom"/>
            <w:tcBorders>
              <w:top w:val="single" w:sz="8" w:color="8C8272"/>
              <w:bottom w:val="single" w:sz="8" w:color="8C8272"/>
            </w:tcBorders>
            <w:shd w:val="clear" w:color="auto" w:fill="E5E5E5"/>
          </w:tcPr>
          <w:p>
            <w:pPr>
              <w:jc w:val="right"/>
              <w:ind w:right="28"/>
              <w:spacing w:after="0"/>
              <w:rPr>
                <w:sz w:val="20"/>
                <w:szCs w:val="20"/>
                <w:color w:val="auto"/>
              </w:rPr>
            </w:pPr>
            <w:r>
              <w:rPr>
                <w:rFonts w:ascii="Arial" w:cs="Arial" w:eastAsia="Arial" w:hAnsi="Arial"/>
                <w:sz w:val="14"/>
                <w:szCs w:val="14"/>
                <w:b w:val="1"/>
                <w:bCs w:val="1"/>
                <w:color w:val="auto"/>
              </w:rPr>
              <w:t>4,186</w:t>
            </w:r>
          </w:p>
        </w:tc>
        <w:tc>
          <w:tcPr>
            <w:tcW w:w="1320" w:type="dxa"/>
            <w:vAlign w:val="bottom"/>
            <w:tcBorders>
              <w:top w:val="single" w:sz="8" w:color="8C8272"/>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b w:val="1"/>
                <w:bCs w:val="1"/>
                <w:color w:val="auto"/>
              </w:rPr>
              <w:t>4,333</w:t>
            </w:r>
          </w:p>
        </w:tc>
        <w:tc>
          <w:tcPr>
            <w:tcW w:w="980" w:type="dxa"/>
            <w:vAlign w:val="bottom"/>
            <w:tcBorders>
              <w:top w:val="single" w:sz="8" w:color="8C8272"/>
              <w:bottom w:val="single" w:sz="8" w:color="8C8272"/>
            </w:tcBorders>
            <w:shd w:val="clear" w:color="auto" w:fill="E5E5E5"/>
          </w:tcPr>
          <w:p>
            <w:pPr>
              <w:jc w:val="right"/>
              <w:ind w:right="168"/>
              <w:spacing w:after="0"/>
              <w:rPr>
                <w:sz w:val="20"/>
                <w:szCs w:val="20"/>
                <w:color w:val="auto"/>
              </w:rPr>
            </w:pPr>
            <w:r>
              <w:rPr>
                <w:rFonts w:ascii="Arial" w:cs="Arial" w:eastAsia="Arial" w:hAnsi="Arial"/>
                <w:sz w:val="14"/>
                <w:szCs w:val="14"/>
                <w:b w:val="1"/>
                <w:bCs w:val="1"/>
                <w:color w:val="auto"/>
              </w:rPr>
              <w:t>(147)</w:t>
            </w:r>
          </w:p>
        </w:tc>
        <w:tc>
          <w:tcPr>
            <w:tcW w:w="860" w:type="dxa"/>
            <w:vAlign w:val="bottom"/>
            <w:tcBorders>
              <w:top w:val="single" w:sz="8" w:color="8C8272"/>
              <w:bottom w:val="single" w:sz="8" w:color="8C8272"/>
            </w:tcBorders>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(3.4 %)</w:t>
            </w:r>
          </w:p>
        </w:tc>
        <w:tc>
          <w:tcPr>
            <w:tcW w:w="420" w:type="dxa"/>
            <w:vAlign w:val="bottom"/>
            <w:tcBorders>
              <w:top w:val="single" w:sz="8" w:color="828282"/>
              <w:bottom w:val="single" w:sz="8" w:color="828282"/>
            </w:tcBorders>
            <w:shd w:val="clear" w:color="auto" w:fill="E5E5E5"/>
          </w:tcPr>
          <w:p>
            <w:pPr>
              <w:spacing w:after="0"/>
              <w:rPr>
                <w:sz w:val="15"/>
                <w:szCs w:val="15"/>
                <w:color w:val="auto"/>
              </w:rPr>
            </w:pPr>
          </w:p>
        </w:tc>
        <w:tc>
          <w:tcPr>
            <w:tcW w:w="1280" w:type="dxa"/>
            <w:vAlign w:val="bottom"/>
            <w:tcBorders>
              <w:top w:val="single" w:sz="8" w:color="8C8272"/>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b w:val="1"/>
                <w:bCs w:val="1"/>
                <w:color w:val="auto"/>
              </w:rPr>
              <w:t>$41</w:t>
            </w:r>
          </w:p>
        </w:tc>
        <w:tc>
          <w:tcPr>
            <w:tcW w:w="1300" w:type="dxa"/>
            <w:vAlign w:val="bottom"/>
            <w:tcBorders>
              <w:top w:val="single" w:sz="8" w:color="8C8272"/>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b w:val="1"/>
                <w:bCs w:val="1"/>
                <w:color w:val="auto"/>
              </w:rPr>
              <w:t>$37</w:t>
            </w:r>
          </w:p>
        </w:tc>
        <w:tc>
          <w:tcPr>
            <w:tcW w:w="960" w:type="dxa"/>
            <w:vAlign w:val="bottom"/>
            <w:tcBorders>
              <w:top w:val="single" w:sz="8" w:color="8C8272"/>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b w:val="1"/>
                <w:bCs w:val="1"/>
                <w:color w:val="auto"/>
              </w:rPr>
              <w:t>$4</w:t>
            </w:r>
          </w:p>
        </w:tc>
        <w:tc>
          <w:tcPr>
            <w:tcW w:w="840" w:type="dxa"/>
            <w:vAlign w:val="bottom"/>
            <w:tcBorders>
              <w:top w:val="single" w:sz="8" w:color="8C8272"/>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10.8 %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-128270</wp:posOffset>
            </wp:positionV>
            <wp:extent cx="8890" cy="1714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-102235</wp:posOffset>
            </wp:positionV>
            <wp:extent cx="8890" cy="889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-85090</wp:posOffset>
            </wp:positionV>
            <wp:extent cx="8890"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-67945</wp:posOffset>
            </wp:positionV>
            <wp:extent cx="8890"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-50800</wp:posOffset>
            </wp:positionV>
            <wp:extent cx="8890"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-33655</wp:posOffset>
            </wp:positionV>
            <wp:extent cx="8890"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-16510</wp:posOffset>
            </wp:positionV>
            <wp:extent cx="8890" cy="889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-256540</wp:posOffset>
            </wp:positionV>
            <wp:extent cx="8890" cy="1714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-231140</wp:posOffset>
            </wp:positionV>
            <wp:extent cx="8890"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-213995</wp:posOffset>
            </wp:positionV>
            <wp:extent cx="8890"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-196850</wp:posOffset>
            </wp:positionV>
            <wp:extent cx="8890"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-179070</wp:posOffset>
            </wp:positionV>
            <wp:extent cx="8890"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-162560</wp:posOffset>
            </wp:positionV>
            <wp:extent cx="8890"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-145415</wp:posOffset>
            </wp:positionV>
            <wp:extent cx="8890"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-359410</wp:posOffset>
            </wp:positionV>
            <wp:extent cx="8890" cy="889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-342265</wp:posOffset>
            </wp:positionV>
            <wp:extent cx="8890"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-325120</wp:posOffset>
            </wp:positionV>
            <wp:extent cx="8890"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-307975</wp:posOffset>
            </wp:positionV>
            <wp:extent cx="8890"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-290830</wp:posOffset>
            </wp:positionV>
            <wp:extent cx="8890"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-273685</wp:posOffset>
            </wp:positionV>
            <wp:extent cx="8890" cy="889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-479425</wp:posOffset>
            </wp:positionV>
            <wp:extent cx="8890"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-462280</wp:posOffset>
            </wp:positionV>
            <wp:extent cx="8890"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-445135</wp:posOffset>
            </wp:positionV>
            <wp:extent cx="8890" cy="889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-427990</wp:posOffset>
            </wp:positionV>
            <wp:extent cx="8890"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-410845</wp:posOffset>
            </wp:positionV>
            <wp:extent cx="8890"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-393700</wp:posOffset>
            </wp:positionV>
            <wp:extent cx="8890" cy="2540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-599440</wp:posOffset>
            </wp:positionV>
            <wp:extent cx="8890"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-582295</wp:posOffset>
            </wp:positionV>
            <wp:extent cx="8890"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-565150</wp:posOffset>
            </wp:positionV>
            <wp:extent cx="8890"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-548005</wp:posOffset>
            </wp:positionV>
            <wp:extent cx="8890"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-530860</wp:posOffset>
            </wp:positionV>
            <wp:extent cx="8890" cy="889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-513715</wp:posOffset>
            </wp:positionV>
            <wp:extent cx="8890" cy="2540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-831215</wp:posOffset>
            </wp:positionV>
            <wp:extent cx="8890" cy="1714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-805180</wp:posOffset>
            </wp:positionV>
            <wp:extent cx="8890"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-788035</wp:posOffset>
            </wp:positionV>
            <wp:extent cx="8890" cy="889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-770890</wp:posOffset>
            </wp:positionV>
            <wp:extent cx="8890"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-753745</wp:posOffset>
            </wp:positionV>
            <wp:extent cx="8890"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-736600</wp:posOffset>
            </wp:positionV>
            <wp:extent cx="8890"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-719455</wp:posOffset>
            </wp:positionV>
            <wp:extent cx="8890"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-702310</wp:posOffset>
            </wp:positionV>
            <wp:extent cx="8890" cy="8890"/>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-685165</wp:posOffset>
            </wp:positionV>
            <wp:extent cx="8890"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-668020</wp:posOffset>
            </wp:positionV>
            <wp:extent cx="8890"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-650875</wp:posOffset>
            </wp:positionV>
            <wp:extent cx="8890"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-633730</wp:posOffset>
            </wp:positionV>
            <wp:extent cx="8890" cy="2603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-934085</wp:posOffset>
            </wp:positionV>
            <wp:extent cx="8890"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-916940</wp:posOffset>
            </wp:positionV>
            <wp:extent cx="8890" cy="889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-899795</wp:posOffset>
            </wp:positionV>
            <wp:extent cx="8890"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-882650</wp:posOffset>
            </wp:positionV>
            <wp:extent cx="8890"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-864870</wp:posOffset>
            </wp:positionV>
            <wp:extent cx="8890"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-848360</wp:posOffset>
            </wp:positionV>
            <wp:extent cx="8890"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-1054100</wp:posOffset>
            </wp:positionV>
            <wp:extent cx="8890"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-1036320</wp:posOffset>
            </wp:positionV>
            <wp:extent cx="8890"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-1019810</wp:posOffset>
            </wp:positionV>
            <wp:extent cx="8890"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-1002665</wp:posOffset>
            </wp:positionV>
            <wp:extent cx="8890" cy="889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-985520</wp:posOffset>
            </wp:positionV>
            <wp:extent cx="8890"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-968375</wp:posOffset>
            </wp:positionV>
            <wp:extent cx="8890" cy="2603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-1199515</wp:posOffset>
            </wp:positionV>
            <wp:extent cx="8890" cy="1714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-1174115</wp:posOffset>
            </wp:positionV>
            <wp:extent cx="8890" cy="889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-1156970</wp:posOffset>
            </wp:positionV>
            <wp:extent cx="8890"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-1139825</wp:posOffset>
            </wp:positionV>
            <wp:extent cx="8890"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-1122045</wp:posOffset>
            </wp:positionV>
            <wp:extent cx="8890"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-1105535</wp:posOffset>
            </wp:positionV>
            <wp:extent cx="8890"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-1088390</wp:posOffset>
            </wp:positionV>
            <wp:extent cx="8890" cy="2603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-1414145</wp:posOffset>
            </wp:positionV>
            <wp:extent cx="8890" cy="1714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-1388110</wp:posOffset>
            </wp:positionV>
            <wp:extent cx="8890"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-1370965</wp:posOffset>
            </wp:positionV>
            <wp:extent cx="8890"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-1353820</wp:posOffset>
            </wp:positionV>
            <wp:extent cx="8890" cy="889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-1336675</wp:posOffset>
            </wp:positionV>
            <wp:extent cx="8890"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-1319530</wp:posOffset>
            </wp:positionV>
            <wp:extent cx="8890"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-1302385</wp:posOffset>
            </wp:positionV>
            <wp:extent cx="8890" cy="889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-1285240</wp:posOffset>
            </wp:positionV>
            <wp:extent cx="8890"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-1268095</wp:posOffset>
            </wp:positionV>
            <wp:extent cx="8890"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-1250950</wp:posOffset>
            </wp:positionV>
            <wp:extent cx="8890"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-1233805</wp:posOffset>
            </wp:positionV>
            <wp:extent cx="8890"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-1216660</wp:posOffset>
            </wp:positionV>
            <wp:extent cx="8890" cy="889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-1568450</wp:posOffset>
            </wp:positionV>
            <wp:extent cx="8890" cy="889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-1550670</wp:posOffset>
            </wp:positionV>
            <wp:extent cx="8890"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-1534160</wp:posOffset>
            </wp:positionV>
            <wp:extent cx="8890"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-1516380</wp:posOffset>
            </wp:positionV>
            <wp:extent cx="8890"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-1499870</wp:posOffset>
            </wp:positionV>
            <wp:extent cx="8890"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-1482725</wp:posOffset>
            </wp:positionV>
            <wp:extent cx="8890" cy="889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-1464945</wp:posOffset>
            </wp:positionV>
            <wp:extent cx="8890"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-1448435</wp:posOffset>
            </wp:positionV>
            <wp:extent cx="8890" cy="825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-1430655</wp:posOffset>
            </wp:positionV>
            <wp:extent cx="8890"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79" w:lineRule="exact"/>
        <w:rPr>
          <w:sz w:val="20"/>
          <w:szCs w:val="20"/>
          <w:color w:val="auto"/>
        </w:rPr>
      </w:pPr>
    </w:p>
    <w:p>
      <w:pPr>
        <w:ind w:left="340" w:right="560" w:hanging="332"/>
        <w:spacing w:after="0" w:line="241"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Revenues from New York gas sales are subject to a weather normalization clause and a revenue decoupling mechanism as a result of which delivery revenues are generally not affected by changes in delivery volumes from levels assumed when rates were approved.</w:t>
      </w:r>
    </w:p>
    <w:p>
      <w:pPr>
        <w:ind w:left="340" w:right="100" w:hanging="332"/>
        <w:spacing w:after="0" w:line="258"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After adjusting for weather and other variations, total firm sales and transportation volumes increased 6.1 percent in the three months ended June 30, 2021 compared with the 2020 period. See “Coronavirus Disease 2019 (COVID-19) Impacts,” above.</w:t>
      </w:r>
    </w:p>
    <w:p>
      <w:pPr>
        <w:spacing w:after="0" w:line="19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increased $4 million in the three months ended June 30, 2021 compared with the 2020 period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gas purchased for resale.</w:t>
      </w:r>
    </w:p>
    <w:p>
      <w:pPr>
        <w:spacing w:after="0" w:line="18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i w:val="1"/>
          <w:iCs w:val="1"/>
          <w:color w:val="auto"/>
        </w:rPr>
        <w:t xml:space="preserve">Gas purchased for resale </w:t>
      </w:r>
      <w:r>
        <w:rPr>
          <w:rFonts w:ascii="Arial" w:cs="Arial" w:eastAsia="Arial" w:hAnsi="Arial"/>
          <w:sz w:val="18"/>
          <w:szCs w:val="18"/>
          <w:color w:val="auto"/>
        </w:rPr>
        <w:t>increased $3 million in the three months ended June 30, 2021 compared with the 2020 period due to higher unit</w:t>
      </w:r>
      <w:r>
        <w:rPr>
          <w:rFonts w:ascii="Arial" w:cs="Arial" w:eastAsia="Arial" w:hAnsi="Arial"/>
          <w:sz w:val="18"/>
          <w:szCs w:val="18"/>
          <w:i w:val="1"/>
          <w:iCs w:val="1"/>
          <w:color w:val="auto"/>
        </w:rPr>
        <w:t xml:space="preserve"> </w:t>
      </w:r>
      <w:r>
        <w:rPr>
          <w:rFonts w:ascii="Arial" w:cs="Arial" w:eastAsia="Arial" w:hAnsi="Arial"/>
          <w:sz w:val="18"/>
          <w:szCs w:val="18"/>
          <w:color w:val="auto"/>
        </w:rPr>
        <w:t>costs ($4 million), offset in part by lower purchased volumes ($1 million).</w:t>
      </w:r>
    </w:p>
    <w:p>
      <w:pPr>
        <w:spacing w:after="0" w:line="18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$1 million in the three months ended June 30, 2021 compared with the 2020 period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higher property taxes and payroll taxes.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Clean Energy Businesses</w:t>
      </w:r>
    </w:p>
    <w:p>
      <w:pPr>
        <w:spacing w:after="0" w:line="6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Clean Energy Businesses’ results of operations for the three months ended June 30, 2021 compared with the 2020 period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Borders>
              <w:bottom w:val="single" w:sz="8" w:color="8C8272"/>
            </w:tcBorders>
          </w:tcPr>
          <w:p>
            <w:pPr>
              <w:spacing w:after="0"/>
              <w:rPr>
                <w:sz w:val="16"/>
                <w:szCs w:val="16"/>
                <w:color w:val="auto"/>
              </w:rPr>
            </w:pPr>
          </w:p>
        </w:tc>
        <w:tc>
          <w:tcPr>
            <w:tcW w:w="5380" w:type="dxa"/>
            <w:vAlign w:val="bottom"/>
            <w:tcBorders>
              <w:bottom w:val="single" w:sz="8" w:color="8C8272"/>
            </w:tcBorders>
            <w:gridSpan w:val="2"/>
          </w:tcPr>
          <w:p>
            <w:pPr>
              <w:jc w:val="right"/>
              <w:ind w:right="768"/>
              <w:spacing w:after="0"/>
              <w:rPr>
                <w:sz w:val="20"/>
                <w:szCs w:val="20"/>
                <w:color w:val="auto"/>
              </w:rPr>
            </w:pPr>
            <w:r>
              <w:rPr>
                <w:rFonts w:ascii="Arial" w:cs="Arial" w:eastAsia="Arial" w:hAnsi="Arial"/>
                <w:sz w:val="14"/>
                <w:szCs w:val="14"/>
                <w:b w:val="1"/>
                <w:bCs w:val="1"/>
                <w:color w:val="auto"/>
              </w:rPr>
              <w:t>For the Three Months Ended</w:t>
            </w:r>
          </w:p>
        </w:tc>
        <w:tc>
          <w:tcPr>
            <w:tcW w:w="1040" w:type="dxa"/>
            <w:vAlign w:val="bottom"/>
            <w:tcBorders>
              <w:bottom w:val="single" w:sz="8" w:color="8C8272"/>
            </w:tcBorders>
          </w:tcPr>
          <w:p>
            <w:pPr>
              <w:spacing w:after="0"/>
              <w:rPr>
                <w:sz w:val="16"/>
                <w:szCs w:val="16"/>
                <w:color w:val="auto"/>
              </w:rPr>
            </w:pPr>
          </w:p>
        </w:tc>
      </w:tr>
      <w:tr>
        <w:trPr>
          <w:trHeight w:val="182"/>
        </w:trPr>
        <w:tc>
          <w:tcPr>
            <w:tcW w:w="482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78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June 30, 2021</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June 30, 2020</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r>
      <w:tr>
        <w:trPr>
          <w:trHeight w:val="183"/>
        </w:trPr>
        <w:tc>
          <w:tcPr>
            <w:tcW w:w="4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revenues</w:t>
            </w:r>
          </w:p>
        </w:tc>
        <w:tc>
          <w:tcPr>
            <w:tcW w:w="37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$291</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$198</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$93</w:t>
            </w:r>
          </w:p>
        </w:tc>
      </w:tr>
      <w:tr>
        <w:trPr>
          <w:trHeight w:val="189"/>
        </w:trPr>
        <w:tc>
          <w:tcPr>
            <w:tcW w:w="4820" w:type="dxa"/>
            <w:vAlign w:val="bottom"/>
          </w:tcPr>
          <w:p>
            <w:pPr>
              <w:ind w:left="20"/>
              <w:spacing w:after="0"/>
              <w:rPr>
                <w:sz w:val="20"/>
                <w:szCs w:val="20"/>
                <w:color w:val="auto"/>
              </w:rPr>
            </w:pPr>
            <w:r>
              <w:rPr>
                <w:rFonts w:ascii="Arial" w:cs="Arial" w:eastAsia="Arial" w:hAnsi="Arial"/>
                <w:sz w:val="14"/>
                <w:szCs w:val="14"/>
                <w:color w:val="auto"/>
              </w:rPr>
              <w:t>Gas purchased for resale</w:t>
            </w:r>
          </w:p>
        </w:tc>
        <w:tc>
          <w:tcPr>
            <w:tcW w:w="3780" w:type="dxa"/>
            <w:vAlign w:val="bottom"/>
          </w:tcPr>
          <w:p>
            <w:pPr>
              <w:jc w:val="right"/>
              <w:ind w:right="168"/>
              <w:spacing w:after="0"/>
              <w:rPr>
                <w:sz w:val="20"/>
                <w:szCs w:val="20"/>
                <w:color w:val="auto"/>
              </w:rPr>
            </w:pPr>
            <w:r>
              <w:rPr>
                <w:rFonts w:ascii="Arial" w:cs="Arial" w:eastAsia="Arial" w:hAnsi="Arial"/>
                <w:sz w:val="14"/>
                <w:szCs w:val="14"/>
                <w:color w:val="auto"/>
              </w:rPr>
              <w:t>7</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3</w:t>
            </w: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4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 operations and maintenance</w:t>
            </w:r>
          </w:p>
        </w:tc>
        <w:tc>
          <w:tcPr>
            <w:tcW w:w="37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136</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53</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83</w:t>
            </w:r>
          </w:p>
        </w:tc>
      </w:tr>
      <w:tr>
        <w:trPr>
          <w:trHeight w:val="189"/>
        </w:trPr>
        <w:tc>
          <w:tcPr>
            <w:tcW w:w="48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780" w:type="dxa"/>
            <w:vAlign w:val="bottom"/>
          </w:tcPr>
          <w:p>
            <w:pPr>
              <w:jc w:val="right"/>
              <w:ind w:right="168"/>
              <w:spacing w:after="0"/>
              <w:rPr>
                <w:sz w:val="20"/>
                <w:szCs w:val="20"/>
                <w:color w:val="auto"/>
              </w:rPr>
            </w:pPr>
            <w:r>
              <w:rPr>
                <w:rFonts w:ascii="Arial" w:cs="Arial" w:eastAsia="Arial" w:hAnsi="Arial"/>
                <w:sz w:val="14"/>
                <w:szCs w:val="14"/>
                <w:color w:val="auto"/>
              </w:rPr>
              <w:t>55</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57</w:t>
            </w: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482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4"/>
                <w:szCs w:val="14"/>
                <w:color w:val="auto"/>
              </w:rPr>
              <w:t>Taxes, other than income taxes</w:t>
            </w:r>
          </w:p>
        </w:tc>
        <w:tc>
          <w:tcPr>
            <w:tcW w:w="378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4</w:t>
            </w:r>
          </w:p>
        </w:tc>
        <w:tc>
          <w:tcPr>
            <w:tcW w:w="1600" w:type="dxa"/>
            <w:vAlign w:val="bottom"/>
            <w:tcBorders>
              <w:bottom w:val="single" w:sz="8" w:color="auto"/>
            </w:tcBorders>
            <w:shd w:val="clear" w:color="auto" w:fill="E5E5E5"/>
          </w:tcPr>
          <w:p>
            <w:pPr>
              <w:jc w:val="right"/>
              <w:ind w:right="328"/>
              <w:spacing w:after="0"/>
              <w:rPr>
                <w:sz w:val="20"/>
                <w:szCs w:val="20"/>
                <w:color w:val="auto"/>
              </w:rPr>
            </w:pPr>
            <w:r>
              <w:rPr>
                <w:rFonts w:ascii="Arial" w:cs="Arial" w:eastAsia="Arial" w:hAnsi="Arial"/>
                <w:sz w:val="14"/>
                <w:szCs w:val="14"/>
                <w:color w:val="auto"/>
              </w:rPr>
              <w:t>3</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4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Operating income</w:t>
            </w:r>
          </w:p>
        </w:tc>
        <w:tc>
          <w:tcPr>
            <w:tcW w:w="3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$89</w:t>
            </w:r>
          </w:p>
        </w:tc>
        <w:tc>
          <w:tcPr>
            <w:tcW w:w="1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$82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r>
    </w:tbl>
    <w:p>
      <w:pPr>
        <w:spacing w:after="0" w:line="30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increased $ 93 million in the three months ended June 30, 2021 compared with the 2020 period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renewable electric production projects ($73 million), higher wholesale revenues ($11 million), higher energy services revenues ($10 million), offset in part by net mark-to-market values ($1 million).</w:t>
      </w:r>
    </w:p>
    <w:p>
      <w:pPr>
        <w:spacing w:after="0" w:line="203"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i w:val="1"/>
          <w:iCs w:val="1"/>
          <w:color w:val="auto"/>
        </w:rPr>
        <w:t xml:space="preserve">Gas purchased for resale </w:t>
      </w:r>
      <w:r>
        <w:rPr>
          <w:rFonts w:ascii="Arial" w:cs="Arial" w:eastAsia="Arial" w:hAnsi="Arial"/>
          <w:sz w:val="18"/>
          <w:szCs w:val="18"/>
          <w:color w:val="auto"/>
        </w:rPr>
        <w:t>increased $4 million in the three months ended June 30, 2021 compared with the 2020 period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volumes.</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i w:val="1"/>
          <w:iCs w:val="1"/>
          <w:color w:val="auto"/>
        </w:rPr>
        <w:t xml:space="preserve">Other operations and maintenance </w:t>
      </w:r>
      <w:r>
        <w:rPr>
          <w:rFonts w:ascii="Arial" w:cs="Arial" w:eastAsia="Arial" w:hAnsi="Arial"/>
          <w:sz w:val="18"/>
          <w:szCs w:val="18"/>
          <w:color w:val="auto"/>
        </w:rPr>
        <w:t>expenses increased $83 million in the three months ended June 30, 2021 compared with the 2020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costs from engineering, procurement and construction of renewable electric projects for customers.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Expense</w:t>
      </w:r>
    </w:p>
    <w:p>
      <w:pPr>
        <w:spacing w:after="0" w:line="5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Net interest expense increased $19 million in the three months ended June 30, 2021 compared with the 2020 period due to higher unrealized losses on interest rate swaps in the 2021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Income Tax Expense</w:t>
      </w:r>
    </w:p>
    <w:p>
      <w:pPr>
        <w:spacing w:after="0" w:line="1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Income taxes increased $13 million in the three months ended June 30, 2021 compared with the 2020 period primarily due to lower income attributable to non-controlling interest ($15 million), offset in part by lower income before income tax expense ($2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Attributable to Non-Controlling Interest</w:t>
      </w:r>
    </w:p>
    <w:p>
      <w:pPr>
        <w:spacing w:after="0" w:line="3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Income attributable to non-controlling interest decreased $59 million to a loss of $47 million in the three months ended June 30, 2021 compared with the 2020 period primarily due to lower income attributable in the 2021 period to a tax equity investor in renewable electric projects accounted for under the HLBV method of accounting. See Note P to the Second Quarter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Con Edison Transmission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(Deductions)</w:t>
      </w:r>
    </w:p>
    <w:p>
      <w:pPr>
        <w:jc w:val="both"/>
        <w:spacing w:after="0"/>
        <w:rPr>
          <w:sz w:val="20"/>
          <w:szCs w:val="20"/>
          <w:color w:val="auto"/>
        </w:rPr>
      </w:pPr>
      <w:r>
        <w:rPr>
          <w:rFonts w:ascii="Arial" w:cs="Arial" w:eastAsia="Arial" w:hAnsi="Arial"/>
          <w:sz w:val="18"/>
          <w:szCs w:val="18"/>
          <w:color w:val="auto"/>
        </w:rPr>
        <w:t>Other income (deductions) decreased $48 million in the three months ended June 30, 2021 compared with the 2020 period primarily due to a pre-tax impairment loss related to Con Edison Transmission's investment in Stagecoach and MVP foregoing AFUDC income starting January 2021 until significant construction resumes.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Income taxes decreased $13 million in the three months ended June 30, 2021 compared with the 2020 period primarily due to lower income before income tax expense ($10 million) and lower state income taxes ($3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Other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8"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Income taxes increased $3 million in the three months ended June 30, 2021 compared with the 2020 period primarily due to higher state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The Companies’ results of operations for the six months ended June 30, 2021 and 2020 were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40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rPr>
              <w:t>CECONY</w:t>
            </w:r>
          </w:p>
        </w:tc>
        <w:tc>
          <w:tcPr>
            <w:tcW w:w="20" w:type="dxa"/>
            <w:vAlign w:val="bottom"/>
          </w:tcPr>
          <w:p>
            <w:pPr>
              <w:spacing w:after="0"/>
              <w:rPr>
                <w:sz w:val="14"/>
                <w:szCs w:val="14"/>
                <w:color w:val="auto"/>
              </w:rPr>
            </w:pPr>
          </w:p>
        </w:tc>
        <w:tc>
          <w:tcPr>
            <w:tcW w:w="9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O&amp;R</w:t>
            </w:r>
          </w:p>
        </w:tc>
        <w:tc>
          <w:tcPr>
            <w:tcW w:w="440" w:type="dxa"/>
            <w:vAlign w:val="bottom"/>
          </w:tcPr>
          <w:p>
            <w:pPr>
              <w:spacing w:after="0"/>
              <w:rPr>
                <w:sz w:val="14"/>
                <w:szCs w:val="14"/>
                <w:color w:val="auto"/>
              </w:rPr>
            </w:pPr>
          </w:p>
        </w:tc>
        <w:tc>
          <w:tcPr>
            <w:tcW w:w="14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Clean Energy</w:t>
            </w:r>
          </w:p>
        </w:tc>
        <w:tc>
          <w:tcPr>
            <w:tcW w:w="20" w:type="dxa"/>
            <w:vAlign w:val="bottom"/>
          </w:tcPr>
          <w:p>
            <w:pPr>
              <w:spacing w:after="0"/>
              <w:rPr>
                <w:sz w:val="14"/>
                <w:szCs w:val="14"/>
                <w:color w:val="auto"/>
              </w:rPr>
            </w:pPr>
          </w:p>
        </w:tc>
        <w:tc>
          <w:tcPr>
            <w:tcW w:w="138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Con Edison</w:t>
            </w:r>
          </w:p>
        </w:tc>
        <w:tc>
          <w:tcPr>
            <w:tcW w:w="10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Other (a)</w:t>
            </w:r>
          </w:p>
        </w:tc>
        <w:tc>
          <w:tcPr>
            <w:tcW w:w="360" w:type="dxa"/>
            <w:vAlign w:val="bottom"/>
          </w:tcPr>
          <w:p>
            <w:pPr>
              <w:spacing w:after="0"/>
              <w:rPr>
                <w:sz w:val="14"/>
                <w:szCs w:val="14"/>
                <w:color w:val="auto"/>
              </w:rPr>
            </w:pPr>
          </w:p>
        </w:tc>
        <w:tc>
          <w:tcPr>
            <w:tcW w:w="140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Con Edison (b)</w:t>
            </w:r>
          </w:p>
        </w:tc>
        <w:tc>
          <w:tcPr>
            <w:tcW w:w="0" w:type="dxa"/>
            <w:vAlign w:val="bottom"/>
          </w:tcPr>
          <w:p>
            <w:pPr>
              <w:spacing w:after="0"/>
              <w:rPr>
                <w:sz w:val="1"/>
                <w:szCs w:val="1"/>
                <w:color w:val="auto"/>
              </w:rPr>
            </w:pPr>
          </w:p>
        </w:tc>
      </w:tr>
      <w:tr>
        <w:trPr>
          <w:trHeight w:val="175"/>
        </w:trPr>
        <w:tc>
          <w:tcPr>
            <w:tcW w:w="2760" w:type="dxa"/>
            <w:vAlign w:val="bottom"/>
            <w:tcBorders>
              <w:bottom w:val="single" w:sz="8" w:color="8C8272"/>
            </w:tcBorders>
          </w:tcPr>
          <w:p>
            <w:pPr>
              <w:spacing w:after="0"/>
              <w:rPr>
                <w:sz w:val="15"/>
                <w:szCs w:val="15"/>
                <w:color w:val="auto"/>
              </w:rPr>
            </w:pPr>
          </w:p>
        </w:tc>
        <w:tc>
          <w:tcPr>
            <w:tcW w:w="1400" w:type="dxa"/>
            <w:vAlign w:val="bottom"/>
            <w:tcBorders>
              <w:bottom w:val="single" w:sz="8" w:color="8C8272"/>
            </w:tcBorders>
            <w:gridSpan w:val="2"/>
            <w:vMerge w:val="continue"/>
          </w:tcPr>
          <w:p>
            <w:pPr>
              <w:spacing w:after="0"/>
              <w:rPr>
                <w:sz w:val="15"/>
                <w:szCs w:val="15"/>
                <w:color w:val="auto"/>
              </w:rPr>
            </w:pPr>
          </w:p>
        </w:tc>
        <w:tc>
          <w:tcPr>
            <w:tcW w:w="20" w:type="dxa"/>
            <w:vAlign w:val="bottom"/>
            <w:tcBorders>
              <w:bottom w:val="single" w:sz="8" w:color="8C8272"/>
            </w:tcBorders>
          </w:tcPr>
          <w:p>
            <w:pPr>
              <w:spacing w:after="0"/>
              <w:rPr>
                <w:sz w:val="15"/>
                <w:szCs w:val="15"/>
                <w:color w:val="auto"/>
              </w:rPr>
            </w:pPr>
          </w:p>
        </w:tc>
        <w:tc>
          <w:tcPr>
            <w:tcW w:w="940" w:type="dxa"/>
            <w:vAlign w:val="bottom"/>
            <w:tcBorders>
              <w:bottom w:val="single" w:sz="8" w:color="8C8272"/>
            </w:tcBorders>
            <w:gridSpan w:val="2"/>
            <w:vMerge w:val="continue"/>
          </w:tcPr>
          <w:p>
            <w:pPr>
              <w:spacing w:after="0"/>
              <w:rPr>
                <w:sz w:val="15"/>
                <w:szCs w:val="15"/>
                <w:color w:val="auto"/>
              </w:rPr>
            </w:pPr>
          </w:p>
        </w:tc>
        <w:tc>
          <w:tcPr>
            <w:tcW w:w="440" w:type="dxa"/>
            <w:vAlign w:val="bottom"/>
            <w:tcBorders>
              <w:bottom w:val="single" w:sz="8" w:color="8C8272"/>
            </w:tcBorders>
          </w:tcPr>
          <w:p>
            <w:pPr>
              <w:spacing w:after="0"/>
              <w:rPr>
                <w:sz w:val="15"/>
                <w:szCs w:val="15"/>
                <w:color w:val="auto"/>
              </w:rPr>
            </w:pPr>
          </w:p>
        </w:tc>
        <w:tc>
          <w:tcPr>
            <w:tcW w:w="1420" w:type="dxa"/>
            <w:vAlign w:val="bottom"/>
            <w:tcBorders>
              <w:bottom w:val="single" w:sz="8" w:color="8C8272"/>
            </w:tcBorders>
            <w:gridSpan w:val="2"/>
          </w:tcPr>
          <w:p>
            <w:pPr>
              <w:jc w:val="right"/>
              <w:ind w:right="228"/>
              <w:spacing w:after="0"/>
              <w:rPr>
                <w:sz w:val="20"/>
                <w:szCs w:val="20"/>
                <w:color w:val="auto"/>
              </w:rPr>
            </w:pPr>
            <w:r>
              <w:rPr>
                <w:rFonts w:ascii="Arial" w:cs="Arial" w:eastAsia="Arial" w:hAnsi="Arial"/>
                <w:sz w:val="14"/>
                <w:szCs w:val="14"/>
                <w:b w:val="1"/>
                <w:bCs w:val="1"/>
                <w:color w:val="auto"/>
              </w:rPr>
              <w:t>Businesses</w:t>
            </w:r>
          </w:p>
        </w:tc>
        <w:tc>
          <w:tcPr>
            <w:tcW w:w="20" w:type="dxa"/>
            <w:vAlign w:val="bottom"/>
            <w:tcBorders>
              <w:bottom w:val="single" w:sz="8" w:color="8C8272"/>
            </w:tcBorders>
          </w:tcPr>
          <w:p>
            <w:pPr>
              <w:spacing w:after="0"/>
              <w:rPr>
                <w:sz w:val="15"/>
                <w:szCs w:val="15"/>
                <w:color w:val="auto"/>
              </w:rPr>
            </w:pPr>
          </w:p>
        </w:tc>
        <w:tc>
          <w:tcPr>
            <w:tcW w:w="1380" w:type="dxa"/>
            <w:vAlign w:val="bottom"/>
            <w:tcBorders>
              <w:bottom w:val="single" w:sz="8" w:color="8C8272"/>
            </w:tcBorders>
            <w:gridSpan w:val="2"/>
          </w:tcPr>
          <w:p>
            <w:pPr>
              <w:jc w:val="right"/>
              <w:ind w:right="168"/>
              <w:spacing w:after="0"/>
              <w:rPr>
                <w:sz w:val="20"/>
                <w:szCs w:val="20"/>
                <w:color w:val="auto"/>
              </w:rPr>
            </w:pPr>
            <w:r>
              <w:rPr>
                <w:rFonts w:ascii="Arial" w:cs="Arial" w:eastAsia="Arial" w:hAnsi="Arial"/>
                <w:sz w:val="14"/>
                <w:szCs w:val="14"/>
                <w:b w:val="1"/>
                <w:bCs w:val="1"/>
                <w:color w:val="auto"/>
              </w:rPr>
              <w:t>Transmission</w:t>
            </w:r>
          </w:p>
        </w:tc>
        <w:tc>
          <w:tcPr>
            <w:tcW w:w="1040" w:type="dxa"/>
            <w:vAlign w:val="bottom"/>
            <w:tcBorders>
              <w:bottom w:val="single" w:sz="8" w:color="8C8272"/>
            </w:tcBorders>
            <w:gridSpan w:val="2"/>
            <w:vMerge w:val="continue"/>
          </w:tcPr>
          <w:p>
            <w:pPr>
              <w:spacing w:after="0"/>
              <w:rPr>
                <w:sz w:val="15"/>
                <w:szCs w:val="15"/>
                <w:color w:val="auto"/>
              </w:rPr>
            </w:pPr>
          </w:p>
        </w:tc>
        <w:tc>
          <w:tcPr>
            <w:tcW w:w="360" w:type="dxa"/>
            <w:vAlign w:val="bottom"/>
            <w:tcBorders>
              <w:bottom w:val="single" w:sz="8" w:color="8C8272"/>
            </w:tcBorders>
          </w:tcPr>
          <w:p>
            <w:pPr>
              <w:spacing w:after="0"/>
              <w:rPr>
                <w:sz w:val="15"/>
                <w:szCs w:val="15"/>
                <w:color w:val="auto"/>
              </w:rPr>
            </w:pPr>
          </w:p>
        </w:tc>
        <w:tc>
          <w:tcPr>
            <w:tcW w:w="1400" w:type="dxa"/>
            <w:vAlign w:val="bottom"/>
            <w:tcBorders>
              <w:bottom w:val="single" w:sz="8" w:color="8C8272"/>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82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8C8272"/>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8C8272"/>
            </w:tcBorders>
          </w:tcPr>
          <w:p>
            <w:pPr>
              <w:spacing w:after="0"/>
              <w:rPr>
                <w:sz w:val="15"/>
                <w:szCs w:val="15"/>
                <w:color w:val="auto"/>
              </w:rPr>
            </w:pPr>
          </w:p>
        </w:tc>
        <w:tc>
          <w:tcPr>
            <w:tcW w:w="4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8C8272"/>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8C8272"/>
            </w:tcBorders>
          </w:tcPr>
          <w:p>
            <w:pPr>
              <w:spacing w:after="0"/>
              <w:rPr>
                <w:sz w:val="15"/>
                <w:szCs w:val="15"/>
                <w:color w:val="auto"/>
              </w:rPr>
            </w:pPr>
          </w:p>
        </w:tc>
        <w:tc>
          <w:tcPr>
            <w:tcW w:w="3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276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revenues</w:t>
            </w: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$5,692</w:t>
            </w:r>
          </w:p>
        </w:tc>
        <w:tc>
          <w:tcPr>
            <w:tcW w:w="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$5,200</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$442</w:t>
            </w:r>
          </w:p>
        </w:tc>
        <w:tc>
          <w:tcPr>
            <w:tcW w:w="260" w:type="dxa"/>
            <w:vAlign w:val="bottom"/>
            <w:shd w:val="clear" w:color="auto" w:fill="E5E5E5"/>
          </w:tcPr>
          <w:p>
            <w:pPr>
              <w:spacing w:after="0"/>
              <w:rPr>
                <w:sz w:val="15"/>
                <w:szCs w:val="15"/>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$408</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$515</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$344</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E5E5E5"/>
          </w:tcPr>
          <w:p>
            <w:pPr>
              <w:spacing w:after="0"/>
              <w:rPr>
                <w:sz w:val="15"/>
                <w:szCs w:val="15"/>
                <w:color w:val="auto"/>
              </w:rPr>
            </w:pP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$6,648</w:t>
            </w:r>
          </w:p>
        </w:tc>
        <w:tc>
          <w:tcPr>
            <w:tcW w:w="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$5,953</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Purchased power</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813</w:t>
            </w:r>
          </w:p>
        </w:tc>
        <w:tc>
          <w:tcPr>
            <w:tcW w:w="580" w:type="dxa"/>
            <w:vAlign w:val="bottom"/>
          </w:tcPr>
          <w:p>
            <w:pPr>
              <w:jc w:val="right"/>
              <w:spacing w:after="0"/>
              <w:rPr>
                <w:sz w:val="20"/>
                <w:szCs w:val="20"/>
                <w:color w:val="auto"/>
              </w:rPr>
            </w:pPr>
            <w:r>
              <w:rPr>
                <w:rFonts w:ascii="Arial" w:cs="Arial" w:eastAsia="Arial" w:hAnsi="Arial"/>
                <w:sz w:val="14"/>
                <w:szCs w:val="14"/>
                <w:color w:val="auto"/>
              </w:rPr>
              <w:t>618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88</w:t>
            </w:r>
          </w:p>
        </w:tc>
        <w:tc>
          <w:tcPr>
            <w:tcW w:w="2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71</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900</w:t>
            </w:r>
          </w:p>
        </w:tc>
        <w:tc>
          <w:tcPr>
            <w:tcW w:w="580" w:type="dxa"/>
            <w:vAlign w:val="bottom"/>
          </w:tcPr>
          <w:p>
            <w:pPr>
              <w:jc w:val="right"/>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89"/>
        </w:trPr>
        <w:tc>
          <w:tcPr>
            <w:tcW w:w="2760" w:type="dxa"/>
            <w:vAlign w:val="bottom"/>
            <w:shd w:val="clear" w:color="auto" w:fill="E5E5E5"/>
          </w:tcPr>
          <w:p>
            <w:pPr>
              <w:ind w:left="20"/>
              <w:spacing w:after="0"/>
              <w:rPr>
                <w:sz w:val="20"/>
                <w:szCs w:val="20"/>
                <w:color w:val="auto"/>
              </w:rPr>
            </w:pPr>
            <w:r>
              <w:rPr>
                <w:rFonts w:ascii="Arial" w:cs="Arial" w:eastAsia="Arial" w:hAnsi="Arial"/>
                <w:sz w:val="14"/>
                <w:szCs w:val="14"/>
                <w:color w:val="auto"/>
              </w:rPr>
              <w:t>Fuel</w:t>
            </w: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122</w:t>
            </w:r>
          </w:p>
        </w:tc>
        <w:tc>
          <w:tcPr>
            <w:tcW w:w="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101</w:t>
            </w:r>
          </w:p>
        </w:tc>
        <w:tc>
          <w:tcPr>
            <w:tcW w:w="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320"/>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shd w:val="clear" w:color="auto" w:fill="E5E5E5"/>
          </w:tcPr>
          <w:p>
            <w:pPr>
              <w:spacing w:after="0"/>
              <w:rPr>
                <w:sz w:val="16"/>
                <w:szCs w:val="16"/>
                <w:color w:val="auto"/>
              </w:rPr>
            </w:pPr>
          </w:p>
        </w:tc>
        <w:tc>
          <w:tcPr>
            <w:tcW w:w="6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E5E5E5"/>
          </w:tcPr>
          <w:p>
            <w:pPr>
              <w:jc w:val="right"/>
              <w:ind w:right="400"/>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122</w:t>
            </w:r>
          </w:p>
        </w:tc>
        <w:tc>
          <w:tcPr>
            <w:tcW w:w="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Gas purchased for resale</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296</w:t>
            </w:r>
          </w:p>
        </w:tc>
        <w:tc>
          <w:tcPr>
            <w:tcW w:w="580" w:type="dxa"/>
            <w:vAlign w:val="bottom"/>
          </w:tcPr>
          <w:p>
            <w:pPr>
              <w:jc w:val="right"/>
              <w:spacing w:after="0"/>
              <w:rPr>
                <w:sz w:val="20"/>
                <w:szCs w:val="20"/>
                <w:color w:val="auto"/>
              </w:rPr>
            </w:pPr>
            <w:r>
              <w:rPr>
                <w:rFonts w:ascii="Arial" w:cs="Arial" w:eastAsia="Arial" w:hAnsi="Arial"/>
                <w:sz w:val="14"/>
                <w:szCs w:val="14"/>
                <w:color w:val="auto"/>
              </w:rPr>
              <w:t>260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2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33</w:t>
            </w:r>
          </w:p>
        </w:tc>
        <w:tc>
          <w:tcPr>
            <w:tcW w:w="720" w:type="dxa"/>
            <w:vAlign w:val="bottom"/>
          </w:tcPr>
          <w:p>
            <w:pPr>
              <w:jc w:val="right"/>
              <w:spacing w:after="0"/>
              <w:rPr>
                <w:sz w:val="20"/>
                <w:szCs w:val="20"/>
                <w:color w:val="auto"/>
              </w:rPr>
            </w:pPr>
            <w:r>
              <w:rPr>
                <w:rFonts w:ascii="Arial" w:cs="Arial" w:eastAsia="Arial" w:hAnsi="Arial"/>
                <w:sz w:val="14"/>
                <w:szCs w:val="14"/>
                <w:color w:val="auto"/>
              </w:rPr>
              <w:t>39</w:t>
            </w: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379</w:t>
            </w:r>
          </w:p>
        </w:tc>
        <w:tc>
          <w:tcPr>
            <w:tcW w:w="580" w:type="dxa"/>
            <w:vAlign w:val="bottom"/>
          </w:tcPr>
          <w:p>
            <w:pPr>
              <w:jc w:val="right"/>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89"/>
        </w:trPr>
        <w:tc>
          <w:tcPr>
            <w:tcW w:w="276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 operations and maintenance</w:t>
            </w: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1,198</w:t>
            </w:r>
          </w:p>
        </w:tc>
        <w:tc>
          <w:tcPr>
            <w:tcW w:w="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1,117</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157</w:t>
            </w:r>
          </w:p>
        </w:tc>
        <w:tc>
          <w:tcPr>
            <w:tcW w:w="260" w:type="dxa"/>
            <w:vAlign w:val="bottom"/>
            <w:shd w:val="clear" w:color="auto" w:fill="E5E5E5"/>
          </w:tcPr>
          <w:p>
            <w:pPr>
              <w:spacing w:after="0"/>
              <w:rPr>
                <w:sz w:val="16"/>
                <w:szCs w:val="16"/>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152</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235</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107</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E5E5E5"/>
          </w:tcPr>
          <w:p>
            <w:pPr>
              <w:spacing w:after="0"/>
              <w:rPr>
                <w:sz w:val="16"/>
                <w:szCs w:val="16"/>
                <w:color w:val="auto"/>
              </w:rPr>
            </w:pP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1,593</w:t>
            </w:r>
          </w:p>
        </w:tc>
        <w:tc>
          <w:tcPr>
            <w:tcW w:w="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1,380</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838</w:t>
            </w:r>
          </w:p>
        </w:tc>
        <w:tc>
          <w:tcPr>
            <w:tcW w:w="580" w:type="dxa"/>
            <w:vAlign w:val="bottom"/>
          </w:tcPr>
          <w:p>
            <w:pPr>
              <w:jc w:val="right"/>
              <w:spacing w:after="0"/>
              <w:rPr>
                <w:sz w:val="20"/>
                <w:szCs w:val="20"/>
                <w:color w:val="auto"/>
              </w:rPr>
            </w:pPr>
            <w:r>
              <w:rPr>
                <w:rFonts w:ascii="Arial" w:cs="Arial" w:eastAsia="Arial" w:hAnsi="Arial"/>
                <w:sz w:val="14"/>
                <w:szCs w:val="14"/>
                <w:color w:val="auto"/>
              </w:rPr>
              <w:t>786</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2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45</w:t>
            </w:r>
          </w:p>
        </w:tc>
        <w:tc>
          <w:tcPr>
            <w:tcW w:w="720" w:type="dxa"/>
            <w:vAlign w:val="bottom"/>
          </w:tcPr>
          <w:p>
            <w:pPr>
              <w:jc w:val="right"/>
              <w:spacing w:after="0"/>
              <w:rPr>
                <w:sz w:val="20"/>
                <w:szCs w:val="20"/>
                <w:color w:val="auto"/>
              </w:rPr>
            </w:pPr>
            <w:r>
              <w:rPr>
                <w:rFonts w:ascii="Arial" w:cs="Arial" w:eastAsia="Arial" w:hAnsi="Arial"/>
                <w:sz w:val="14"/>
                <w:szCs w:val="14"/>
                <w:color w:val="auto"/>
              </w:rPr>
              <w:t>114</w:t>
            </w:r>
          </w:p>
        </w:tc>
        <w:tc>
          <w:tcPr>
            <w:tcW w:w="700" w:type="dxa"/>
            <w:vAlign w:val="bottom"/>
          </w:tcPr>
          <w:p>
            <w:pPr>
              <w:jc w:val="right"/>
              <w:spacing w:after="0"/>
              <w:rPr>
                <w:sz w:val="20"/>
                <w:szCs w:val="20"/>
                <w:color w:val="auto"/>
              </w:rPr>
            </w:pPr>
            <w:r>
              <w:rPr>
                <w:rFonts w:ascii="Arial" w:cs="Arial" w:eastAsia="Arial" w:hAnsi="Arial"/>
                <w:sz w:val="14"/>
                <w:szCs w:val="14"/>
                <w:color w:val="auto"/>
              </w:rPr>
              <w:t>115</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1,000</w:t>
            </w:r>
          </w:p>
        </w:tc>
        <w:tc>
          <w:tcPr>
            <w:tcW w:w="580" w:type="dxa"/>
            <w:vAlign w:val="bottom"/>
          </w:tcPr>
          <w:p>
            <w:pPr>
              <w:jc w:val="right"/>
              <w:spacing w:after="0"/>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6D6D6D"/>
            </w:tcBorders>
            <w:shd w:val="clear" w:color="auto" w:fill="E5E5E5"/>
          </w:tcPr>
          <w:p>
            <w:pPr>
              <w:ind w:left="20"/>
              <w:spacing w:after="0"/>
              <w:rPr>
                <w:sz w:val="20"/>
                <w:szCs w:val="20"/>
                <w:color w:val="auto"/>
              </w:rPr>
            </w:pPr>
            <w:r>
              <w:rPr>
                <w:rFonts w:ascii="Arial" w:cs="Arial" w:eastAsia="Arial" w:hAnsi="Arial"/>
                <w:sz w:val="14"/>
                <w:szCs w:val="14"/>
                <w:color w:val="auto"/>
              </w:rPr>
              <w:t>Taxes, other than income taxes</w:t>
            </w:r>
          </w:p>
        </w:tc>
        <w:tc>
          <w:tcPr>
            <w:tcW w:w="820" w:type="dxa"/>
            <w:vAlign w:val="bottom"/>
            <w:tcBorders>
              <w:bottom w:val="single" w:sz="8" w:color="6D6D6D"/>
            </w:tcBorders>
            <w:shd w:val="clear" w:color="auto" w:fill="E5E5E5"/>
          </w:tcPr>
          <w:p>
            <w:pPr>
              <w:jc w:val="right"/>
              <w:ind w:right="68"/>
              <w:spacing w:after="0"/>
              <w:rPr>
                <w:sz w:val="20"/>
                <w:szCs w:val="20"/>
                <w:color w:val="auto"/>
              </w:rPr>
            </w:pPr>
            <w:r>
              <w:rPr>
                <w:rFonts w:ascii="Arial" w:cs="Arial" w:eastAsia="Arial" w:hAnsi="Arial"/>
                <w:sz w:val="14"/>
                <w:szCs w:val="14"/>
                <w:color w:val="auto"/>
              </w:rPr>
              <w:t>1,317</w:t>
            </w:r>
          </w:p>
        </w:tc>
        <w:tc>
          <w:tcPr>
            <w:tcW w:w="58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auto"/>
              </w:rPr>
              <w:t>1,186</w:t>
            </w:r>
          </w:p>
        </w:tc>
        <w:tc>
          <w:tcPr>
            <w:tcW w:w="700" w:type="dxa"/>
            <w:vAlign w:val="bottom"/>
            <w:tcBorders>
              <w:bottom w:val="single" w:sz="8" w:color="6D6D6D"/>
            </w:tcBorders>
            <w:gridSpan w:val="2"/>
            <w:shd w:val="clear" w:color="auto" w:fill="E5E5E5"/>
          </w:tcPr>
          <w:p>
            <w:pPr>
              <w:jc w:val="right"/>
              <w:spacing w:after="0"/>
              <w:rPr>
                <w:sz w:val="20"/>
                <w:szCs w:val="20"/>
                <w:color w:val="auto"/>
              </w:rPr>
            </w:pPr>
            <w:r>
              <w:rPr>
                <w:rFonts w:ascii="Arial" w:cs="Arial" w:eastAsia="Arial" w:hAnsi="Arial"/>
                <w:sz w:val="14"/>
                <w:szCs w:val="14"/>
                <w:color w:val="auto"/>
              </w:rPr>
              <w:t>45</w:t>
            </w:r>
          </w:p>
        </w:tc>
        <w:tc>
          <w:tcPr>
            <w:tcW w:w="260" w:type="dxa"/>
            <w:vAlign w:val="bottom"/>
            <w:tcBorders>
              <w:bottom w:val="single" w:sz="8" w:color="6D6D6D"/>
            </w:tcBorders>
            <w:shd w:val="clear" w:color="auto" w:fill="E5E5E5"/>
          </w:tcPr>
          <w:p>
            <w:pPr>
              <w:spacing w:after="0"/>
              <w:rPr>
                <w:sz w:val="16"/>
                <w:szCs w:val="16"/>
                <w:color w:val="auto"/>
              </w:rPr>
            </w:pPr>
          </w:p>
        </w:tc>
        <w:tc>
          <w:tcPr>
            <w:tcW w:w="44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auto"/>
              </w:rPr>
              <w:t>42</w:t>
            </w:r>
          </w:p>
        </w:tc>
        <w:tc>
          <w:tcPr>
            <w:tcW w:w="72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70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20" w:type="dxa"/>
            <w:vAlign w:val="bottom"/>
            <w:tcBorders>
              <w:bottom w:val="single" w:sz="8" w:color="6D6D6D"/>
            </w:tcBorders>
            <w:shd w:val="clear" w:color="auto" w:fill="E5E5E5"/>
          </w:tcPr>
          <w:p>
            <w:pPr>
              <w:spacing w:after="0"/>
              <w:rPr>
                <w:sz w:val="16"/>
                <w:szCs w:val="16"/>
                <w:color w:val="auto"/>
              </w:rPr>
            </w:pPr>
          </w:p>
        </w:tc>
        <w:tc>
          <w:tcPr>
            <w:tcW w:w="680" w:type="dxa"/>
            <w:vAlign w:val="bottom"/>
            <w:tcBorders>
              <w:bottom w:val="single" w:sz="8" w:color="6D6D6D"/>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340" w:type="dxa"/>
            <w:vAlign w:val="bottom"/>
            <w:tcBorders>
              <w:bottom w:val="single" w:sz="8" w:color="6D6D6D"/>
            </w:tcBorders>
            <w:shd w:val="clear" w:color="auto" w:fill="E5E5E5"/>
          </w:tcPr>
          <w:p>
            <w:pPr>
              <w:spacing w:after="0"/>
              <w:rPr>
                <w:sz w:val="16"/>
                <w:szCs w:val="16"/>
                <w:color w:val="auto"/>
              </w:rPr>
            </w:pPr>
          </w:p>
        </w:tc>
        <w:tc>
          <w:tcPr>
            <w:tcW w:w="36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820" w:type="dxa"/>
            <w:vAlign w:val="bottom"/>
            <w:tcBorders>
              <w:bottom w:val="single" w:sz="8" w:color="6D6D6D"/>
            </w:tcBorders>
            <w:shd w:val="clear" w:color="auto" w:fill="E5E5E5"/>
          </w:tcPr>
          <w:p>
            <w:pPr>
              <w:jc w:val="right"/>
              <w:ind w:right="68"/>
              <w:spacing w:after="0"/>
              <w:rPr>
                <w:sz w:val="20"/>
                <w:szCs w:val="20"/>
                <w:color w:val="auto"/>
              </w:rPr>
            </w:pPr>
            <w:r>
              <w:rPr>
                <w:rFonts w:ascii="Arial" w:cs="Arial" w:eastAsia="Arial" w:hAnsi="Arial"/>
                <w:sz w:val="14"/>
                <w:szCs w:val="14"/>
                <w:color w:val="auto"/>
              </w:rPr>
              <w:t>1,375</w:t>
            </w:r>
          </w:p>
        </w:tc>
        <w:tc>
          <w:tcPr>
            <w:tcW w:w="580" w:type="dxa"/>
            <w:vAlign w:val="bottom"/>
            <w:tcBorders>
              <w:bottom w:val="single" w:sz="8" w:color="6D6D6D"/>
            </w:tcBorders>
            <w:shd w:val="clear" w:color="auto" w:fill="E5E5E5"/>
          </w:tcPr>
          <w:p>
            <w:pPr>
              <w:jc w:val="right"/>
              <w:spacing w:after="0"/>
              <w:rPr>
                <w:sz w:val="20"/>
                <w:szCs w:val="20"/>
                <w:color w:val="auto"/>
              </w:rPr>
            </w:pPr>
            <w:r>
              <w:rPr>
                <w:rFonts w:ascii="Arial" w:cs="Arial" w:eastAsia="Arial" w:hAnsi="Arial"/>
                <w:sz w:val="14"/>
                <w:szCs w:val="14"/>
                <w:color w:val="auto"/>
              </w:rPr>
              <w:t>1,242</w:t>
            </w:r>
          </w:p>
        </w:tc>
        <w:tc>
          <w:tcPr>
            <w:tcW w:w="0" w:type="dxa"/>
            <w:vAlign w:val="bottom"/>
          </w:tcPr>
          <w:p>
            <w:pPr>
              <w:spacing w:after="0"/>
              <w:rPr>
                <w:sz w:val="1"/>
                <w:szCs w:val="1"/>
                <w:color w:val="auto"/>
              </w:rPr>
            </w:pPr>
          </w:p>
        </w:tc>
      </w:tr>
      <w:tr>
        <w:trPr>
          <w:trHeight w:val="183"/>
        </w:trPr>
        <w:tc>
          <w:tcPr>
            <w:tcW w:w="276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1,108</w:t>
            </w:r>
          </w:p>
        </w:tc>
        <w:tc>
          <w:tcPr>
            <w:tcW w:w="580" w:type="dxa"/>
            <w:vAlign w:val="bottom"/>
          </w:tcPr>
          <w:p>
            <w:pPr>
              <w:jc w:val="right"/>
              <w:spacing w:after="0"/>
              <w:rPr>
                <w:sz w:val="20"/>
                <w:szCs w:val="20"/>
                <w:color w:val="auto"/>
              </w:rPr>
            </w:pPr>
            <w:r>
              <w:rPr>
                <w:rFonts w:ascii="Arial" w:cs="Arial" w:eastAsia="Arial" w:hAnsi="Arial"/>
                <w:sz w:val="14"/>
                <w:szCs w:val="14"/>
                <w:color w:val="auto"/>
              </w:rPr>
              <w:t>1,132</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2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65</w:t>
            </w:r>
          </w:p>
        </w:tc>
        <w:tc>
          <w:tcPr>
            <w:tcW w:w="720" w:type="dxa"/>
            <w:vAlign w:val="bottom"/>
          </w:tcPr>
          <w:p>
            <w:pPr>
              <w:jc w:val="right"/>
              <w:spacing w:after="0"/>
              <w:rPr>
                <w:sz w:val="20"/>
                <w:szCs w:val="20"/>
                <w:color w:val="auto"/>
              </w:rPr>
            </w:pPr>
            <w:r>
              <w:rPr>
                <w:rFonts w:ascii="Arial" w:cs="Arial" w:eastAsia="Arial" w:hAnsi="Arial"/>
                <w:sz w:val="14"/>
                <w:szCs w:val="14"/>
                <w:color w:val="auto"/>
              </w:rPr>
              <w:t>117</w:t>
            </w:r>
          </w:p>
        </w:tc>
        <w:tc>
          <w:tcPr>
            <w:tcW w:w="700" w:type="dxa"/>
            <w:vAlign w:val="bottom"/>
          </w:tcPr>
          <w:p>
            <w:pPr>
              <w:jc w:val="right"/>
              <w:spacing w:after="0"/>
              <w:rPr>
                <w:sz w:val="20"/>
                <w:szCs w:val="20"/>
                <w:color w:val="auto"/>
              </w:rPr>
            </w:pPr>
            <w:r>
              <w:rPr>
                <w:rFonts w:ascii="Arial" w:cs="Arial" w:eastAsia="Arial" w:hAnsi="Arial"/>
                <w:sz w:val="14"/>
                <w:szCs w:val="14"/>
                <w:color w:val="auto"/>
              </w:rPr>
              <w:t>96</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1,279</w:t>
            </w:r>
          </w:p>
        </w:tc>
        <w:tc>
          <w:tcPr>
            <w:tcW w:w="580" w:type="dxa"/>
            <w:vAlign w:val="bottom"/>
          </w:tcPr>
          <w:p>
            <w:pPr>
              <w:jc w:val="right"/>
              <w:spacing w:after="0"/>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189"/>
        </w:trPr>
        <w:tc>
          <w:tcPr>
            <w:tcW w:w="276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 income less deductions (c)</w:t>
            </w:r>
          </w:p>
        </w:tc>
        <w:tc>
          <w:tcPr>
            <w:tcW w:w="820" w:type="dxa"/>
            <w:vAlign w:val="bottom"/>
            <w:shd w:val="clear" w:color="auto" w:fill="E7E7E7"/>
          </w:tcPr>
          <w:p>
            <w:pPr>
              <w:jc w:val="right"/>
              <w:ind w:right="68"/>
              <w:spacing w:after="0"/>
              <w:rPr>
                <w:sz w:val="20"/>
                <w:szCs w:val="20"/>
                <w:color w:val="auto"/>
              </w:rPr>
            </w:pPr>
            <w:r>
              <w:rPr>
                <w:rFonts w:ascii="Arial" w:cs="Arial" w:eastAsia="Arial" w:hAnsi="Arial"/>
                <w:sz w:val="14"/>
                <w:szCs w:val="14"/>
                <w:color w:val="auto"/>
              </w:rPr>
              <w:t>(46)</w:t>
            </w:r>
          </w:p>
        </w:tc>
        <w:tc>
          <w:tcPr>
            <w:tcW w:w="580" w:type="dxa"/>
            <w:vAlign w:val="bottom"/>
            <w:shd w:val="clear" w:color="auto" w:fill="E7E7E7"/>
          </w:tcPr>
          <w:p>
            <w:pPr>
              <w:jc w:val="right"/>
              <w:spacing w:after="0"/>
              <w:rPr>
                <w:sz w:val="20"/>
                <w:szCs w:val="20"/>
                <w:color w:val="auto"/>
              </w:rPr>
            </w:pPr>
            <w:r>
              <w:rPr>
                <w:rFonts w:ascii="Arial" w:cs="Arial" w:eastAsia="Arial" w:hAnsi="Arial"/>
                <w:sz w:val="14"/>
                <w:szCs w:val="14"/>
                <w:color w:val="auto"/>
              </w:rPr>
              <w:t>(100)</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260" w:type="dxa"/>
            <w:vAlign w:val="bottom"/>
            <w:shd w:val="clear" w:color="auto" w:fill="E5E5E5"/>
          </w:tcPr>
          <w:p>
            <w:pPr>
              <w:spacing w:after="0"/>
              <w:rPr>
                <w:sz w:val="16"/>
                <w:szCs w:val="16"/>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(183)</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E5E5E5"/>
          </w:tcPr>
          <w:p>
            <w:pPr>
              <w:spacing w:after="0"/>
              <w:rPr>
                <w:sz w:val="16"/>
                <w:szCs w:val="16"/>
                <w:color w:val="auto"/>
              </w:rPr>
            </w:pP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(237)</w:t>
            </w:r>
          </w:p>
        </w:tc>
        <w:tc>
          <w:tcPr>
            <w:tcW w:w="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Net interest expense</w:t>
            </w:r>
          </w:p>
        </w:tc>
        <w:tc>
          <w:tcPr>
            <w:tcW w:w="82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371</w:t>
            </w:r>
          </w:p>
        </w:tc>
        <w:tc>
          <w:tcPr>
            <w:tcW w:w="5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372</w:t>
            </w:r>
          </w:p>
        </w:tc>
        <w:tc>
          <w:tcPr>
            <w:tcW w:w="700" w:type="dxa"/>
            <w:vAlign w:val="bottom"/>
            <w:tcBorders>
              <w:bottom w:val="single" w:sz="8" w:color="8C8272"/>
            </w:tcBorders>
            <w:gridSpan w:val="2"/>
          </w:tcPr>
          <w:p>
            <w:pPr>
              <w:jc w:val="right"/>
              <w:spacing w:after="0"/>
              <w:rPr>
                <w:sz w:val="20"/>
                <w:szCs w:val="20"/>
                <w:color w:val="auto"/>
              </w:rPr>
            </w:pPr>
            <w:r>
              <w:rPr>
                <w:rFonts w:ascii="Arial" w:cs="Arial" w:eastAsia="Arial" w:hAnsi="Arial"/>
                <w:sz w:val="14"/>
                <w:szCs w:val="14"/>
                <w:color w:val="auto"/>
              </w:rPr>
              <w:t>21</w:t>
            </w:r>
          </w:p>
        </w:tc>
        <w:tc>
          <w:tcPr>
            <w:tcW w:w="260" w:type="dxa"/>
            <w:vAlign w:val="bottom"/>
            <w:tcBorders>
              <w:bottom w:val="single" w:sz="8" w:color="8C8272"/>
            </w:tcBorders>
          </w:tcPr>
          <w:p>
            <w:pPr>
              <w:spacing w:after="0"/>
              <w:rPr>
                <w:sz w:val="16"/>
                <w:szCs w:val="16"/>
                <w:color w:val="auto"/>
              </w:rPr>
            </w:pPr>
          </w:p>
        </w:tc>
        <w:tc>
          <w:tcPr>
            <w:tcW w:w="4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20</w:t>
            </w:r>
          </w:p>
        </w:tc>
        <w:tc>
          <w:tcPr>
            <w:tcW w:w="7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26</w:t>
            </w:r>
          </w:p>
        </w:tc>
        <w:tc>
          <w:tcPr>
            <w:tcW w:w="7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160</w:t>
            </w:r>
          </w:p>
        </w:tc>
        <w:tc>
          <w:tcPr>
            <w:tcW w:w="700" w:type="dxa"/>
            <w:vAlign w:val="bottom"/>
            <w:tcBorders>
              <w:bottom w:val="single" w:sz="8" w:color="8C8272"/>
            </w:tcBorders>
            <w:gridSpan w:val="2"/>
          </w:tcPr>
          <w:p>
            <w:pPr>
              <w:jc w:val="right"/>
              <w:spacing w:after="0"/>
              <w:rPr>
                <w:sz w:val="20"/>
                <w:szCs w:val="20"/>
                <w:color w:val="auto"/>
              </w:rPr>
            </w:pPr>
            <w:r>
              <w:rPr>
                <w:rFonts w:ascii="Arial" w:cs="Arial" w:eastAsia="Arial" w:hAnsi="Arial"/>
                <w:sz w:val="14"/>
                <w:szCs w:val="14"/>
                <w:color w:val="auto"/>
              </w:rPr>
              <w:t>7</w:t>
            </w:r>
          </w:p>
        </w:tc>
        <w:tc>
          <w:tcPr>
            <w:tcW w:w="7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9</w:t>
            </w:r>
          </w:p>
        </w:tc>
        <w:tc>
          <w:tcPr>
            <w:tcW w:w="7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11</w:t>
            </w:r>
          </w:p>
        </w:tc>
        <w:tc>
          <w:tcPr>
            <w:tcW w:w="340" w:type="dxa"/>
            <w:vAlign w:val="bottom"/>
            <w:tcBorders>
              <w:bottom w:val="single" w:sz="8" w:color="8C8272"/>
            </w:tcBorders>
          </w:tcPr>
          <w:p>
            <w:pPr>
              <w:spacing w:after="0"/>
              <w:rPr>
                <w:sz w:val="16"/>
                <w:szCs w:val="16"/>
                <w:color w:val="auto"/>
              </w:rPr>
            </w:pPr>
          </w:p>
        </w:tc>
        <w:tc>
          <w:tcPr>
            <w:tcW w:w="3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9</w:t>
            </w:r>
          </w:p>
        </w:tc>
        <w:tc>
          <w:tcPr>
            <w:tcW w:w="82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436</w:t>
            </w:r>
          </w:p>
        </w:tc>
        <w:tc>
          <w:tcPr>
            <w:tcW w:w="5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83"/>
        </w:trPr>
        <w:tc>
          <w:tcPr>
            <w:tcW w:w="2760" w:type="dxa"/>
            <w:vAlign w:val="bottom"/>
            <w:shd w:val="clear" w:color="auto" w:fill="E5E5E5"/>
          </w:tcPr>
          <w:p>
            <w:pPr>
              <w:ind w:left="20"/>
              <w:spacing w:after="0"/>
              <w:rPr>
                <w:sz w:val="20"/>
                <w:szCs w:val="20"/>
                <w:color w:val="auto"/>
              </w:rPr>
            </w:pPr>
            <w:r>
              <w:rPr>
                <w:rFonts w:ascii="Arial" w:cs="Arial" w:eastAsia="Arial" w:hAnsi="Arial"/>
                <w:sz w:val="14"/>
                <w:szCs w:val="14"/>
                <w:color w:val="auto"/>
              </w:rPr>
              <w:t>Income before income tax expense</w:t>
            </w:r>
          </w:p>
        </w:tc>
        <w:tc>
          <w:tcPr>
            <w:tcW w:w="820" w:type="dxa"/>
            <w:vAlign w:val="bottom"/>
            <w:shd w:val="clear" w:color="auto" w:fill="E7E7E7"/>
          </w:tcPr>
          <w:p>
            <w:pPr>
              <w:jc w:val="right"/>
              <w:ind w:right="68"/>
              <w:spacing w:after="0"/>
              <w:rPr>
                <w:sz w:val="20"/>
                <w:szCs w:val="20"/>
                <w:color w:val="auto"/>
              </w:rPr>
            </w:pPr>
            <w:r>
              <w:rPr>
                <w:rFonts w:ascii="Arial" w:cs="Arial" w:eastAsia="Arial" w:hAnsi="Arial"/>
                <w:sz w:val="14"/>
                <w:szCs w:val="14"/>
                <w:color w:val="auto"/>
              </w:rPr>
              <w:t>691</w:t>
            </w:r>
          </w:p>
        </w:tc>
        <w:tc>
          <w:tcPr>
            <w:tcW w:w="580" w:type="dxa"/>
            <w:vAlign w:val="bottom"/>
            <w:shd w:val="clear" w:color="auto" w:fill="E7E7E7"/>
          </w:tcPr>
          <w:p>
            <w:pPr>
              <w:jc w:val="right"/>
              <w:spacing w:after="0"/>
              <w:rPr>
                <w:sz w:val="20"/>
                <w:szCs w:val="20"/>
                <w:color w:val="auto"/>
              </w:rPr>
            </w:pPr>
            <w:r>
              <w:rPr>
                <w:rFonts w:ascii="Arial" w:cs="Arial" w:eastAsia="Arial" w:hAnsi="Arial"/>
                <w:sz w:val="14"/>
                <w:szCs w:val="14"/>
                <w:color w:val="auto"/>
              </w:rPr>
              <w:t>660</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34</w:t>
            </w:r>
          </w:p>
        </w:tc>
        <w:tc>
          <w:tcPr>
            <w:tcW w:w="260" w:type="dxa"/>
            <w:vAlign w:val="bottom"/>
            <w:shd w:val="clear" w:color="auto" w:fill="E7E7E7"/>
          </w:tcPr>
          <w:p>
            <w:pPr>
              <w:spacing w:after="0"/>
              <w:rPr>
                <w:sz w:val="15"/>
                <w:szCs w:val="15"/>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4"/>
                <w:szCs w:val="14"/>
                <w:color w:val="auto"/>
              </w:rPr>
              <w:t>37</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91</w:t>
            </w:r>
          </w:p>
        </w:tc>
        <w:tc>
          <w:tcPr>
            <w:tcW w:w="700" w:type="dxa"/>
            <w:vAlign w:val="bottom"/>
            <w:shd w:val="clear" w:color="auto" w:fill="E7E7E7"/>
          </w:tcPr>
          <w:p>
            <w:pPr>
              <w:jc w:val="right"/>
              <w:spacing w:after="0"/>
              <w:rPr>
                <w:sz w:val="20"/>
                <w:szCs w:val="20"/>
                <w:color w:val="auto"/>
              </w:rPr>
            </w:pPr>
            <w:r>
              <w:rPr>
                <w:rFonts w:ascii="Arial" w:cs="Arial" w:eastAsia="Arial" w:hAnsi="Arial"/>
                <w:sz w:val="14"/>
                <w:szCs w:val="14"/>
                <w:color w:val="auto"/>
              </w:rPr>
              <w:t>(63)</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(194)</w:t>
            </w:r>
          </w:p>
        </w:tc>
        <w:tc>
          <w:tcPr>
            <w:tcW w:w="700" w:type="dxa"/>
            <w:vAlign w:val="bottom"/>
            <w:shd w:val="clear" w:color="auto" w:fill="E7E7E7"/>
          </w:tcPr>
          <w:p>
            <w:pPr>
              <w:jc w:val="right"/>
              <w:spacing w:after="0"/>
              <w:rPr>
                <w:sz w:val="20"/>
                <w:szCs w:val="20"/>
                <w:color w:val="auto"/>
              </w:rPr>
            </w:pPr>
            <w:r>
              <w:rPr>
                <w:rFonts w:ascii="Arial" w:cs="Arial" w:eastAsia="Arial" w:hAnsi="Arial"/>
                <w:sz w:val="14"/>
                <w:szCs w:val="14"/>
                <w:color w:val="auto"/>
              </w:rPr>
              <w:t>39</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w:t>
            </w:r>
          </w:p>
        </w:tc>
        <w:tc>
          <w:tcPr>
            <w:tcW w:w="340" w:type="dxa"/>
            <w:vAlign w:val="bottom"/>
            <w:shd w:val="clear" w:color="auto" w:fill="E7E7E7"/>
          </w:tcPr>
          <w:p>
            <w:pPr>
              <w:spacing w:after="0"/>
              <w:rPr>
                <w:sz w:val="15"/>
                <w:szCs w:val="15"/>
                <w:color w:val="auto"/>
              </w:rPr>
            </w:pPr>
          </w:p>
        </w:tc>
        <w:tc>
          <w:tcPr>
            <w:tcW w:w="360" w:type="dxa"/>
            <w:vAlign w:val="bottom"/>
            <w:shd w:val="clear" w:color="auto" w:fill="E7E7E7"/>
          </w:tcPr>
          <w:p>
            <w:pPr>
              <w:jc w:val="right"/>
              <w:spacing w:after="0"/>
              <w:rPr>
                <w:sz w:val="20"/>
                <w:szCs w:val="20"/>
                <w:color w:val="auto"/>
              </w:rPr>
            </w:pPr>
            <w:r>
              <w:rPr>
                <w:rFonts w:ascii="Arial" w:cs="Arial" w:eastAsia="Arial" w:hAnsi="Arial"/>
                <w:sz w:val="14"/>
                <w:szCs w:val="14"/>
                <w:color w:val="auto"/>
              </w:rPr>
              <w:t>(15)</w:t>
            </w: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606</w:t>
            </w:r>
          </w:p>
        </w:tc>
        <w:tc>
          <w:tcPr>
            <w:tcW w:w="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Income tax expense</w:t>
            </w:r>
          </w:p>
        </w:tc>
        <w:tc>
          <w:tcPr>
            <w:tcW w:w="82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98</w:t>
            </w:r>
          </w:p>
        </w:tc>
        <w:tc>
          <w:tcPr>
            <w:tcW w:w="5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102</w:t>
            </w:r>
          </w:p>
        </w:tc>
        <w:tc>
          <w:tcPr>
            <w:tcW w:w="700" w:type="dxa"/>
            <w:vAlign w:val="bottom"/>
            <w:tcBorders>
              <w:bottom w:val="single" w:sz="8" w:color="8C8272"/>
            </w:tcBorders>
            <w:gridSpan w:val="2"/>
          </w:tcPr>
          <w:p>
            <w:pPr>
              <w:jc w:val="right"/>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8C8272"/>
            </w:tcBorders>
          </w:tcPr>
          <w:p>
            <w:pPr>
              <w:spacing w:after="0"/>
              <w:rPr>
                <w:sz w:val="16"/>
                <w:szCs w:val="16"/>
                <w:color w:val="auto"/>
              </w:rPr>
            </w:pPr>
          </w:p>
        </w:tc>
        <w:tc>
          <w:tcPr>
            <w:tcW w:w="4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8</w:t>
            </w:r>
          </w:p>
        </w:tc>
        <w:tc>
          <w:tcPr>
            <w:tcW w:w="72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20</w:t>
            </w:r>
          </w:p>
        </w:tc>
        <w:tc>
          <w:tcPr>
            <w:tcW w:w="7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(43)</w:t>
            </w:r>
          </w:p>
        </w:tc>
        <w:tc>
          <w:tcPr>
            <w:tcW w:w="700" w:type="dxa"/>
            <w:vAlign w:val="bottom"/>
            <w:tcBorders>
              <w:bottom w:val="single" w:sz="8" w:color="8C8272"/>
            </w:tcBorders>
            <w:gridSpan w:val="2"/>
          </w:tcPr>
          <w:p>
            <w:pPr>
              <w:jc w:val="right"/>
              <w:spacing w:after="0"/>
              <w:rPr>
                <w:sz w:val="20"/>
                <w:szCs w:val="20"/>
                <w:color w:val="auto"/>
              </w:rPr>
            </w:pPr>
            <w:r>
              <w:rPr>
                <w:rFonts w:ascii="Arial" w:cs="Arial" w:eastAsia="Arial" w:hAnsi="Arial"/>
                <w:sz w:val="14"/>
                <w:szCs w:val="14"/>
                <w:color w:val="auto"/>
              </w:rPr>
              <w:t>(52)</w:t>
            </w:r>
          </w:p>
        </w:tc>
        <w:tc>
          <w:tcPr>
            <w:tcW w:w="7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11</w:t>
            </w:r>
          </w:p>
        </w:tc>
        <w:tc>
          <w:tcPr>
            <w:tcW w:w="70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(5)</w:t>
            </w:r>
          </w:p>
        </w:tc>
        <w:tc>
          <w:tcPr>
            <w:tcW w:w="340" w:type="dxa"/>
            <w:vAlign w:val="bottom"/>
            <w:tcBorders>
              <w:bottom w:val="single" w:sz="8" w:color="8C8272"/>
            </w:tcBorders>
          </w:tcPr>
          <w:p>
            <w:pPr>
              <w:spacing w:after="0"/>
              <w:rPr>
                <w:sz w:val="16"/>
                <w:szCs w:val="16"/>
                <w:color w:val="auto"/>
              </w:rPr>
            </w:pPr>
          </w:p>
        </w:tc>
        <w:tc>
          <w:tcPr>
            <w:tcW w:w="3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(14)</w:t>
            </w:r>
          </w:p>
        </w:tc>
        <w:tc>
          <w:tcPr>
            <w:tcW w:w="82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68</w:t>
            </w:r>
          </w:p>
        </w:tc>
        <w:tc>
          <w:tcPr>
            <w:tcW w:w="5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Net income</w:t>
            </w:r>
          </w:p>
        </w:tc>
        <w:tc>
          <w:tcPr>
            <w:tcW w:w="820" w:type="dxa"/>
            <w:vAlign w:val="bottom"/>
            <w:tcBorders>
              <w:bottom w:val="single" w:sz="8" w:color="8C8272"/>
            </w:tcBorders>
            <w:shd w:val="clear" w:color="auto" w:fill="E7E7E7"/>
          </w:tcPr>
          <w:p>
            <w:pPr>
              <w:jc w:val="right"/>
              <w:ind w:right="68"/>
              <w:spacing w:after="0"/>
              <w:rPr>
                <w:sz w:val="20"/>
                <w:szCs w:val="20"/>
                <w:color w:val="auto"/>
              </w:rPr>
            </w:pPr>
            <w:r>
              <w:rPr>
                <w:rFonts w:ascii="Arial" w:cs="Arial" w:eastAsia="Arial" w:hAnsi="Arial"/>
                <w:sz w:val="14"/>
                <w:szCs w:val="14"/>
                <w:b w:val="1"/>
                <w:bCs w:val="1"/>
                <w:color w:val="auto"/>
              </w:rPr>
              <w:t>$593</w:t>
            </w:r>
          </w:p>
        </w:tc>
        <w:tc>
          <w:tcPr>
            <w:tcW w:w="580" w:type="dxa"/>
            <w:vAlign w:val="bottom"/>
            <w:tcBorders>
              <w:bottom w:val="single" w:sz="8" w:color="8C8272"/>
            </w:tcBorders>
            <w:shd w:val="clear" w:color="auto" w:fill="E7E7E7"/>
          </w:tcPr>
          <w:p>
            <w:pPr>
              <w:jc w:val="right"/>
              <w:spacing w:after="0"/>
              <w:rPr>
                <w:sz w:val="20"/>
                <w:szCs w:val="20"/>
                <w:color w:val="auto"/>
              </w:rPr>
            </w:pPr>
            <w:r>
              <w:rPr>
                <w:rFonts w:ascii="Arial" w:cs="Arial" w:eastAsia="Arial" w:hAnsi="Arial"/>
                <w:sz w:val="14"/>
                <w:szCs w:val="14"/>
                <w:b w:val="1"/>
                <w:bCs w:val="1"/>
                <w:color w:val="auto"/>
              </w:rPr>
              <w:t>$558</w:t>
            </w:r>
          </w:p>
        </w:tc>
        <w:tc>
          <w:tcPr>
            <w:tcW w:w="700" w:type="dxa"/>
            <w:vAlign w:val="bottom"/>
            <w:tcBorders>
              <w:bottom w:val="single" w:sz="8" w:color="8C8272"/>
            </w:tcBorders>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$27</w:t>
            </w:r>
          </w:p>
        </w:tc>
        <w:tc>
          <w:tcPr>
            <w:tcW w:w="260" w:type="dxa"/>
            <w:vAlign w:val="bottom"/>
            <w:tcBorders>
              <w:bottom w:val="single" w:sz="8" w:color="8C8272"/>
            </w:tcBorders>
            <w:shd w:val="clear" w:color="auto" w:fill="E7E7E7"/>
          </w:tcPr>
          <w:p>
            <w:pPr>
              <w:spacing w:after="0"/>
              <w:rPr>
                <w:sz w:val="15"/>
                <w:szCs w:val="15"/>
                <w:color w:val="auto"/>
              </w:rPr>
            </w:pPr>
          </w:p>
        </w:tc>
        <w:tc>
          <w:tcPr>
            <w:tcW w:w="440" w:type="dxa"/>
            <w:vAlign w:val="bottom"/>
            <w:tcBorders>
              <w:bottom w:val="single" w:sz="8" w:color="8C8272"/>
            </w:tcBorders>
            <w:shd w:val="clear" w:color="auto" w:fill="E7E7E7"/>
          </w:tcPr>
          <w:p>
            <w:pPr>
              <w:jc w:val="right"/>
              <w:spacing w:after="0"/>
              <w:rPr>
                <w:sz w:val="20"/>
                <w:szCs w:val="20"/>
                <w:color w:val="auto"/>
              </w:rPr>
            </w:pPr>
            <w:r>
              <w:rPr>
                <w:rFonts w:ascii="Arial" w:cs="Arial" w:eastAsia="Arial" w:hAnsi="Arial"/>
                <w:sz w:val="14"/>
                <w:szCs w:val="14"/>
                <w:b w:val="1"/>
                <w:bCs w:val="1"/>
                <w:color w:val="auto"/>
              </w:rPr>
              <w:t>$29</w:t>
            </w:r>
          </w:p>
        </w:tc>
        <w:tc>
          <w:tcPr>
            <w:tcW w:w="7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$71</w:t>
            </w:r>
          </w:p>
        </w:tc>
        <w:tc>
          <w:tcPr>
            <w:tcW w:w="700" w:type="dxa"/>
            <w:vAlign w:val="bottom"/>
            <w:tcBorders>
              <w:bottom w:val="single" w:sz="8" w:color="8C8272"/>
            </w:tcBorders>
            <w:shd w:val="clear" w:color="auto" w:fill="E7E7E7"/>
          </w:tcPr>
          <w:p>
            <w:pPr>
              <w:jc w:val="right"/>
              <w:spacing w:after="0"/>
              <w:rPr>
                <w:sz w:val="20"/>
                <w:szCs w:val="20"/>
                <w:color w:val="auto"/>
              </w:rPr>
            </w:pPr>
            <w:r>
              <w:rPr>
                <w:rFonts w:ascii="Arial" w:cs="Arial" w:eastAsia="Arial" w:hAnsi="Arial"/>
                <w:sz w:val="14"/>
                <w:szCs w:val="14"/>
                <w:b w:val="1"/>
                <w:bCs w:val="1"/>
                <w:color w:val="auto"/>
              </w:rPr>
              <w:t>$(20)</w:t>
            </w:r>
          </w:p>
        </w:tc>
        <w:tc>
          <w:tcPr>
            <w:tcW w:w="700" w:type="dxa"/>
            <w:vAlign w:val="bottom"/>
            <w:tcBorders>
              <w:bottom w:val="single" w:sz="8" w:color="8C8272"/>
            </w:tcBorders>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$(142)</w:t>
            </w:r>
          </w:p>
        </w:tc>
        <w:tc>
          <w:tcPr>
            <w:tcW w:w="700" w:type="dxa"/>
            <w:vAlign w:val="bottom"/>
            <w:tcBorders>
              <w:bottom w:val="single" w:sz="8" w:color="8C8272"/>
            </w:tcBorders>
            <w:shd w:val="clear" w:color="auto" w:fill="E7E7E7"/>
          </w:tcPr>
          <w:p>
            <w:pPr>
              <w:jc w:val="right"/>
              <w:spacing w:after="0"/>
              <w:rPr>
                <w:sz w:val="20"/>
                <w:szCs w:val="20"/>
                <w:color w:val="auto"/>
              </w:rPr>
            </w:pPr>
            <w:r>
              <w:rPr>
                <w:rFonts w:ascii="Arial" w:cs="Arial" w:eastAsia="Arial" w:hAnsi="Arial"/>
                <w:sz w:val="14"/>
                <w:szCs w:val="14"/>
                <w:b w:val="1"/>
                <w:bCs w:val="1"/>
                <w:color w:val="auto"/>
              </w:rPr>
              <w:t>$28</w:t>
            </w:r>
          </w:p>
        </w:tc>
        <w:tc>
          <w:tcPr>
            <w:tcW w:w="7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$(11)</w:t>
            </w:r>
          </w:p>
        </w:tc>
        <w:tc>
          <w:tcPr>
            <w:tcW w:w="340" w:type="dxa"/>
            <w:vAlign w:val="bottom"/>
            <w:tcBorders>
              <w:bottom w:val="single" w:sz="8" w:color="8C8272"/>
            </w:tcBorders>
            <w:shd w:val="clear" w:color="auto" w:fill="E7E7E7"/>
          </w:tcPr>
          <w:p>
            <w:pPr>
              <w:spacing w:after="0"/>
              <w:rPr>
                <w:sz w:val="15"/>
                <w:szCs w:val="15"/>
                <w:color w:val="auto"/>
              </w:rPr>
            </w:pPr>
          </w:p>
        </w:tc>
        <w:tc>
          <w:tcPr>
            <w:tcW w:w="360" w:type="dxa"/>
            <w:vAlign w:val="bottom"/>
            <w:tcBorders>
              <w:bottom w:val="single" w:sz="8" w:color="8C8272"/>
            </w:tcBorders>
            <w:shd w:val="clear" w:color="auto" w:fill="E7E7E7"/>
          </w:tcPr>
          <w:p>
            <w:pPr>
              <w:jc w:val="right"/>
              <w:spacing w:after="0"/>
              <w:rPr>
                <w:sz w:val="20"/>
                <w:szCs w:val="20"/>
                <w:color w:val="auto"/>
              </w:rPr>
            </w:pPr>
            <w:r>
              <w:rPr>
                <w:rFonts w:ascii="Arial" w:cs="Arial" w:eastAsia="Arial" w:hAnsi="Arial"/>
                <w:sz w:val="14"/>
                <w:szCs w:val="14"/>
                <w:b w:val="1"/>
                <w:bCs w:val="1"/>
                <w:color w:val="auto"/>
              </w:rPr>
              <w:t>$(1)</w:t>
            </w:r>
          </w:p>
        </w:tc>
        <w:tc>
          <w:tcPr>
            <w:tcW w:w="82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b w:val="1"/>
                <w:bCs w:val="1"/>
                <w:color w:val="auto"/>
              </w:rPr>
              <w:t>$538</w:t>
            </w:r>
          </w:p>
        </w:tc>
        <w:tc>
          <w:tcPr>
            <w:tcW w:w="5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$594</w:t>
            </w:r>
          </w:p>
        </w:tc>
        <w:tc>
          <w:tcPr>
            <w:tcW w:w="0" w:type="dxa"/>
            <w:vAlign w:val="bottom"/>
          </w:tcPr>
          <w:p>
            <w:pPr>
              <w:spacing w:after="0"/>
              <w:rPr>
                <w:sz w:val="1"/>
                <w:szCs w:val="1"/>
                <w:color w:val="auto"/>
              </w:rPr>
            </w:pPr>
          </w:p>
        </w:tc>
      </w:tr>
      <w:tr>
        <w:trPr>
          <w:trHeight w:val="147"/>
        </w:trPr>
        <w:tc>
          <w:tcPr>
            <w:tcW w:w="2760" w:type="dxa"/>
            <w:vAlign w:val="bottom"/>
          </w:tcPr>
          <w:p>
            <w:pPr>
              <w:ind w:left="20"/>
              <w:spacing w:after="0" w:line="147" w:lineRule="exact"/>
              <w:rPr>
                <w:sz w:val="20"/>
                <w:szCs w:val="20"/>
                <w:color w:val="auto"/>
              </w:rPr>
            </w:pPr>
            <w:r>
              <w:rPr>
                <w:rFonts w:ascii="Arial" w:cs="Arial" w:eastAsia="Arial" w:hAnsi="Arial"/>
                <w:sz w:val="14"/>
                <w:szCs w:val="14"/>
                <w:color w:val="auto"/>
              </w:rPr>
              <w:t>Income (loss) attributable to non-</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(46)</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controlling interest</w:t>
            </w:r>
          </w:p>
        </w:tc>
        <w:tc>
          <w:tcPr>
            <w:tcW w:w="820" w:type="dxa"/>
            <w:vAlign w:val="bottom"/>
            <w:tcBorders>
              <w:bottom w:val="single" w:sz="8" w:color="8C8272"/>
            </w:tcBorders>
            <w:vMerge w:val="continue"/>
          </w:tcPr>
          <w:p>
            <w:pPr>
              <w:spacing w:after="0"/>
              <w:rPr>
                <w:sz w:val="14"/>
                <w:szCs w:val="14"/>
                <w:color w:val="auto"/>
              </w:rPr>
            </w:pPr>
          </w:p>
        </w:tc>
        <w:tc>
          <w:tcPr>
            <w:tcW w:w="580" w:type="dxa"/>
            <w:vAlign w:val="bottom"/>
            <w:tcBorders>
              <w:bottom w:val="single" w:sz="8" w:color="8C8272"/>
            </w:tcBorders>
            <w:vMerge w:val="continue"/>
          </w:tcPr>
          <w:p>
            <w:pPr>
              <w:spacing w:after="0"/>
              <w:rPr>
                <w:sz w:val="14"/>
                <w:szCs w:val="14"/>
                <w:color w:val="auto"/>
              </w:rPr>
            </w:pPr>
          </w:p>
        </w:tc>
        <w:tc>
          <w:tcPr>
            <w:tcW w:w="20" w:type="dxa"/>
            <w:vAlign w:val="bottom"/>
            <w:tcBorders>
              <w:bottom w:val="single" w:sz="8" w:color="8C8272"/>
            </w:tcBorders>
          </w:tcPr>
          <w:p>
            <w:pPr>
              <w:spacing w:after="0"/>
              <w:rPr>
                <w:sz w:val="14"/>
                <w:szCs w:val="14"/>
                <w:color w:val="auto"/>
              </w:rPr>
            </w:pPr>
          </w:p>
        </w:tc>
        <w:tc>
          <w:tcPr>
            <w:tcW w:w="680" w:type="dxa"/>
            <w:vAlign w:val="bottom"/>
            <w:tcBorders>
              <w:bottom w:val="single" w:sz="8" w:color="828282"/>
            </w:tcBorders>
            <w:vMerge w:val="continue"/>
          </w:tcPr>
          <w:p>
            <w:pPr>
              <w:spacing w:after="0"/>
              <w:rPr>
                <w:sz w:val="14"/>
                <w:szCs w:val="14"/>
                <w:color w:val="auto"/>
              </w:rPr>
            </w:pPr>
          </w:p>
        </w:tc>
        <w:tc>
          <w:tcPr>
            <w:tcW w:w="260" w:type="dxa"/>
            <w:vAlign w:val="bottom"/>
            <w:tcBorders>
              <w:bottom w:val="single" w:sz="8" w:color="8C8272"/>
            </w:tcBorders>
            <w:vMerge w:val="continue"/>
          </w:tcPr>
          <w:p>
            <w:pPr>
              <w:spacing w:after="0"/>
              <w:rPr>
                <w:sz w:val="14"/>
                <w:szCs w:val="14"/>
                <w:color w:val="auto"/>
              </w:rPr>
            </w:pPr>
          </w:p>
        </w:tc>
        <w:tc>
          <w:tcPr>
            <w:tcW w:w="440" w:type="dxa"/>
            <w:vAlign w:val="bottom"/>
            <w:tcBorders>
              <w:bottom w:val="single" w:sz="8" w:color="8C8272"/>
            </w:tcBorders>
            <w:vMerge w:val="continue"/>
          </w:tcPr>
          <w:p>
            <w:pPr>
              <w:spacing w:after="0"/>
              <w:rPr>
                <w:sz w:val="14"/>
                <w:szCs w:val="14"/>
                <w:color w:val="auto"/>
              </w:rPr>
            </w:pPr>
          </w:p>
        </w:tc>
        <w:tc>
          <w:tcPr>
            <w:tcW w:w="720" w:type="dxa"/>
            <w:vAlign w:val="bottom"/>
            <w:tcBorders>
              <w:bottom w:val="single" w:sz="8" w:color="8C8272"/>
            </w:tcBorders>
            <w:vMerge w:val="continue"/>
          </w:tcPr>
          <w:p>
            <w:pPr>
              <w:spacing w:after="0"/>
              <w:rPr>
                <w:sz w:val="14"/>
                <w:szCs w:val="14"/>
                <w:color w:val="auto"/>
              </w:rPr>
            </w:pPr>
          </w:p>
        </w:tc>
        <w:tc>
          <w:tcPr>
            <w:tcW w:w="700" w:type="dxa"/>
            <w:vAlign w:val="bottom"/>
            <w:tcBorders>
              <w:bottom w:val="single" w:sz="8" w:color="8C8272"/>
            </w:tcBorders>
            <w:vMerge w:val="continue"/>
          </w:tcPr>
          <w:p>
            <w:pPr>
              <w:spacing w:after="0"/>
              <w:rPr>
                <w:sz w:val="14"/>
                <w:szCs w:val="14"/>
                <w:color w:val="auto"/>
              </w:rPr>
            </w:pPr>
          </w:p>
        </w:tc>
        <w:tc>
          <w:tcPr>
            <w:tcW w:w="20" w:type="dxa"/>
            <w:vAlign w:val="bottom"/>
            <w:tcBorders>
              <w:bottom w:val="single" w:sz="8" w:color="8C8272"/>
            </w:tcBorders>
          </w:tcPr>
          <w:p>
            <w:pPr>
              <w:spacing w:after="0"/>
              <w:rPr>
                <w:sz w:val="14"/>
                <w:szCs w:val="14"/>
                <w:color w:val="auto"/>
              </w:rPr>
            </w:pPr>
          </w:p>
        </w:tc>
        <w:tc>
          <w:tcPr>
            <w:tcW w:w="680" w:type="dxa"/>
            <w:vAlign w:val="bottom"/>
            <w:tcBorders>
              <w:bottom w:val="single" w:sz="8" w:color="828282"/>
            </w:tcBorders>
            <w:vMerge w:val="continue"/>
          </w:tcPr>
          <w:p>
            <w:pPr>
              <w:spacing w:after="0"/>
              <w:rPr>
                <w:sz w:val="14"/>
                <w:szCs w:val="14"/>
                <w:color w:val="auto"/>
              </w:rPr>
            </w:pPr>
          </w:p>
        </w:tc>
        <w:tc>
          <w:tcPr>
            <w:tcW w:w="700" w:type="dxa"/>
            <w:vAlign w:val="bottom"/>
            <w:tcBorders>
              <w:bottom w:val="single" w:sz="8" w:color="8C8272"/>
            </w:tcBorders>
            <w:vMerge w:val="continue"/>
          </w:tcPr>
          <w:p>
            <w:pPr>
              <w:spacing w:after="0"/>
              <w:rPr>
                <w:sz w:val="14"/>
                <w:szCs w:val="14"/>
                <w:color w:val="auto"/>
              </w:rPr>
            </w:pPr>
          </w:p>
        </w:tc>
        <w:tc>
          <w:tcPr>
            <w:tcW w:w="1040" w:type="dxa"/>
            <w:vAlign w:val="bottom"/>
            <w:tcBorders>
              <w:bottom w:val="single" w:sz="8" w:color="8C8272"/>
            </w:tcBorders>
            <w:gridSpan w:val="2"/>
            <w:vMerge w:val="continue"/>
          </w:tcPr>
          <w:p>
            <w:pPr>
              <w:spacing w:after="0"/>
              <w:rPr>
                <w:sz w:val="14"/>
                <w:szCs w:val="14"/>
                <w:color w:val="auto"/>
              </w:rPr>
            </w:pPr>
          </w:p>
        </w:tc>
        <w:tc>
          <w:tcPr>
            <w:tcW w:w="360" w:type="dxa"/>
            <w:vAlign w:val="bottom"/>
            <w:tcBorders>
              <w:bottom w:val="single" w:sz="8" w:color="8C8272"/>
            </w:tcBorders>
            <w:vMerge w:val="continue"/>
          </w:tcPr>
          <w:p>
            <w:pPr>
              <w:spacing w:after="0"/>
              <w:rPr>
                <w:sz w:val="14"/>
                <w:szCs w:val="14"/>
                <w:color w:val="auto"/>
              </w:rPr>
            </w:pPr>
          </w:p>
        </w:tc>
        <w:tc>
          <w:tcPr>
            <w:tcW w:w="820" w:type="dxa"/>
            <w:vAlign w:val="bottom"/>
            <w:tcBorders>
              <w:bottom w:val="single" w:sz="8" w:color="8C8272"/>
            </w:tcBorders>
            <w:vMerge w:val="continue"/>
          </w:tcPr>
          <w:p>
            <w:pPr>
              <w:spacing w:after="0"/>
              <w:rPr>
                <w:sz w:val="14"/>
                <w:szCs w:val="14"/>
                <w:color w:val="auto"/>
              </w:rPr>
            </w:pPr>
          </w:p>
        </w:tc>
        <w:tc>
          <w:tcPr>
            <w:tcW w:w="580" w:type="dxa"/>
            <w:vAlign w:val="bottom"/>
            <w:tcBorders>
              <w:bottom w:val="single" w:sz="8" w:color="8C8272"/>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6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Net income for common stock</w:t>
            </w:r>
          </w:p>
        </w:tc>
        <w:tc>
          <w:tcPr>
            <w:tcW w:w="820" w:type="dxa"/>
            <w:vAlign w:val="bottom"/>
            <w:tcBorders>
              <w:bottom w:val="single" w:sz="8" w:color="8C8272"/>
            </w:tcBorders>
            <w:shd w:val="clear" w:color="auto" w:fill="E7E7E7"/>
          </w:tcPr>
          <w:p>
            <w:pPr>
              <w:jc w:val="right"/>
              <w:ind w:right="68"/>
              <w:spacing w:after="0"/>
              <w:rPr>
                <w:sz w:val="20"/>
                <w:szCs w:val="20"/>
                <w:color w:val="auto"/>
              </w:rPr>
            </w:pPr>
            <w:r>
              <w:rPr>
                <w:rFonts w:ascii="Arial" w:cs="Arial" w:eastAsia="Arial" w:hAnsi="Arial"/>
                <w:sz w:val="14"/>
                <w:szCs w:val="14"/>
                <w:b w:val="1"/>
                <w:bCs w:val="1"/>
                <w:color w:val="auto"/>
              </w:rPr>
              <w:t>$593</w:t>
            </w:r>
          </w:p>
        </w:tc>
        <w:tc>
          <w:tcPr>
            <w:tcW w:w="580" w:type="dxa"/>
            <w:vAlign w:val="bottom"/>
            <w:tcBorders>
              <w:bottom w:val="single" w:sz="8" w:color="8C8272"/>
            </w:tcBorders>
            <w:shd w:val="clear" w:color="auto" w:fill="E7E7E7"/>
          </w:tcPr>
          <w:p>
            <w:pPr>
              <w:jc w:val="right"/>
              <w:spacing w:after="0"/>
              <w:rPr>
                <w:sz w:val="20"/>
                <w:szCs w:val="20"/>
                <w:color w:val="auto"/>
              </w:rPr>
            </w:pPr>
            <w:r>
              <w:rPr>
                <w:rFonts w:ascii="Arial" w:cs="Arial" w:eastAsia="Arial" w:hAnsi="Arial"/>
                <w:sz w:val="14"/>
                <w:szCs w:val="14"/>
                <w:b w:val="1"/>
                <w:bCs w:val="1"/>
                <w:color w:val="auto"/>
              </w:rPr>
              <w:t>$558</w:t>
            </w:r>
          </w:p>
        </w:tc>
        <w:tc>
          <w:tcPr>
            <w:tcW w:w="700" w:type="dxa"/>
            <w:vAlign w:val="bottom"/>
            <w:tcBorders>
              <w:bottom w:val="single" w:sz="8" w:color="8C8272"/>
            </w:tcBorders>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$27</w:t>
            </w:r>
          </w:p>
        </w:tc>
        <w:tc>
          <w:tcPr>
            <w:tcW w:w="260" w:type="dxa"/>
            <w:vAlign w:val="bottom"/>
            <w:tcBorders>
              <w:bottom w:val="single" w:sz="8" w:color="8C8272"/>
            </w:tcBorders>
            <w:shd w:val="clear" w:color="auto" w:fill="E7E7E7"/>
          </w:tcPr>
          <w:p>
            <w:pPr>
              <w:spacing w:after="0"/>
              <w:rPr>
                <w:sz w:val="15"/>
                <w:szCs w:val="15"/>
                <w:color w:val="auto"/>
              </w:rPr>
            </w:pPr>
          </w:p>
        </w:tc>
        <w:tc>
          <w:tcPr>
            <w:tcW w:w="440" w:type="dxa"/>
            <w:vAlign w:val="bottom"/>
            <w:tcBorders>
              <w:bottom w:val="single" w:sz="8" w:color="8C8272"/>
            </w:tcBorders>
            <w:shd w:val="clear" w:color="auto" w:fill="E7E7E7"/>
          </w:tcPr>
          <w:p>
            <w:pPr>
              <w:jc w:val="right"/>
              <w:spacing w:after="0"/>
              <w:rPr>
                <w:sz w:val="20"/>
                <w:szCs w:val="20"/>
                <w:color w:val="auto"/>
              </w:rPr>
            </w:pPr>
            <w:r>
              <w:rPr>
                <w:rFonts w:ascii="Arial" w:cs="Arial" w:eastAsia="Arial" w:hAnsi="Arial"/>
                <w:sz w:val="14"/>
                <w:szCs w:val="14"/>
                <w:b w:val="1"/>
                <w:bCs w:val="1"/>
                <w:color w:val="auto"/>
              </w:rPr>
              <w:t>$29</w:t>
            </w:r>
          </w:p>
        </w:tc>
        <w:tc>
          <w:tcPr>
            <w:tcW w:w="7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$117</w:t>
            </w:r>
          </w:p>
        </w:tc>
        <w:tc>
          <w:tcPr>
            <w:tcW w:w="700" w:type="dxa"/>
            <w:vAlign w:val="bottom"/>
            <w:tcBorders>
              <w:bottom w:val="single" w:sz="8" w:color="8C8272"/>
            </w:tcBorders>
            <w:shd w:val="clear" w:color="auto" w:fill="E7E7E7"/>
          </w:tcPr>
          <w:p>
            <w:pPr>
              <w:jc w:val="right"/>
              <w:spacing w:after="0"/>
              <w:rPr>
                <w:sz w:val="20"/>
                <w:szCs w:val="20"/>
                <w:color w:val="auto"/>
              </w:rPr>
            </w:pPr>
            <w:r>
              <w:rPr>
                <w:rFonts w:ascii="Arial" w:cs="Arial" w:eastAsia="Arial" w:hAnsi="Arial"/>
                <w:sz w:val="14"/>
                <w:szCs w:val="14"/>
                <w:b w:val="1"/>
                <w:bCs w:val="1"/>
                <w:color w:val="auto"/>
              </w:rPr>
              <w:t>$(49)</w:t>
            </w:r>
          </w:p>
        </w:tc>
        <w:tc>
          <w:tcPr>
            <w:tcW w:w="700" w:type="dxa"/>
            <w:vAlign w:val="bottom"/>
            <w:tcBorders>
              <w:bottom w:val="single" w:sz="8" w:color="8C8272"/>
            </w:tcBorders>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$(142)</w:t>
            </w:r>
          </w:p>
        </w:tc>
        <w:tc>
          <w:tcPr>
            <w:tcW w:w="700" w:type="dxa"/>
            <w:vAlign w:val="bottom"/>
            <w:tcBorders>
              <w:bottom w:val="single" w:sz="8" w:color="8C8272"/>
            </w:tcBorders>
            <w:shd w:val="clear" w:color="auto" w:fill="E7E7E7"/>
          </w:tcPr>
          <w:p>
            <w:pPr>
              <w:jc w:val="right"/>
              <w:spacing w:after="0"/>
              <w:rPr>
                <w:sz w:val="20"/>
                <w:szCs w:val="20"/>
                <w:color w:val="auto"/>
              </w:rPr>
            </w:pPr>
            <w:r>
              <w:rPr>
                <w:rFonts w:ascii="Arial" w:cs="Arial" w:eastAsia="Arial" w:hAnsi="Arial"/>
                <w:sz w:val="14"/>
                <w:szCs w:val="14"/>
                <w:b w:val="1"/>
                <w:bCs w:val="1"/>
                <w:color w:val="auto"/>
              </w:rPr>
              <w:t>$28</w:t>
            </w:r>
          </w:p>
        </w:tc>
        <w:tc>
          <w:tcPr>
            <w:tcW w:w="7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$(11)</w:t>
            </w:r>
          </w:p>
        </w:tc>
        <w:tc>
          <w:tcPr>
            <w:tcW w:w="340" w:type="dxa"/>
            <w:vAlign w:val="bottom"/>
            <w:tcBorders>
              <w:bottom w:val="single" w:sz="8" w:color="8C8272"/>
            </w:tcBorders>
            <w:shd w:val="clear" w:color="auto" w:fill="E7E7E7"/>
          </w:tcPr>
          <w:p>
            <w:pPr>
              <w:spacing w:after="0"/>
              <w:rPr>
                <w:sz w:val="15"/>
                <w:szCs w:val="15"/>
                <w:color w:val="auto"/>
              </w:rPr>
            </w:pPr>
          </w:p>
        </w:tc>
        <w:tc>
          <w:tcPr>
            <w:tcW w:w="360" w:type="dxa"/>
            <w:vAlign w:val="bottom"/>
            <w:tcBorders>
              <w:bottom w:val="single" w:sz="8" w:color="8C8272"/>
            </w:tcBorders>
            <w:shd w:val="clear" w:color="auto" w:fill="E7E7E7"/>
          </w:tcPr>
          <w:p>
            <w:pPr>
              <w:jc w:val="right"/>
              <w:spacing w:after="0"/>
              <w:rPr>
                <w:sz w:val="20"/>
                <w:szCs w:val="20"/>
                <w:color w:val="auto"/>
              </w:rPr>
            </w:pPr>
            <w:r>
              <w:rPr>
                <w:rFonts w:ascii="Arial" w:cs="Arial" w:eastAsia="Arial" w:hAnsi="Arial"/>
                <w:sz w:val="14"/>
                <w:szCs w:val="14"/>
                <w:b w:val="1"/>
                <w:bCs w:val="1"/>
                <w:color w:val="auto"/>
              </w:rPr>
              <w:t>$(1)</w:t>
            </w:r>
          </w:p>
        </w:tc>
        <w:tc>
          <w:tcPr>
            <w:tcW w:w="82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b w:val="1"/>
                <w:bCs w:val="1"/>
                <w:color w:val="auto"/>
              </w:rPr>
              <w:t>$584</w:t>
            </w:r>
          </w:p>
        </w:tc>
        <w:tc>
          <w:tcPr>
            <w:tcW w:w="5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$565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-128270</wp:posOffset>
            </wp:positionV>
            <wp:extent cx="8255" cy="1714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-102235</wp:posOffset>
            </wp:positionV>
            <wp:extent cx="8255" cy="825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-85090</wp:posOffset>
            </wp:positionV>
            <wp:extent cx="8255"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-67945</wp:posOffset>
            </wp:positionV>
            <wp:extent cx="8255"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-50800</wp:posOffset>
            </wp:positionV>
            <wp:extent cx="8255"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-33655</wp:posOffset>
            </wp:positionV>
            <wp:extent cx="8255" cy="889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-16510</wp:posOffset>
            </wp:positionV>
            <wp:extent cx="8255"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-128270</wp:posOffset>
            </wp:positionV>
            <wp:extent cx="8255" cy="1714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-102235</wp:posOffset>
            </wp:positionV>
            <wp:extent cx="8255"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-85090</wp:posOffset>
            </wp:positionV>
            <wp:extent cx="8255"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-67945</wp:posOffset>
            </wp:positionV>
            <wp:extent cx="8255"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-50800</wp:posOffset>
            </wp:positionV>
            <wp:extent cx="8255"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-33655</wp:posOffset>
            </wp:positionV>
            <wp:extent cx="8255" cy="889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-16510</wp:posOffset>
            </wp:positionV>
            <wp:extent cx="8255"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-128270</wp:posOffset>
            </wp:positionV>
            <wp:extent cx="8890" cy="1714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-102235</wp:posOffset>
            </wp:positionV>
            <wp:extent cx="8890"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-85090</wp:posOffset>
            </wp:positionV>
            <wp:extent cx="8890"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-67945</wp:posOffset>
            </wp:positionV>
            <wp:extent cx="8890"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-50800</wp:posOffset>
            </wp:positionV>
            <wp:extent cx="8890"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-33655</wp:posOffset>
            </wp:positionV>
            <wp:extent cx="8890" cy="889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-16510</wp:posOffset>
            </wp:positionV>
            <wp:extent cx="8890"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-128270</wp:posOffset>
            </wp:positionV>
            <wp:extent cx="8255" cy="1714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-102235</wp:posOffset>
            </wp:positionV>
            <wp:extent cx="8255"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-85090</wp:posOffset>
            </wp:positionV>
            <wp:extent cx="8255"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-67945</wp:posOffset>
            </wp:positionV>
            <wp:extent cx="8255"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-50800</wp:posOffset>
            </wp:positionV>
            <wp:extent cx="8255"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-33655</wp:posOffset>
            </wp:positionV>
            <wp:extent cx="8255" cy="889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-16510</wp:posOffset>
            </wp:positionV>
            <wp:extent cx="8255"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-128270</wp:posOffset>
            </wp:positionV>
            <wp:extent cx="8890" cy="1714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-102235</wp:posOffset>
            </wp:positionV>
            <wp:extent cx="8890"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-85090</wp:posOffset>
            </wp:positionV>
            <wp:extent cx="8890"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-67945</wp:posOffset>
            </wp:positionV>
            <wp:extent cx="8890"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-50800</wp:posOffset>
            </wp:positionV>
            <wp:extent cx="8890"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-33655</wp:posOffset>
            </wp:positionV>
            <wp:extent cx="8890" cy="889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-16510</wp:posOffset>
            </wp:positionV>
            <wp:extent cx="8890"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-342265</wp:posOffset>
            </wp:positionV>
            <wp:extent cx="8255" cy="1714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-316230</wp:posOffset>
            </wp:positionV>
            <wp:extent cx="8255"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-299720</wp:posOffset>
            </wp:positionV>
            <wp:extent cx="8255" cy="889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-281940</wp:posOffset>
            </wp:positionV>
            <wp:extent cx="8255"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-264795</wp:posOffset>
            </wp:positionV>
            <wp:extent cx="8255"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-247650</wp:posOffset>
            </wp:positionV>
            <wp:extent cx="8255"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-230505</wp:posOffset>
            </wp:positionV>
            <wp:extent cx="8255"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-213995</wp:posOffset>
            </wp:positionV>
            <wp:extent cx="8255"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-196215</wp:posOffset>
            </wp:positionV>
            <wp:extent cx="8255"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-179070</wp:posOffset>
            </wp:positionV>
            <wp:extent cx="8255"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-162560</wp:posOffset>
            </wp:positionV>
            <wp:extent cx="8255" cy="889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-144780</wp:posOffset>
            </wp:positionV>
            <wp:extent cx="8255"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-342265</wp:posOffset>
            </wp:positionV>
            <wp:extent cx="8255" cy="1714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-316230</wp:posOffset>
            </wp:positionV>
            <wp:extent cx="8255"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-299720</wp:posOffset>
            </wp:positionV>
            <wp:extent cx="8255" cy="889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-281940</wp:posOffset>
            </wp:positionV>
            <wp:extent cx="8255"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-264795</wp:posOffset>
            </wp:positionV>
            <wp:extent cx="8255"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-247650</wp:posOffset>
            </wp:positionV>
            <wp:extent cx="8255"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-230505</wp:posOffset>
            </wp:positionV>
            <wp:extent cx="8255"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-213995</wp:posOffset>
            </wp:positionV>
            <wp:extent cx="8255"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-196215</wp:posOffset>
            </wp:positionV>
            <wp:extent cx="8255"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-179070</wp:posOffset>
            </wp:positionV>
            <wp:extent cx="8255"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-162560</wp:posOffset>
            </wp:positionV>
            <wp:extent cx="8255" cy="889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-144780</wp:posOffset>
            </wp:positionV>
            <wp:extent cx="8255"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-342265</wp:posOffset>
            </wp:positionV>
            <wp:extent cx="8890" cy="1714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-316230</wp:posOffset>
            </wp:positionV>
            <wp:extent cx="8890"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-299720</wp:posOffset>
            </wp:positionV>
            <wp:extent cx="8890" cy="8890"/>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-281940</wp:posOffset>
            </wp:positionV>
            <wp:extent cx="8890"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-264795</wp:posOffset>
            </wp:positionV>
            <wp:extent cx="8890"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-247650</wp:posOffset>
            </wp:positionV>
            <wp:extent cx="8890"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-230505</wp:posOffset>
            </wp:positionV>
            <wp:extent cx="8890"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-213995</wp:posOffset>
            </wp:positionV>
            <wp:extent cx="8890"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-196215</wp:posOffset>
            </wp:positionV>
            <wp:extent cx="8890"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-179070</wp:posOffset>
            </wp:positionV>
            <wp:extent cx="8890"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-162560</wp:posOffset>
            </wp:positionV>
            <wp:extent cx="8890" cy="889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-144780</wp:posOffset>
            </wp:positionV>
            <wp:extent cx="8890"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-342265</wp:posOffset>
            </wp:positionV>
            <wp:extent cx="8255" cy="1714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-316230</wp:posOffset>
            </wp:positionV>
            <wp:extent cx="8255"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-299720</wp:posOffset>
            </wp:positionV>
            <wp:extent cx="8255" cy="889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-281940</wp:posOffset>
            </wp:positionV>
            <wp:extent cx="8255"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-264795</wp:posOffset>
            </wp:positionV>
            <wp:extent cx="8255"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-247650</wp:posOffset>
            </wp:positionV>
            <wp:extent cx="8255"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-230505</wp:posOffset>
            </wp:positionV>
            <wp:extent cx="8255"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-213995</wp:posOffset>
            </wp:positionV>
            <wp:extent cx="8255" cy="825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-196215</wp:posOffset>
            </wp:positionV>
            <wp:extent cx="8255"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-179070</wp:posOffset>
            </wp:positionV>
            <wp:extent cx="8255"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-162560</wp:posOffset>
            </wp:positionV>
            <wp:extent cx="8255" cy="8890"/>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-144780</wp:posOffset>
            </wp:positionV>
            <wp:extent cx="8255"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-342265</wp:posOffset>
            </wp:positionV>
            <wp:extent cx="8890" cy="1714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-316230</wp:posOffset>
            </wp:positionV>
            <wp:extent cx="8890" cy="825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-299720</wp:posOffset>
            </wp:positionV>
            <wp:extent cx="8890" cy="889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-281940</wp:posOffset>
            </wp:positionV>
            <wp:extent cx="8890"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-264795</wp:posOffset>
            </wp:positionV>
            <wp:extent cx="8890" cy="825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-247650</wp:posOffset>
            </wp:positionV>
            <wp:extent cx="8890"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-230505</wp:posOffset>
            </wp:positionV>
            <wp:extent cx="8890"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-213995</wp:posOffset>
            </wp:positionV>
            <wp:extent cx="8890"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-196215</wp:posOffset>
            </wp:positionV>
            <wp:extent cx="8890" cy="825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-179070</wp:posOffset>
            </wp:positionV>
            <wp:extent cx="8890" cy="825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-162560</wp:posOffset>
            </wp:positionV>
            <wp:extent cx="8890" cy="889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-144780</wp:posOffset>
            </wp:positionV>
            <wp:extent cx="8890" cy="825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-471170</wp:posOffset>
            </wp:positionV>
            <wp:extent cx="8255" cy="1714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-445135</wp:posOffset>
            </wp:positionV>
            <wp:extent cx="8255"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-427990</wp:posOffset>
            </wp:positionV>
            <wp:extent cx="8255" cy="889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-410845</wp:posOffset>
            </wp:positionV>
            <wp:extent cx="8255"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-393700</wp:posOffset>
            </wp:positionV>
            <wp:extent cx="8255" cy="825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-376555</wp:posOffset>
            </wp:positionV>
            <wp:extent cx="8255"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-359410</wp:posOffset>
            </wp:positionV>
            <wp:extent cx="8255"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-471170</wp:posOffset>
            </wp:positionV>
            <wp:extent cx="8255" cy="1714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-445135</wp:posOffset>
            </wp:positionV>
            <wp:extent cx="8255" cy="825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-427990</wp:posOffset>
            </wp:positionV>
            <wp:extent cx="8255" cy="889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-410845</wp:posOffset>
            </wp:positionV>
            <wp:extent cx="8255"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-393700</wp:posOffset>
            </wp:positionV>
            <wp:extent cx="8255" cy="825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-376555</wp:posOffset>
            </wp:positionV>
            <wp:extent cx="8255" cy="825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-359410</wp:posOffset>
            </wp:positionV>
            <wp:extent cx="8255" cy="825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-471170</wp:posOffset>
            </wp:positionV>
            <wp:extent cx="8890" cy="1714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-445135</wp:posOffset>
            </wp:positionV>
            <wp:extent cx="8890"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-427990</wp:posOffset>
            </wp:positionV>
            <wp:extent cx="8890" cy="889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-410845</wp:posOffset>
            </wp:positionV>
            <wp:extent cx="8890" cy="825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-393700</wp:posOffset>
            </wp:positionV>
            <wp:extent cx="8890" cy="825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-376555</wp:posOffset>
            </wp:positionV>
            <wp:extent cx="8890" cy="825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-359410</wp:posOffset>
            </wp:positionV>
            <wp:extent cx="8890"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-471170</wp:posOffset>
            </wp:positionV>
            <wp:extent cx="8255" cy="1714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-445135</wp:posOffset>
            </wp:positionV>
            <wp:extent cx="8255" cy="825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-427990</wp:posOffset>
            </wp:positionV>
            <wp:extent cx="8255" cy="889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-410845</wp:posOffset>
            </wp:positionV>
            <wp:extent cx="8255" cy="825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-393700</wp:posOffset>
            </wp:positionV>
            <wp:extent cx="8255" cy="825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-376555</wp:posOffset>
            </wp:positionV>
            <wp:extent cx="8255" cy="825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-359410</wp:posOffset>
            </wp:positionV>
            <wp:extent cx="8255" cy="82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-471170</wp:posOffset>
            </wp:positionV>
            <wp:extent cx="8890" cy="1714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-445135</wp:posOffset>
            </wp:positionV>
            <wp:extent cx="8890" cy="825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-427990</wp:posOffset>
            </wp:positionV>
            <wp:extent cx="8890" cy="889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-410845</wp:posOffset>
            </wp:positionV>
            <wp:extent cx="8890" cy="825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-393700</wp:posOffset>
            </wp:positionV>
            <wp:extent cx="8890" cy="825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-376555</wp:posOffset>
            </wp:positionV>
            <wp:extent cx="8890"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-359410</wp:posOffset>
            </wp:positionV>
            <wp:extent cx="8890"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-573405</wp:posOffset>
            </wp:positionV>
            <wp:extent cx="8255"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-556895</wp:posOffset>
            </wp:positionV>
            <wp:extent cx="8255" cy="8890"/>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-539115</wp:posOffset>
            </wp:positionV>
            <wp:extent cx="8255"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-521970</wp:posOffset>
            </wp:positionV>
            <wp:extent cx="8255"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-504825</wp:posOffset>
            </wp:positionV>
            <wp:extent cx="8255" cy="825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-487680</wp:posOffset>
            </wp:positionV>
            <wp:extent cx="8255"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-573405</wp:posOffset>
            </wp:positionV>
            <wp:extent cx="8255" cy="825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-556895</wp:posOffset>
            </wp:positionV>
            <wp:extent cx="8255" cy="8890"/>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-539115</wp:posOffset>
            </wp:positionV>
            <wp:extent cx="8255" cy="825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-521970</wp:posOffset>
            </wp:positionV>
            <wp:extent cx="8255"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-504825</wp:posOffset>
            </wp:positionV>
            <wp:extent cx="8255"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-487680</wp:posOffset>
            </wp:positionV>
            <wp:extent cx="8255"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-573405</wp:posOffset>
            </wp:positionV>
            <wp:extent cx="8890"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-556895</wp:posOffset>
            </wp:positionV>
            <wp:extent cx="8890" cy="8890"/>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-539115</wp:posOffset>
            </wp:positionV>
            <wp:extent cx="8890" cy="825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-521970</wp:posOffset>
            </wp:positionV>
            <wp:extent cx="8890" cy="825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-504825</wp:posOffset>
            </wp:positionV>
            <wp:extent cx="8890"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-487680</wp:posOffset>
            </wp:positionV>
            <wp:extent cx="8890"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-573405</wp:posOffset>
            </wp:positionV>
            <wp:extent cx="8255"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-556895</wp:posOffset>
            </wp:positionV>
            <wp:extent cx="8255" cy="889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-539115</wp:posOffset>
            </wp:positionV>
            <wp:extent cx="8255"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-521970</wp:posOffset>
            </wp:positionV>
            <wp:extent cx="8255"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-504825</wp:posOffset>
            </wp:positionV>
            <wp:extent cx="8255"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-487680</wp:posOffset>
            </wp:positionV>
            <wp:extent cx="8255"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-573405</wp:posOffset>
            </wp:positionV>
            <wp:extent cx="8890" cy="825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-556895</wp:posOffset>
            </wp:positionV>
            <wp:extent cx="8890" cy="8890"/>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-539115</wp:posOffset>
            </wp:positionV>
            <wp:extent cx="8890"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-521970</wp:posOffset>
            </wp:positionV>
            <wp:extent cx="8890"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-504825</wp:posOffset>
            </wp:positionV>
            <wp:extent cx="8890"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-487680</wp:posOffset>
            </wp:positionV>
            <wp:extent cx="8890" cy="825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-719455</wp:posOffset>
            </wp:positionV>
            <wp:extent cx="8255" cy="1714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-693420</wp:posOffset>
            </wp:positionV>
            <wp:extent cx="8255"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-676275</wp:posOffset>
            </wp:positionV>
            <wp:extent cx="8255"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-659130</wp:posOffset>
            </wp:positionV>
            <wp:extent cx="8255"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-642620</wp:posOffset>
            </wp:positionV>
            <wp:extent cx="8255" cy="889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-624840</wp:posOffset>
            </wp:positionV>
            <wp:extent cx="8255" cy="825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-607695</wp:posOffset>
            </wp:positionV>
            <wp:extent cx="8255" cy="2603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-719455</wp:posOffset>
            </wp:positionV>
            <wp:extent cx="8255" cy="1714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-693420</wp:posOffset>
            </wp:positionV>
            <wp:extent cx="8255"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-676275</wp:posOffset>
            </wp:positionV>
            <wp:extent cx="8255" cy="825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-659130</wp:posOffset>
            </wp:positionV>
            <wp:extent cx="8255" cy="825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-642620</wp:posOffset>
            </wp:positionV>
            <wp:extent cx="8255" cy="8890"/>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-624840</wp:posOffset>
            </wp:positionV>
            <wp:extent cx="8255" cy="825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-607695</wp:posOffset>
            </wp:positionV>
            <wp:extent cx="8255" cy="2603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-719455</wp:posOffset>
            </wp:positionV>
            <wp:extent cx="8890" cy="1714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-693420</wp:posOffset>
            </wp:positionV>
            <wp:extent cx="8890" cy="825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-676275</wp:posOffset>
            </wp:positionV>
            <wp:extent cx="8890" cy="825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-659130</wp:posOffset>
            </wp:positionV>
            <wp:extent cx="8890" cy="825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-642620</wp:posOffset>
            </wp:positionV>
            <wp:extent cx="8890" cy="8890"/>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-624840</wp:posOffset>
            </wp:positionV>
            <wp:extent cx="8890" cy="825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-607695</wp:posOffset>
            </wp:positionV>
            <wp:extent cx="8890" cy="2603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-719455</wp:posOffset>
            </wp:positionV>
            <wp:extent cx="8255" cy="1714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-693420</wp:posOffset>
            </wp:positionV>
            <wp:extent cx="8255" cy="825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-676275</wp:posOffset>
            </wp:positionV>
            <wp:extent cx="8255"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-659130</wp:posOffset>
            </wp:positionV>
            <wp:extent cx="8255"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-642620</wp:posOffset>
            </wp:positionV>
            <wp:extent cx="8255" cy="8890"/>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-624840</wp:posOffset>
            </wp:positionV>
            <wp:extent cx="8255" cy="825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-607695</wp:posOffset>
            </wp:positionV>
            <wp:extent cx="8255" cy="2603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-719455</wp:posOffset>
            </wp:positionV>
            <wp:extent cx="8890" cy="1714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-693420</wp:posOffset>
            </wp:positionV>
            <wp:extent cx="8890" cy="825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-676275</wp:posOffset>
            </wp:positionV>
            <wp:extent cx="8890" cy="825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-659130</wp:posOffset>
            </wp:positionV>
            <wp:extent cx="8890"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-642620</wp:posOffset>
            </wp:positionV>
            <wp:extent cx="8890" cy="8890"/>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-624840</wp:posOffset>
            </wp:positionV>
            <wp:extent cx="8890"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-607695</wp:posOffset>
            </wp:positionV>
            <wp:extent cx="8890" cy="2603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-822325</wp:posOffset>
            </wp:positionV>
            <wp:extent cx="8255" cy="825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-805180</wp:posOffset>
            </wp:positionV>
            <wp:extent cx="8255"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-788035</wp:posOffset>
            </wp:positionV>
            <wp:extent cx="8255" cy="825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-770890</wp:posOffset>
            </wp:positionV>
            <wp:extent cx="8255" cy="8890"/>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-753745</wp:posOffset>
            </wp:positionV>
            <wp:extent cx="8255" cy="825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-736600</wp:posOffset>
            </wp:positionV>
            <wp:extent cx="8255" cy="825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-822325</wp:posOffset>
            </wp:positionV>
            <wp:extent cx="8255" cy="825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-805180</wp:posOffset>
            </wp:positionV>
            <wp:extent cx="8255" cy="825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-788035</wp:posOffset>
            </wp:positionV>
            <wp:extent cx="8255" cy="825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-770890</wp:posOffset>
            </wp:positionV>
            <wp:extent cx="8255" cy="8890"/>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-753745</wp:posOffset>
            </wp:positionV>
            <wp:extent cx="8255"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-736600</wp:posOffset>
            </wp:positionV>
            <wp:extent cx="8255"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-822325</wp:posOffset>
            </wp:positionV>
            <wp:extent cx="8890" cy="825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-805180</wp:posOffset>
            </wp:positionV>
            <wp:extent cx="8890" cy="825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-788035</wp:posOffset>
            </wp:positionV>
            <wp:extent cx="8890" cy="825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-770890</wp:posOffset>
            </wp:positionV>
            <wp:extent cx="8890" cy="8890"/>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-753745</wp:posOffset>
            </wp:positionV>
            <wp:extent cx="8890" cy="825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-736600</wp:posOffset>
            </wp:positionV>
            <wp:extent cx="8890" cy="825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-822325</wp:posOffset>
            </wp:positionV>
            <wp:extent cx="8255" cy="825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-805180</wp:posOffset>
            </wp:positionV>
            <wp:extent cx="8255" cy="825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-788035</wp:posOffset>
            </wp:positionV>
            <wp:extent cx="8255" cy="825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-770890</wp:posOffset>
            </wp:positionV>
            <wp:extent cx="8255" cy="8890"/>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-753745</wp:posOffset>
            </wp:positionV>
            <wp:extent cx="8255" cy="825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-736600</wp:posOffset>
            </wp:positionV>
            <wp:extent cx="8255" cy="825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-822325</wp:posOffset>
            </wp:positionV>
            <wp:extent cx="8890" cy="825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-805180</wp:posOffset>
            </wp:positionV>
            <wp:extent cx="8890" cy="825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-788035</wp:posOffset>
            </wp:positionV>
            <wp:extent cx="8890" cy="825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-770890</wp:posOffset>
            </wp:positionV>
            <wp:extent cx="8890" cy="8890"/>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-753745</wp:posOffset>
            </wp:positionV>
            <wp:extent cx="8890" cy="825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-736600</wp:posOffset>
            </wp:positionV>
            <wp:extent cx="8890" cy="825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-942340</wp:posOffset>
            </wp:positionV>
            <wp:extent cx="8255" cy="8890"/>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-925195</wp:posOffset>
            </wp:positionV>
            <wp:extent cx="8255" cy="825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-908050</wp:posOffset>
            </wp:positionV>
            <wp:extent cx="8255" cy="825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-890905</wp:posOffset>
            </wp:positionV>
            <wp:extent cx="8255" cy="825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-873760</wp:posOffset>
            </wp:positionV>
            <wp:extent cx="8255" cy="825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-856615</wp:posOffset>
            </wp:positionV>
            <wp:extent cx="8255" cy="2603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-942340</wp:posOffset>
            </wp:positionV>
            <wp:extent cx="8255" cy="8890"/>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-925195</wp:posOffset>
            </wp:positionV>
            <wp:extent cx="8255" cy="8255"/>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-908050</wp:posOffset>
            </wp:positionV>
            <wp:extent cx="8255" cy="825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-890905</wp:posOffset>
            </wp:positionV>
            <wp:extent cx="8255" cy="825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-873760</wp:posOffset>
            </wp:positionV>
            <wp:extent cx="8255"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-856615</wp:posOffset>
            </wp:positionV>
            <wp:extent cx="8255" cy="2603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-942340</wp:posOffset>
            </wp:positionV>
            <wp:extent cx="8890" cy="889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-925195</wp:posOffset>
            </wp:positionV>
            <wp:extent cx="8890" cy="825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-908050</wp:posOffset>
            </wp:positionV>
            <wp:extent cx="8890" cy="825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-890905</wp:posOffset>
            </wp:positionV>
            <wp:extent cx="8890"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-873760</wp:posOffset>
            </wp:positionV>
            <wp:extent cx="8890"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-856615</wp:posOffset>
            </wp:positionV>
            <wp:extent cx="8890" cy="26035"/>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-942340</wp:posOffset>
            </wp:positionV>
            <wp:extent cx="8255" cy="8890"/>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-925195</wp:posOffset>
            </wp:positionV>
            <wp:extent cx="8255" cy="825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-908050</wp:posOffset>
            </wp:positionV>
            <wp:extent cx="8255"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-890905</wp:posOffset>
            </wp:positionV>
            <wp:extent cx="8255" cy="825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-873760</wp:posOffset>
            </wp:positionV>
            <wp:extent cx="8255" cy="825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-856615</wp:posOffset>
            </wp:positionV>
            <wp:extent cx="8255" cy="2603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-942340</wp:posOffset>
            </wp:positionV>
            <wp:extent cx="8890" cy="8890"/>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-925195</wp:posOffset>
            </wp:positionV>
            <wp:extent cx="8890" cy="825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-908050</wp:posOffset>
            </wp:positionV>
            <wp:extent cx="8890" cy="825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-890905</wp:posOffset>
            </wp:positionV>
            <wp:extent cx="8890" cy="825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-873760</wp:posOffset>
            </wp:positionV>
            <wp:extent cx="8890" cy="825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-856615</wp:posOffset>
            </wp:positionV>
            <wp:extent cx="8890" cy="2603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-1087755</wp:posOffset>
            </wp:positionV>
            <wp:extent cx="8255" cy="1714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-1062355</wp:posOffset>
            </wp:positionV>
            <wp:extent cx="8255" cy="825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-1045210</wp:posOffset>
            </wp:positionV>
            <wp:extent cx="8255" cy="825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-1028065</wp:posOffset>
            </wp:positionV>
            <wp:extent cx="8255" cy="8890"/>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-1010920</wp:posOffset>
            </wp:positionV>
            <wp:extent cx="8255" cy="825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-993775</wp:posOffset>
            </wp:positionV>
            <wp:extent cx="8255" cy="825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-976630</wp:posOffset>
            </wp:positionV>
            <wp:extent cx="8255" cy="25400"/>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-1087755</wp:posOffset>
            </wp:positionV>
            <wp:extent cx="8255" cy="17145"/>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-1062355</wp:posOffset>
            </wp:positionV>
            <wp:extent cx="8255" cy="825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-1045210</wp:posOffset>
            </wp:positionV>
            <wp:extent cx="8255" cy="825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-1028065</wp:posOffset>
            </wp:positionV>
            <wp:extent cx="8255" cy="8890"/>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8255" cy="825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-993775</wp:posOffset>
            </wp:positionV>
            <wp:extent cx="8255" cy="8255"/>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-976630</wp:posOffset>
            </wp:positionV>
            <wp:extent cx="8255" cy="25400"/>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-1087755</wp:posOffset>
            </wp:positionV>
            <wp:extent cx="8890" cy="17145"/>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-1062355</wp:posOffset>
            </wp:positionV>
            <wp:extent cx="8890" cy="825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-1045210</wp:posOffset>
            </wp:positionV>
            <wp:extent cx="8890" cy="825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-1028065</wp:posOffset>
            </wp:positionV>
            <wp:extent cx="8890" cy="8890"/>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-1010920</wp:posOffset>
            </wp:positionV>
            <wp:extent cx="8890" cy="8255"/>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-993775</wp:posOffset>
            </wp:positionV>
            <wp:extent cx="8890" cy="825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-976630</wp:posOffset>
            </wp:positionV>
            <wp:extent cx="8890" cy="25400"/>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-1087755</wp:posOffset>
            </wp:positionV>
            <wp:extent cx="8255" cy="1714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-1062355</wp:posOffset>
            </wp:positionV>
            <wp:extent cx="8255" cy="8255"/>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-1045210</wp:posOffset>
            </wp:positionV>
            <wp:extent cx="8255" cy="8255"/>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-1028065</wp:posOffset>
            </wp:positionV>
            <wp:extent cx="8255" cy="8890"/>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-1010920</wp:posOffset>
            </wp:positionV>
            <wp:extent cx="8255" cy="825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-993775</wp:posOffset>
            </wp:positionV>
            <wp:extent cx="8255" cy="825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-976630</wp:posOffset>
            </wp:positionV>
            <wp:extent cx="8255" cy="25400"/>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-1087755</wp:posOffset>
            </wp:positionV>
            <wp:extent cx="8890" cy="17145"/>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-1062355</wp:posOffset>
            </wp:positionV>
            <wp:extent cx="8890" cy="8255"/>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-1045210</wp:posOffset>
            </wp:positionV>
            <wp:extent cx="8890" cy="825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-1028065</wp:posOffset>
            </wp:positionV>
            <wp:extent cx="8890" cy="8890"/>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-1010920</wp:posOffset>
            </wp:positionV>
            <wp:extent cx="8890" cy="8255"/>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-993775</wp:posOffset>
            </wp:positionV>
            <wp:extent cx="8890" cy="825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-976630</wp:posOffset>
            </wp:positionV>
            <wp:extent cx="8890" cy="25400"/>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-1190625</wp:posOffset>
            </wp:positionV>
            <wp:extent cx="8255" cy="825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-1173480</wp:posOffset>
            </wp:positionV>
            <wp:extent cx="8255" cy="8255"/>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-1156970</wp:posOffset>
            </wp:positionV>
            <wp:extent cx="8255" cy="8890"/>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-1139190</wp:posOffset>
            </wp:positionV>
            <wp:extent cx="8255" cy="825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-1122045</wp:posOffset>
            </wp:positionV>
            <wp:extent cx="8255" cy="825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-1104900</wp:posOffset>
            </wp:positionV>
            <wp:extent cx="8255" cy="825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-1190625</wp:posOffset>
            </wp:positionV>
            <wp:extent cx="8255" cy="8255"/>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-1173480</wp:posOffset>
            </wp:positionV>
            <wp:extent cx="8255" cy="8255"/>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-1156970</wp:posOffset>
            </wp:positionV>
            <wp:extent cx="8255" cy="8890"/>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-1139190</wp:posOffset>
            </wp:positionV>
            <wp:extent cx="8255" cy="825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-1122045</wp:posOffset>
            </wp:positionV>
            <wp:extent cx="8255" cy="8255"/>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-1104900</wp:posOffset>
            </wp:positionV>
            <wp:extent cx="8255" cy="8255"/>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-1190625</wp:posOffset>
            </wp:positionV>
            <wp:extent cx="8890" cy="8255"/>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-1173480</wp:posOffset>
            </wp:positionV>
            <wp:extent cx="8890" cy="8255"/>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-1156970</wp:posOffset>
            </wp:positionV>
            <wp:extent cx="8890" cy="8890"/>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-1139190</wp:posOffset>
            </wp:positionV>
            <wp:extent cx="8890" cy="8255"/>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-1122045</wp:posOffset>
            </wp:positionV>
            <wp:extent cx="8890" cy="8255"/>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-1104900</wp:posOffset>
            </wp:positionV>
            <wp:extent cx="8890" cy="8255"/>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-1190625</wp:posOffset>
            </wp:positionV>
            <wp:extent cx="8255" cy="825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-1173480</wp:posOffset>
            </wp:positionV>
            <wp:extent cx="8255" cy="825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-1156970</wp:posOffset>
            </wp:positionV>
            <wp:extent cx="8255" cy="8890"/>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-1139190</wp:posOffset>
            </wp:positionV>
            <wp:extent cx="8255" cy="8255"/>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-1122045</wp:posOffset>
            </wp:positionV>
            <wp:extent cx="8255" cy="825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-1104900</wp:posOffset>
            </wp:positionV>
            <wp:extent cx="8255" cy="825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-1190625</wp:posOffset>
            </wp:positionV>
            <wp:extent cx="8890" cy="825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-1173480</wp:posOffset>
            </wp:positionV>
            <wp:extent cx="8890" cy="8255"/>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-1156970</wp:posOffset>
            </wp:positionV>
            <wp:extent cx="8890" cy="8890"/>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-1139190</wp:posOffset>
            </wp:positionV>
            <wp:extent cx="8890" cy="8255"/>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-1122045</wp:posOffset>
            </wp:positionV>
            <wp:extent cx="8890" cy="8255"/>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-1104900</wp:posOffset>
            </wp:positionV>
            <wp:extent cx="8890" cy="825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-1310640</wp:posOffset>
            </wp:positionV>
            <wp:extent cx="8255" cy="8255"/>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-1293495</wp:posOffset>
            </wp:positionV>
            <wp:extent cx="8255" cy="8255"/>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-1276350</wp:posOffset>
            </wp:positionV>
            <wp:extent cx="8255" cy="8255"/>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-1259205</wp:posOffset>
            </wp:positionV>
            <wp:extent cx="8255" cy="8255"/>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-1242695</wp:posOffset>
            </wp:positionV>
            <wp:extent cx="8255" cy="8890"/>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-1224915</wp:posOffset>
            </wp:positionV>
            <wp:extent cx="8255" cy="25400"/>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-1310640</wp:posOffset>
            </wp:positionV>
            <wp:extent cx="8255" cy="8255"/>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-1293495</wp:posOffset>
            </wp:positionV>
            <wp:extent cx="8255" cy="8255"/>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-1276350</wp:posOffset>
            </wp:positionV>
            <wp:extent cx="8255" cy="825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-1259205</wp:posOffset>
            </wp:positionV>
            <wp:extent cx="8255" cy="8255"/>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-1242695</wp:posOffset>
            </wp:positionV>
            <wp:extent cx="8255" cy="8890"/>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-1224915</wp:posOffset>
            </wp:positionV>
            <wp:extent cx="8255" cy="25400"/>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-1310640</wp:posOffset>
            </wp:positionV>
            <wp:extent cx="8890" cy="8255"/>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-1293495</wp:posOffset>
            </wp:positionV>
            <wp:extent cx="8890" cy="825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-1276350</wp:posOffset>
            </wp:positionV>
            <wp:extent cx="8890" cy="825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-1259205</wp:posOffset>
            </wp:positionV>
            <wp:extent cx="8890" cy="8255"/>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-1242695</wp:posOffset>
            </wp:positionV>
            <wp:extent cx="8890" cy="8890"/>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-1224915</wp:posOffset>
            </wp:positionV>
            <wp:extent cx="8890" cy="25400"/>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-1310640</wp:posOffset>
            </wp:positionV>
            <wp:extent cx="8255" cy="825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-1293495</wp:posOffset>
            </wp:positionV>
            <wp:extent cx="8255" cy="825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-1276350</wp:posOffset>
            </wp:positionV>
            <wp:extent cx="8255" cy="825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-1259205</wp:posOffset>
            </wp:positionV>
            <wp:extent cx="8255" cy="825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-1242695</wp:posOffset>
            </wp:positionV>
            <wp:extent cx="8255" cy="8890"/>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-1224915</wp:posOffset>
            </wp:positionV>
            <wp:extent cx="8255" cy="25400"/>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-1310640</wp:posOffset>
            </wp:positionV>
            <wp:extent cx="8890" cy="8255"/>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-1293495</wp:posOffset>
            </wp:positionV>
            <wp:extent cx="8890" cy="825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-1276350</wp:posOffset>
            </wp:positionV>
            <wp:extent cx="8890" cy="8255"/>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-1259205</wp:posOffset>
            </wp:positionV>
            <wp:extent cx="8890" cy="8255"/>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-1242695</wp:posOffset>
            </wp:positionV>
            <wp:extent cx="8890" cy="8890"/>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-1224915</wp:posOffset>
            </wp:positionV>
            <wp:extent cx="8890" cy="25400"/>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-1430655</wp:posOffset>
            </wp:positionV>
            <wp:extent cx="8255" cy="8255"/>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-1414145</wp:posOffset>
            </wp:positionV>
            <wp:extent cx="8255" cy="8890"/>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-1396365</wp:posOffset>
            </wp:positionV>
            <wp:extent cx="8255" cy="8255"/>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-1379220</wp:posOffset>
            </wp:positionV>
            <wp:extent cx="8255" cy="8255"/>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-1362075</wp:posOffset>
            </wp:positionV>
            <wp:extent cx="8255" cy="825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-1344930</wp:posOffset>
            </wp:positionV>
            <wp:extent cx="8255" cy="26035"/>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-1430655</wp:posOffset>
            </wp:positionV>
            <wp:extent cx="8255" cy="8255"/>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-1414145</wp:posOffset>
            </wp:positionV>
            <wp:extent cx="8255" cy="8890"/>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-1396365</wp:posOffset>
            </wp:positionV>
            <wp:extent cx="8255" cy="825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-1379220</wp:posOffset>
            </wp:positionV>
            <wp:extent cx="8255" cy="8255"/>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-1362075</wp:posOffset>
            </wp:positionV>
            <wp:extent cx="8255" cy="8255"/>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-1344930</wp:posOffset>
            </wp:positionV>
            <wp:extent cx="8255" cy="26035"/>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-1430655</wp:posOffset>
            </wp:positionV>
            <wp:extent cx="8890" cy="825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-1414145</wp:posOffset>
            </wp:positionV>
            <wp:extent cx="8890" cy="8890"/>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-1396365</wp:posOffset>
            </wp:positionV>
            <wp:extent cx="8890" cy="8255"/>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-1379220</wp:posOffset>
            </wp:positionV>
            <wp:extent cx="8890" cy="825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-1362075</wp:posOffset>
            </wp:positionV>
            <wp:extent cx="8890" cy="8255"/>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-1344930</wp:posOffset>
            </wp:positionV>
            <wp:extent cx="8890" cy="2603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-1430655</wp:posOffset>
            </wp:positionV>
            <wp:extent cx="8255" cy="825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-1414145</wp:posOffset>
            </wp:positionV>
            <wp:extent cx="8255" cy="8890"/>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-1396365</wp:posOffset>
            </wp:positionV>
            <wp:extent cx="8255" cy="8255"/>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-1379220</wp:posOffset>
            </wp:positionV>
            <wp:extent cx="8255" cy="8255"/>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-1362075</wp:posOffset>
            </wp:positionV>
            <wp:extent cx="8255" cy="8255"/>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-1344930</wp:posOffset>
            </wp:positionV>
            <wp:extent cx="8255" cy="2603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-1430655</wp:posOffset>
            </wp:positionV>
            <wp:extent cx="8890" cy="825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-1414145</wp:posOffset>
            </wp:positionV>
            <wp:extent cx="8890" cy="8890"/>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-1396365</wp:posOffset>
            </wp:positionV>
            <wp:extent cx="8890" cy="8255"/>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-1379220</wp:posOffset>
            </wp:positionV>
            <wp:extent cx="8890" cy="8255"/>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-1362075</wp:posOffset>
            </wp:positionV>
            <wp:extent cx="8890" cy="825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-1344930</wp:posOffset>
            </wp:positionV>
            <wp:extent cx="8890" cy="2603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-1550670</wp:posOffset>
            </wp:positionV>
            <wp:extent cx="8255" cy="8255"/>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-1533525</wp:posOffset>
            </wp:positionV>
            <wp:extent cx="8255" cy="8255"/>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-1516380</wp:posOffset>
            </wp:positionV>
            <wp:extent cx="8255" cy="8255"/>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-1499870</wp:posOffset>
            </wp:positionV>
            <wp:extent cx="8255" cy="8890"/>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-1482090</wp:posOffset>
            </wp:positionV>
            <wp:extent cx="8255" cy="825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-1464945</wp:posOffset>
            </wp:positionV>
            <wp:extent cx="8255" cy="2603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-1550670</wp:posOffset>
            </wp:positionV>
            <wp:extent cx="8255" cy="8255"/>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-1533525</wp:posOffset>
            </wp:positionV>
            <wp:extent cx="8255" cy="8255"/>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-1516380</wp:posOffset>
            </wp:positionV>
            <wp:extent cx="8255" cy="8255"/>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-1499870</wp:posOffset>
            </wp:positionV>
            <wp:extent cx="8255" cy="8890"/>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-1482090</wp:posOffset>
            </wp:positionV>
            <wp:extent cx="8255" cy="825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-1464945</wp:posOffset>
            </wp:positionV>
            <wp:extent cx="8255" cy="26035"/>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-1550670</wp:posOffset>
            </wp:positionV>
            <wp:extent cx="8890" cy="8255"/>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-1533525</wp:posOffset>
            </wp:positionV>
            <wp:extent cx="8890" cy="8255"/>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-1516380</wp:posOffset>
            </wp:positionV>
            <wp:extent cx="8890" cy="8255"/>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-1499870</wp:posOffset>
            </wp:positionV>
            <wp:extent cx="8890" cy="8890"/>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-1482090</wp:posOffset>
            </wp:positionV>
            <wp:extent cx="8890" cy="8255"/>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-1464945</wp:posOffset>
            </wp:positionV>
            <wp:extent cx="8890" cy="2603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-1550670</wp:posOffset>
            </wp:positionV>
            <wp:extent cx="8255" cy="8255"/>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-1533525</wp:posOffset>
            </wp:positionV>
            <wp:extent cx="8255" cy="8255"/>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-1516380</wp:posOffset>
            </wp:positionV>
            <wp:extent cx="8255" cy="8255"/>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-1499870</wp:posOffset>
            </wp:positionV>
            <wp:extent cx="8255" cy="8890"/>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-1482090</wp:posOffset>
            </wp:positionV>
            <wp:extent cx="8255" cy="825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-1464945</wp:posOffset>
            </wp:positionV>
            <wp:extent cx="8255" cy="26035"/>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-1550670</wp:posOffset>
            </wp:positionV>
            <wp:extent cx="8890" cy="8255"/>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-1533525</wp:posOffset>
            </wp:positionV>
            <wp:extent cx="8890" cy="825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-1516380</wp:posOffset>
            </wp:positionV>
            <wp:extent cx="8890" cy="8255"/>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-1499870</wp:posOffset>
            </wp:positionV>
            <wp:extent cx="8890" cy="8890"/>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-1482090</wp:posOffset>
            </wp:positionV>
            <wp:extent cx="8890" cy="8255"/>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-1464945</wp:posOffset>
            </wp:positionV>
            <wp:extent cx="8890" cy="2603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-1670685</wp:posOffset>
            </wp:positionV>
            <wp:extent cx="8255" cy="8255"/>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-1653540</wp:posOffset>
            </wp:positionV>
            <wp:extent cx="8255" cy="825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-1636395</wp:posOffset>
            </wp:positionV>
            <wp:extent cx="8255" cy="8890"/>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-1619250</wp:posOffset>
            </wp:positionV>
            <wp:extent cx="8255" cy="8255"/>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-1602105</wp:posOffset>
            </wp:positionV>
            <wp:extent cx="8255" cy="8255"/>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-1585595</wp:posOffset>
            </wp:positionV>
            <wp:extent cx="8255" cy="26035"/>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-1670685</wp:posOffset>
            </wp:positionV>
            <wp:extent cx="8255" cy="825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-1653540</wp:posOffset>
            </wp:positionV>
            <wp:extent cx="8255" cy="825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-1636395</wp:posOffset>
            </wp:positionV>
            <wp:extent cx="8255" cy="8890"/>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-1619250</wp:posOffset>
            </wp:positionV>
            <wp:extent cx="8255" cy="825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-1602105</wp:posOffset>
            </wp:positionV>
            <wp:extent cx="8255" cy="825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-1585595</wp:posOffset>
            </wp:positionV>
            <wp:extent cx="8255" cy="2603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-1670685</wp:posOffset>
            </wp:positionV>
            <wp:extent cx="8890" cy="825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-1653540</wp:posOffset>
            </wp:positionV>
            <wp:extent cx="8890" cy="825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-1636395</wp:posOffset>
            </wp:positionV>
            <wp:extent cx="8890" cy="8890"/>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-1619250</wp:posOffset>
            </wp:positionV>
            <wp:extent cx="8890" cy="825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-1602105</wp:posOffset>
            </wp:positionV>
            <wp:extent cx="8890" cy="825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-1585595</wp:posOffset>
            </wp:positionV>
            <wp:extent cx="8890" cy="2603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-1670685</wp:posOffset>
            </wp:positionV>
            <wp:extent cx="8255" cy="825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-1653540</wp:posOffset>
            </wp:positionV>
            <wp:extent cx="8255" cy="825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-1636395</wp:posOffset>
            </wp:positionV>
            <wp:extent cx="8255" cy="8890"/>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-1619250</wp:posOffset>
            </wp:positionV>
            <wp:extent cx="8255" cy="825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-1602105</wp:posOffset>
            </wp:positionV>
            <wp:extent cx="8255" cy="825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-1585595</wp:posOffset>
            </wp:positionV>
            <wp:extent cx="8255" cy="2603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-1670685</wp:posOffset>
            </wp:positionV>
            <wp:extent cx="8890" cy="825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-1653540</wp:posOffset>
            </wp:positionV>
            <wp:extent cx="8890" cy="825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-1636395</wp:posOffset>
            </wp:positionV>
            <wp:extent cx="8890" cy="8890"/>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-1619250</wp:posOffset>
            </wp:positionV>
            <wp:extent cx="8890"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-1602105</wp:posOffset>
            </wp:positionV>
            <wp:extent cx="8890" cy="825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-1585595</wp:posOffset>
            </wp:positionV>
            <wp:extent cx="8890" cy="26035"/>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-1790700</wp:posOffset>
            </wp:positionV>
            <wp:extent cx="8255" cy="825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-1773555</wp:posOffset>
            </wp:positionV>
            <wp:extent cx="8255" cy="825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-1756410</wp:posOffset>
            </wp:positionV>
            <wp:extent cx="8255"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-1739265</wp:posOffset>
            </wp:positionV>
            <wp:extent cx="8255" cy="825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-1722120</wp:posOffset>
            </wp:positionV>
            <wp:extent cx="8255" cy="8890"/>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-1704975</wp:posOffset>
            </wp:positionV>
            <wp:extent cx="8255" cy="25400"/>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-1790700</wp:posOffset>
            </wp:positionV>
            <wp:extent cx="8255" cy="825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-1773555</wp:posOffset>
            </wp:positionV>
            <wp:extent cx="8255" cy="825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-1756410</wp:posOffset>
            </wp:positionV>
            <wp:extent cx="8255"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-1739265</wp:posOffset>
            </wp:positionV>
            <wp:extent cx="8255" cy="825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-1722120</wp:posOffset>
            </wp:positionV>
            <wp:extent cx="8255" cy="8890"/>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-1704975</wp:posOffset>
            </wp:positionV>
            <wp:extent cx="8255" cy="25400"/>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-1790700</wp:posOffset>
            </wp:positionV>
            <wp:extent cx="8890" cy="825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-1773555</wp:posOffset>
            </wp:positionV>
            <wp:extent cx="8890"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-1756410</wp:posOffset>
            </wp:positionV>
            <wp:extent cx="8890" cy="825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-1739265</wp:posOffset>
            </wp:positionV>
            <wp:extent cx="8890" cy="825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-1722120</wp:posOffset>
            </wp:positionV>
            <wp:extent cx="8890" cy="8890"/>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-1704975</wp:posOffset>
            </wp:positionV>
            <wp:extent cx="8890" cy="25400"/>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-1790700</wp:posOffset>
            </wp:positionV>
            <wp:extent cx="8255"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-1773555</wp:posOffset>
            </wp:positionV>
            <wp:extent cx="8255" cy="825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-1756410</wp:posOffset>
            </wp:positionV>
            <wp:extent cx="8255" cy="825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-1739265</wp:posOffset>
            </wp:positionV>
            <wp:extent cx="8255" cy="825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-1722120</wp:posOffset>
            </wp:positionV>
            <wp:extent cx="8255" cy="8890"/>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-1704975</wp:posOffset>
            </wp:positionV>
            <wp:extent cx="8255" cy="25400"/>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-1790700</wp:posOffset>
            </wp:positionV>
            <wp:extent cx="8890" cy="825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-1773555</wp:posOffset>
            </wp:positionV>
            <wp:extent cx="8890" cy="825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-1756410</wp:posOffset>
            </wp:positionV>
            <wp:extent cx="8890" cy="825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-1739265</wp:posOffset>
            </wp:positionV>
            <wp:extent cx="8890" cy="825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-1722120</wp:posOffset>
            </wp:positionV>
            <wp:extent cx="8890" cy="8890"/>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-1704975</wp:posOffset>
            </wp:positionV>
            <wp:extent cx="8890" cy="25400"/>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-1936750</wp:posOffset>
            </wp:positionV>
            <wp:extent cx="8255" cy="1714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-1910715</wp:posOffset>
            </wp:positionV>
            <wp:extent cx="8255" cy="825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-1893570</wp:posOffset>
            </wp:positionV>
            <wp:extent cx="8255" cy="8890"/>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-1876425</wp:posOffset>
            </wp:positionV>
            <wp:extent cx="8255"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-1859280</wp:posOffset>
            </wp:positionV>
            <wp:extent cx="8255"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-1842135</wp:posOffset>
            </wp:positionV>
            <wp:extent cx="8255" cy="825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-1824990</wp:posOffset>
            </wp:positionV>
            <wp:extent cx="8255" cy="2603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-1936750</wp:posOffset>
            </wp:positionV>
            <wp:extent cx="8255" cy="1714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-1910715</wp:posOffset>
            </wp:positionV>
            <wp:extent cx="8255"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-1893570</wp:posOffset>
            </wp:positionV>
            <wp:extent cx="8255" cy="8890"/>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-1876425</wp:posOffset>
            </wp:positionV>
            <wp:extent cx="8255" cy="825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-1859280</wp:posOffset>
            </wp:positionV>
            <wp:extent cx="8255" cy="825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-1842135</wp:posOffset>
            </wp:positionV>
            <wp:extent cx="8255"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-1824990</wp:posOffset>
            </wp:positionV>
            <wp:extent cx="8255" cy="2603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-1936750</wp:posOffset>
            </wp:positionV>
            <wp:extent cx="8890" cy="1714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-1910715</wp:posOffset>
            </wp:positionV>
            <wp:extent cx="8890" cy="825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-1893570</wp:posOffset>
            </wp:positionV>
            <wp:extent cx="8890" cy="8890"/>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-1876425</wp:posOffset>
            </wp:positionV>
            <wp:extent cx="8890"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-1859280</wp:posOffset>
            </wp:positionV>
            <wp:extent cx="8890"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-1842135</wp:posOffset>
            </wp:positionV>
            <wp:extent cx="8890"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-1824990</wp:posOffset>
            </wp:positionV>
            <wp:extent cx="8890" cy="2603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-1936750</wp:posOffset>
            </wp:positionV>
            <wp:extent cx="8255" cy="1714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-1910715</wp:posOffset>
            </wp:positionV>
            <wp:extent cx="8255"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-1893570</wp:posOffset>
            </wp:positionV>
            <wp:extent cx="8255" cy="8890"/>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-1876425</wp:posOffset>
            </wp:positionV>
            <wp:extent cx="8255"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-1859280</wp:posOffset>
            </wp:positionV>
            <wp:extent cx="8255"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-1842135</wp:posOffset>
            </wp:positionV>
            <wp:extent cx="8255" cy="825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-1824990</wp:posOffset>
            </wp:positionV>
            <wp:extent cx="8255" cy="2603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-1936750</wp:posOffset>
            </wp:positionV>
            <wp:extent cx="8890" cy="1714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-1910715</wp:posOffset>
            </wp:positionV>
            <wp:extent cx="8890" cy="825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-1893570</wp:posOffset>
            </wp:positionV>
            <wp:extent cx="8890" cy="8890"/>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-1876425</wp:posOffset>
            </wp:positionV>
            <wp:extent cx="8890" cy="825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-1859280</wp:posOffset>
            </wp:positionV>
            <wp:extent cx="8890"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-1842135</wp:posOffset>
            </wp:positionV>
            <wp:extent cx="8890" cy="825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-1824990</wp:posOffset>
            </wp:positionV>
            <wp:extent cx="8890" cy="2603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-2065020</wp:posOffset>
            </wp:positionV>
            <wp:extent cx="8255" cy="1714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-2039620</wp:posOffset>
            </wp:positionV>
            <wp:extent cx="8255" cy="825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-2022475</wp:posOffset>
            </wp:positionV>
            <wp:extent cx="8255" cy="8890"/>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-2005330</wp:posOffset>
            </wp:positionV>
            <wp:extent cx="8255" cy="825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-1988185</wp:posOffset>
            </wp:positionV>
            <wp:extent cx="8255" cy="825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-1971040</wp:posOffset>
            </wp:positionV>
            <wp:extent cx="8255" cy="825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-1953895</wp:posOffset>
            </wp:positionV>
            <wp:extent cx="8255" cy="825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-2065020</wp:posOffset>
            </wp:positionV>
            <wp:extent cx="8255" cy="1714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-2039620</wp:posOffset>
            </wp:positionV>
            <wp:extent cx="8255" cy="825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-2022475</wp:posOffset>
            </wp:positionV>
            <wp:extent cx="8255" cy="8890"/>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-2005330</wp:posOffset>
            </wp:positionV>
            <wp:extent cx="8255" cy="825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-1988185</wp:posOffset>
            </wp:positionV>
            <wp:extent cx="8255" cy="825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-1971040</wp:posOffset>
            </wp:positionV>
            <wp:extent cx="8255" cy="825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-1953895</wp:posOffset>
            </wp:positionV>
            <wp:extent cx="8255" cy="825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-2065020</wp:posOffset>
            </wp:positionV>
            <wp:extent cx="8890" cy="17145"/>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-2039620</wp:posOffset>
            </wp:positionV>
            <wp:extent cx="8890"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-2022475</wp:posOffset>
            </wp:positionV>
            <wp:extent cx="8890" cy="8890"/>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-2005330</wp:posOffset>
            </wp:positionV>
            <wp:extent cx="8890" cy="825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-1988185</wp:posOffset>
            </wp:positionV>
            <wp:extent cx="8890" cy="825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-1971040</wp:posOffset>
            </wp:positionV>
            <wp:extent cx="8890" cy="825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-1953895</wp:posOffset>
            </wp:positionV>
            <wp:extent cx="8890"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-2065020</wp:posOffset>
            </wp:positionV>
            <wp:extent cx="8255" cy="1714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-2039620</wp:posOffset>
            </wp:positionV>
            <wp:extent cx="8255"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-2022475</wp:posOffset>
            </wp:positionV>
            <wp:extent cx="8255" cy="8890"/>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-2005330</wp:posOffset>
            </wp:positionV>
            <wp:extent cx="8255" cy="825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-1988185</wp:posOffset>
            </wp:positionV>
            <wp:extent cx="8255" cy="825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-1971040</wp:posOffset>
            </wp:positionV>
            <wp:extent cx="8255" cy="825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-1953895</wp:posOffset>
            </wp:positionV>
            <wp:extent cx="8255"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-2065020</wp:posOffset>
            </wp:positionV>
            <wp:extent cx="8890" cy="1714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-2039620</wp:posOffset>
            </wp:positionV>
            <wp:extent cx="8890" cy="8255"/>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-2022475</wp:posOffset>
            </wp:positionV>
            <wp:extent cx="8890" cy="8890"/>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-2005330</wp:posOffset>
            </wp:positionV>
            <wp:extent cx="8890" cy="825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-1988185</wp:posOffset>
            </wp:positionV>
            <wp:extent cx="8890"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-1971040</wp:posOffset>
            </wp:positionV>
            <wp:extent cx="8890" cy="825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-1953895</wp:posOffset>
            </wp:positionV>
            <wp:extent cx="8890" cy="8255"/>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79"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parent company and consolidation adjustments.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consolidated results of operations of Con Edison and its businesses.</w:t>
      </w:r>
    </w:p>
    <w:p>
      <w:pPr>
        <w:spacing w:after="0" w:line="1" w:lineRule="exact"/>
        <w:rPr>
          <w:rFonts w:ascii="Arial" w:cs="Arial" w:eastAsia="Arial" w:hAnsi="Arial"/>
          <w:sz w:val="14"/>
          <w:szCs w:val="14"/>
          <w:color w:val="auto"/>
        </w:rPr>
      </w:pPr>
    </w:p>
    <w:p>
      <w:pPr>
        <w:ind w:left="340" w:right="580" w:hanging="332"/>
        <w:spacing w:after="0" w:line="258" w:lineRule="auto"/>
        <w:tabs>
          <w:tab w:leader="none" w:pos="332"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the six months ended June 30, 2021, Con Edison Transmission recorded pre-tax impairment losses of $211 million ($147 million, after-tax) on its investment in Stagecoach. See “Investments” in Note A to the Second Quarter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8C8272"/>
        </w:rPr>
        <w:t>CECONY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3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For the Six Months Ended</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For the Six Months Ended</w:t>
            </w: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80" w:type="dxa"/>
            <w:vAlign w:val="bottom"/>
            <w:tcBorders>
              <w:bottom w:val="single" w:sz="8" w:color="8C8272"/>
            </w:tcBorders>
          </w:tcPr>
          <w:p>
            <w:pPr>
              <w:spacing w:after="0"/>
              <w:rPr>
                <w:sz w:val="15"/>
                <w:szCs w:val="15"/>
                <w:color w:val="auto"/>
              </w:rPr>
            </w:pPr>
          </w:p>
        </w:tc>
        <w:tc>
          <w:tcPr>
            <w:tcW w:w="840" w:type="dxa"/>
            <w:vAlign w:val="bottom"/>
            <w:tcBorders>
              <w:bottom w:val="single" w:sz="8" w:color="8C8272"/>
            </w:tcBorders>
          </w:tcPr>
          <w:p>
            <w:pPr>
              <w:spacing w:after="0"/>
              <w:rPr>
                <w:sz w:val="15"/>
                <w:szCs w:val="15"/>
                <w:color w:val="auto"/>
              </w:rPr>
            </w:pPr>
          </w:p>
        </w:tc>
        <w:tc>
          <w:tcPr>
            <w:tcW w:w="1480" w:type="dxa"/>
            <w:vAlign w:val="bottom"/>
            <w:tcBorders>
              <w:bottom w:val="single" w:sz="8" w:color="8C8272"/>
            </w:tcBorders>
          </w:tcPr>
          <w:p>
            <w:pPr>
              <w:jc w:val="right"/>
              <w:ind w:right="448"/>
              <w:spacing w:after="0"/>
              <w:rPr>
                <w:sz w:val="20"/>
                <w:szCs w:val="20"/>
                <w:color w:val="auto"/>
              </w:rPr>
            </w:pPr>
            <w:r>
              <w:rPr>
                <w:rFonts w:ascii="Arial" w:cs="Arial" w:eastAsia="Arial" w:hAnsi="Arial"/>
                <w:sz w:val="14"/>
                <w:szCs w:val="14"/>
                <w:b w:val="1"/>
                <w:bCs w:val="1"/>
                <w:color w:val="auto"/>
              </w:rPr>
              <w:t>June 30, 2021</w:t>
            </w:r>
          </w:p>
        </w:tc>
        <w:tc>
          <w:tcPr>
            <w:tcW w:w="680" w:type="dxa"/>
            <w:vAlign w:val="bottom"/>
            <w:tcBorders>
              <w:bottom w:val="single" w:sz="8" w:color="8C8272"/>
            </w:tcBorders>
          </w:tcPr>
          <w:p>
            <w:pPr>
              <w:spacing w:after="0"/>
              <w:rPr>
                <w:sz w:val="15"/>
                <w:szCs w:val="15"/>
                <w:color w:val="auto"/>
              </w:rPr>
            </w:pPr>
          </w:p>
        </w:tc>
        <w:tc>
          <w:tcPr>
            <w:tcW w:w="1080" w:type="dxa"/>
            <w:vAlign w:val="bottom"/>
            <w:tcBorders>
              <w:bottom w:val="single" w:sz="8" w:color="8C8272"/>
            </w:tcBorders>
          </w:tcPr>
          <w:p>
            <w:pPr>
              <w:spacing w:after="0"/>
              <w:rPr>
                <w:sz w:val="15"/>
                <w:szCs w:val="15"/>
                <w:color w:val="auto"/>
              </w:rPr>
            </w:pPr>
          </w:p>
        </w:tc>
        <w:tc>
          <w:tcPr>
            <w:tcW w:w="800" w:type="dxa"/>
            <w:vAlign w:val="bottom"/>
            <w:tcBorders>
              <w:bottom w:val="single" w:sz="8" w:color="8C8272"/>
            </w:tcBorders>
          </w:tcPr>
          <w:p>
            <w:pPr>
              <w:spacing w:after="0"/>
              <w:rPr>
                <w:sz w:val="15"/>
                <w:szCs w:val="15"/>
                <w:color w:val="auto"/>
              </w:rPr>
            </w:pPr>
          </w:p>
        </w:tc>
        <w:tc>
          <w:tcPr>
            <w:tcW w:w="1500" w:type="dxa"/>
            <w:vAlign w:val="bottom"/>
            <w:tcBorders>
              <w:bottom w:val="single" w:sz="8" w:color="8C8272"/>
            </w:tcBorders>
          </w:tcPr>
          <w:p>
            <w:pPr>
              <w:jc w:val="right"/>
              <w:ind w:right="448"/>
              <w:spacing w:after="0"/>
              <w:rPr>
                <w:sz w:val="20"/>
                <w:szCs w:val="20"/>
                <w:color w:val="auto"/>
              </w:rPr>
            </w:pPr>
            <w:r>
              <w:rPr>
                <w:rFonts w:ascii="Arial" w:cs="Arial" w:eastAsia="Arial" w:hAnsi="Arial"/>
                <w:sz w:val="14"/>
                <w:szCs w:val="14"/>
                <w:b w:val="1"/>
                <w:bCs w:val="1"/>
                <w:color w:val="auto"/>
              </w:rPr>
              <w:t>June 30, 2020</w:t>
            </w:r>
          </w:p>
        </w:tc>
        <w:tc>
          <w:tcPr>
            <w:tcW w:w="700" w:type="dxa"/>
            <w:vAlign w:val="bottom"/>
            <w:tcBorders>
              <w:bottom w:val="single" w:sz="8" w:color="8C8272"/>
            </w:tcBorders>
          </w:tcPr>
          <w:p>
            <w:pPr>
              <w:spacing w:after="0"/>
              <w:rPr>
                <w:sz w:val="15"/>
                <w:szCs w:val="15"/>
                <w:color w:val="auto"/>
              </w:rPr>
            </w:pPr>
          </w:p>
        </w:tc>
        <w:tc>
          <w:tcPr>
            <w:tcW w:w="1000" w:type="dxa"/>
            <w:vAlign w:val="bottom"/>
            <w:tcBorders>
              <w:bottom w:val="single" w:sz="8" w:color="8C8272"/>
            </w:tcBorders>
          </w:tcPr>
          <w:p>
            <w:pPr>
              <w:spacing w:after="0"/>
              <w:rPr>
                <w:sz w:val="15"/>
                <w:szCs w:val="15"/>
                <w:color w:val="auto"/>
              </w:rPr>
            </w:pPr>
          </w:p>
        </w:tc>
        <w:tc>
          <w:tcPr>
            <w:tcW w:w="880" w:type="dxa"/>
            <w:vAlign w:val="bottom"/>
            <w:tcBorders>
              <w:bottom w:val="single" w:sz="8" w:color="8C8272"/>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Electric</w:t>
            </w:r>
          </w:p>
        </w:tc>
        <w:tc>
          <w:tcPr>
            <w:tcW w:w="14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Gas</w:t>
            </w: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Steam</w:t>
            </w: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2021 Total</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Electric</w:t>
            </w:r>
          </w:p>
        </w:tc>
        <w:tc>
          <w:tcPr>
            <w:tcW w:w="15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Gas</w:t>
            </w: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Steam</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2020 Total</w:t>
            </w: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2021-2020</w:t>
            </w:r>
          </w:p>
        </w:tc>
        <w:tc>
          <w:tcPr>
            <w:tcW w:w="0" w:type="dxa"/>
            <w:vAlign w:val="bottom"/>
          </w:tcPr>
          <w:p>
            <w:pPr>
              <w:spacing w:after="0"/>
              <w:rPr>
                <w:sz w:val="1"/>
                <w:szCs w:val="1"/>
                <w:color w:val="auto"/>
              </w:rPr>
            </w:pPr>
          </w:p>
        </w:tc>
      </w:tr>
      <w:tr>
        <w:trPr>
          <w:trHeight w:val="176"/>
        </w:trPr>
        <w:tc>
          <w:tcPr>
            <w:tcW w:w="2280" w:type="dxa"/>
            <w:vAlign w:val="bottom"/>
            <w:tcBorders>
              <w:bottom w:val="single" w:sz="8" w:color="8C8272"/>
            </w:tcBorders>
            <w:vMerge w:val="continue"/>
          </w:tcPr>
          <w:p>
            <w:pPr>
              <w:spacing w:after="0"/>
              <w:rPr>
                <w:sz w:val="15"/>
                <w:szCs w:val="15"/>
                <w:color w:val="auto"/>
              </w:rPr>
            </w:pPr>
          </w:p>
        </w:tc>
        <w:tc>
          <w:tcPr>
            <w:tcW w:w="840" w:type="dxa"/>
            <w:vAlign w:val="bottom"/>
            <w:tcBorders>
              <w:bottom w:val="single" w:sz="8" w:color="8C8272"/>
            </w:tcBorders>
            <w:vMerge w:val="continue"/>
          </w:tcPr>
          <w:p>
            <w:pPr>
              <w:spacing w:after="0"/>
              <w:rPr>
                <w:sz w:val="15"/>
                <w:szCs w:val="15"/>
                <w:color w:val="auto"/>
              </w:rPr>
            </w:pPr>
          </w:p>
        </w:tc>
        <w:tc>
          <w:tcPr>
            <w:tcW w:w="1480" w:type="dxa"/>
            <w:vAlign w:val="bottom"/>
            <w:tcBorders>
              <w:bottom w:val="single" w:sz="8" w:color="8C8272"/>
            </w:tcBorders>
            <w:vMerge w:val="continue"/>
          </w:tcPr>
          <w:p>
            <w:pPr>
              <w:spacing w:after="0"/>
              <w:rPr>
                <w:sz w:val="15"/>
                <w:szCs w:val="15"/>
                <w:color w:val="auto"/>
              </w:rPr>
            </w:pPr>
          </w:p>
        </w:tc>
        <w:tc>
          <w:tcPr>
            <w:tcW w:w="680" w:type="dxa"/>
            <w:vAlign w:val="bottom"/>
            <w:tcBorders>
              <w:bottom w:val="single" w:sz="8" w:color="8C8272"/>
            </w:tcBorders>
            <w:vMerge w:val="continue"/>
          </w:tcPr>
          <w:p>
            <w:pPr>
              <w:spacing w:after="0"/>
              <w:rPr>
                <w:sz w:val="15"/>
                <w:szCs w:val="15"/>
                <w:color w:val="auto"/>
              </w:rPr>
            </w:pPr>
          </w:p>
        </w:tc>
        <w:tc>
          <w:tcPr>
            <w:tcW w:w="1080" w:type="dxa"/>
            <w:vAlign w:val="bottom"/>
            <w:tcBorders>
              <w:bottom w:val="single" w:sz="8" w:color="8C8272"/>
            </w:tcBorders>
            <w:vMerge w:val="continue"/>
          </w:tcPr>
          <w:p>
            <w:pPr>
              <w:spacing w:after="0"/>
              <w:rPr>
                <w:sz w:val="15"/>
                <w:szCs w:val="15"/>
                <w:color w:val="auto"/>
              </w:rPr>
            </w:pPr>
          </w:p>
        </w:tc>
        <w:tc>
          <w:tcPr>
            <w:tcW w:w="800" w:type="dxa"/>
            <w:vAlign w:val="bottom"/>
            <w:tcBorders>
              <w:bottom w:val="single" w:sz="8" w:color="8C8272"/>
            </w:tcBorders>
            <w:vMerge w:val="continue"/>
          </w:tcPr>
          <w:p>
            <w:pPr>
              <w:spacing w:after="0"/>
              <w:rPr>
                <w:sz w:val="15"/>
                <w:szCs w:val="15"/>
                <w:color w:val="auto"/>
              </w:rPr>
            </w:pPr>
          </w:p>
        </w:tc>
        <w:tc>
          <w:tcPr>
            <w:tcW w:w="1500" w:type="dxa"/>
            <w:vAlign w:val="bottom"/>
            <w:tcBorders>
              <w:bottom w:val="single" w:sz="8" w:color="8C8272"/>
            </w:tcBorders>
            <w:vMerge w:val="continue"/>
          </w:tcPr>
          <w:p>
            <w:pPr>
              <w:spacing w:after="0"/>
              <w:rPr>
                <w:sz w:val="15"/>
                <w:szCs w:val="15"/>
                <w:color w:val="auto"/>
              </w:rPr>
            </w:pPr>
          </w:p>
        </w:tc>
        <w:tc>
          <w:tcPr>
            <w:tcW w:w="700" w:type="dxa"/>
            <w:vAlign w:val="bottom"/>
            <w:tcBorders>
              <w:bottom w:val="single" w:sz="8" w:color="8C8272"/>
            </w:tcBorders>
            <w:vMerge w:val="continue"/>
          </w:tcPr>
          <w:p>
            <w:pPr>
              <w:spacing w:after="0"/>
              <w:rPr>
                <w:sz w:val="15"/>
                <w:szCs w:val="15"/>
                <w:color w:val="auto"/>
              </w:rPr>
            </w:pPr>
          </w:p>
        </w:tc>
        <w:tc>
          <w:tcPr>
            <w:tcW w:w="1000" w:type="dxa"/>
            <w:vAlign w:val="bottom"/>
            <w:tcBorders>
              <w:bottom w:val="single" w:sz="8" w:color="8C8272"/>
            </w:tcBorders>
            <w:vMerge w:val="continue"/>
          </w:tcPr>
          <w:p>
            <w:pPr>
              <w:spacing w:after="0"/>
              <w:rPr>
                <w:sz w:val="15"/>
                <w:szCs w:val="15"/>
                <w:color w:val="auto"/>
              </w:rPr>
            </w:pPr>
          </w:p>
        </w:tc>
        <w:tc>
          <w:tcPr>
            <w:tcW w:w="8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83"/>
        </w:trPr>
        <w:tc>
          <w:tcPr>
            <w:tcW w:w="228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revenues</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$3,931</w:t>
            </w:r>
          </w:p>
        </w:tc>
        <w:tc>
          <w:tcPr>
            <w:tcW w:w="1480" w:type="dxa"/>
            <w:vAlign w:val="bottom"/>
            <w:shd w:val="clear" w:color="auto" w:fill="E5E5E5"/>
          </w:tcPr>
          <w:p>
            <w:pPr>
              <w:jc w:val="right"/>
              <w:ind w:right="428"/>
              <w:spacing w:after="0"/>
              <w:rPr>
                <w:sz w:val="20"/>
                <w:szCs w:val="20"/>
                <w:color w:val="auto"/>
              </w:rPr>
            </w:pPr>
            <w:r>
              <w:rPr>
                <w:rFonts w:ascii="Arial" w:cs="Arial" w:eastAsia="Arial" w:hAnsi="Arial"/>
                <w:sz w:val="14"/>
                <w:szCs w:val="14"/>
                <w:color w:val="auto"/>
              </w:rPr>
              <w:t>$1,423</w:t>
            </w:r>
          </w:p>
        </w:tc>
        <w:tc>
          <w:tcPr>
            <w:tcW w:w="68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$338</w:t>
            </w:r>
          </w:p>
        </w:tc>
        <w:tc>
          <w:tcPr>
            <w:tcW w:w="10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$5,692</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$3,616</w:t>
            </w:r>
          </w:p>
        </w:tc>
        <w:tc>
          <w:tcPr>
            <w:tcW w:w="1500" w:type="dxa"/>
            <w:vAlign w:val="bottom"/>
            <w:shd w:val="clear" w:color="auto" w:fill="E5E5E5"/>
          </w:tcPr>
          <w:p>
            <w:pPr>
              <w:jc w:val="right"/>
              <w:ind w:right="408"/>
              <w:spacing w:after="0"/>
              <w:rPr>
                <w:sz w:val="20"/>
                <w:szCs w:val="20"/>
                <w:color w:val="auto"/>
              </w:rPr>
            </w:pPr>
            <w:r>
              <w:rPr>
                <w:rFonts w:ascii="Arial" w:cs="Arial" w:eastAsia="Arial" w:hAnsi="Arial"/>
                <w:sz w:val="14"/>
                <w:szCs w:val="14"/>
                <w:color w:val="auto"/>
              </w:rPr>
              <w:t>$1,250</w:t>
            </w:r>
          </w:p>
        </w:tc>
        <w:tc>
          <w:tcPr>
            <w:tcW w:w="7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$334</w:t>
            </w:r>
          </w:p>
        </w:tc>
        <w:tc>
          <w:tcPr>
            <w:tcW w:w="10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$5,200</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89"/>
        </w:trPr>
        <w:tc>
          <w:tcPr>
            <w:tcW w:w="2280" w:type="dxa"/>
            <w:vAlign w:val="bottom"/>
          </w:tcPr>
          <w:p>
            <w:pPr>
              <w:ind w:left="20"/>
              <w:spacing w:after="0"/>
              <w:rPr>
                <w:sz w:val="20"/>
                <w:szCs w:val="20"/>
                <w:color w:val="auto"/>
              </w:rPr>
            </w:pPr>
            <w:r>
              <w:rPr>
                <w:rFonts w:ascii="Arial" w:cs="Arial" w:eastAsia="Arial" w:hAnsi="Arial"/>
                <w:sz w:val="14"/>
                <w:szCs w:val="14"/>
                <w:color w:val="auto"/>
              </w:rPr>
              <w:t>Purchased power</w:t>
            </w:r>
          </w:p>
        </w:tc>
        <w:tc>
          <w:tcPr>
            <w:tcW w:w="840" w:type="dxa"/>
            <w:vAlign w:val="bottom"/>
          </w:tcPr>
          <w:p>
            <w:pPr>
              <w:jc w:val="right"/>
              <w:spacing w:after="0"/>
              <w:rPr>
                <w:sz w:val="20"/>
                <w:szCs w:val="20"/>
                <w:color w:val="auto"/>
              </w:rPr>
            </w:pPr>
            <w:r>
              <w:rPr>
                <w:rFonts w:ascii="Arial" w:cs="Arial" w:eastAsia="Arial" w:hAnsi="Arial"/>
                <w:sz w:val="14"/>
                <w:szCs w:val="14"/>
                <w:color w:val="auto"/>
              </w:rPr>
              <w:t>795</w:t>
            </w:r>
          </w:p>
        </w:tc>
        <w:tc>
          <w:tcPr>
            <w:tcW w:w="148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813</w:t>
            </w:r>
          </w:p>
        </w:tc>
        <w:tc>
          <w:tcPr>
            <w:tcW w:w="800" w:type="dxa"/>
            <w:vAlign w:val="bottom"/>
          </w:tcPr>
          <w:p>
            <w:pPr>
              <w:jc w:val="right"/>
              <w:spacing w:after="0"/>
              <w:rPr>
                <w:sz w:val="20"/>
                <w:szCs w:val="20"/>
                <w:color w:val="auto"/>
              </w:rPr>
            </w:pPr>
            <w:r>
              <w:rPr>
                <w:rFonts w:ascii="Arial" w:cs="Arial" w:eastAsia="Arial" w:hAnsi="Arial"/>
                <w:sz w:val="14"/>
                <w:szCs w:val="14"/>
                <w:color w:val="auto"/>
              </w:rPr>
              <w:t>604</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618</w:t>
            </w:r>
          </w:p>
        </w:tc>
        <w:tc>
          <w:tcPr>
            <w:tcW w:w="880" w:type="dxa"/>
            <w:vAlign w:val="bottom"/>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89"/>
        </w:trPr>
        <w:tc>
          <w:tcPr>
            <w:tcW w:w="2280" w:type="dxa"/>
            <w:vAlign w:val="bottom"/>
            <w:shd w:val="clear" w:color="auto" w:fill="E5E5E5"/>
          </w:tcPr>
          <w:p>
            <w:pPr>
              <w:ind w:left="20"/>
              <w:spacing w:after="0"/>
              <w:rPr>
                <w:sz w:val="20"/>
                <w:szCs w:val="20"/>
                <w:color w:val="auto"/>
              </w:rPr>
            </w:pPr>
            <w:r>
              <w:rPr>
                <w:rFonts w:ascii="Arial" w:cs="Arial" w:eastAsia="Arial" w:hAnsi="Arial"/>
                <w:sz w:val="14"/>
                <w:szCs w:val="14"/>
                <w:color w:val="auto"/>
              </w:rPr>
              <w:t>Fuel</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69</w:t>
            </w:r>
          </w:p>
        </w:tc>
        <w:tc>
          <w:tcPr>
            <w:tcW w:w="1480" w:type="dxa"/>
            <w:vAlign w:val="bottom"/>
            <w:shd w:val="clear" w:color="auto" w:fill="E5E5E5"/>
          </w:tcPr>
          <w:p>
            <w:pPr>
              <w:jc w:val="right"/>
              <w:ind w:right="468"/>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53</w:t>
            </w:r>
          </w:p>
        </w:tc>
        <w:tc>
          <w:tcPr>
            <w:tcW w:w="10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122</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38</w:t>
            </w:r>
          </w:p>
        </w:tc>
        <w:tc>
          <w:tcPr>
            <w:tcW w:w="1500" w:type="dxa"/>
            <w:vAlign w:val="bottom"/>
            <w:shd w:val="clear" w:color="auto" w:fill="E5E5E5"/>
          </w:tcPr>
          <w:p>
            <w:pPr>
              <w:jc w:val="right"/>
              <w:ind w:right="468"/>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63</w:t>
            </w:r>
          </w:p>
        </w:tc>
        <w:tc>
          <w:tcPr>
            <w:tcW w:w="10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101</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2280" w:type="dxa"/>
            <w:vAlign w:val="bottom"/>
          </w:tcPr>
          <w:p>
            <w:pPr>
              <w:ind w:left="20"/>
              <w:spacing w:after="0"/>
              <w:rPr>
                <w:sz w:val="20"/>
                <w:szCs w:val="20"/>
                <w:color w:val="auto"/>
              </w:rPr>
            </w:pPr>
            <w:r>
              <w:rPr>
                <w:rFonts w:ascii="Arial" w:cs="Arial" w:eastAsia="Arial" w:hAnsi="Arial"/>
                <w:sz w:val="14"/>
                <w:szCs w:val="14"/>
                <w:color w:val="auto"/>
              </w:rPr>
              <w:t>Gas purchased for resale</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28"/>
              <w:spacing w:after="0"/>
              <w:rPr>
                <w:sz w:val="20"/>
                <w:szCs w:val="20"/>
                <w:color w:val="auto"/>
              </w:rPr>
            </w:pPr>
            <w:r>
              <w:rPr>
                <w:rFonts w:ascii="Arial" w:cs="Arial" w:eastAsia="Arial" w:hAnsi="Arial"/>
                <w:sz w:val="14"/>
                <w:szCs w:val="14"/>
                <w:color w:val="auto"/>
              </w:rPr>
              <w:t>296</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296</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08"/>
              <w:spacing w:after="0"/>
              <w:rPr>
                <w:sz w:val="20"/>
                <w:szCs w:val="20"/>
                <w:color w:val="auto"/>
              </w:rPr>
            </w:pPr>
            <w:r>
              <w:rPr>
                <w:rFonts w:ascii="Arial" w:cs="Arial" w:eastAsia="Arial" w:hAnsi="Arial"/>
                <w:sz w:val="14"/>
                <w:szCs w:val="14"/>
                <w:color w:val="auto"/>
              </w:rPr>
              <w:t>260</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260</w:t>
            </w:r>
          </w:p>
        </w:tc>
        <w:tc>
          <w:tcPr>
            <w:tcW w:w="88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53"/>
        </w:trPr>
        <w:tc>
          <w:tcPr>
            <w:tcW w:w="2280" w:type="dxa"/>
            <w:vAlign w:val="bottom"/>
            <w:shd w:val="clear" w:color="auto" w:fill="E5E5E5"/>
          </w:tcPr>
          <w:p>
            <w:pPr>
              <w:ind w:left="20"/>
              <w:spacing w:after="0" w:line="153" w:lineRule="exact"/>
              <w:rPr>
                <w:sz w:val="20"/>
                <w:szCs w:val="20"/>
                <w:color w:val="auto"/>
              </w:rPr>
            </w:pPr>
            <w:r>
              <w:rPr>
                <w:rFonts w:ascii="Arial" w:cs="Arial" w:eastAsia="Arial" w:hAnsi="Arial"/>
                <w:sz w:val="14"/>
                <w:szCs w:val="14"/>
                <w:color w:val="auto"/>
              </w:rPr>
              <w:t>Other operations and</w:t>
            </w:r>
          </w:p>
        </w:tc>
        <w:tc>
          <w:tcPr>
            <w:tcW w:w="84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934</w:t>
            </w:r>
          </w:p>
        </w:tc>
        <w:tc>
          <w:tcPr>
            <w:tcW w:w="1480" w:type="dxa"/>
            <w:vAlign w:val="bottom"/>
            <w:vMerge w:val="restart"/>
            <w:shd w:val="clear" w:color="auto" w:fill="E5E5E5"/>
          </w:tcPr>
          <w:p>
            <w:pPr>
              <w:jc w:val="right"/>
              <w:ind w:right="428"/>
              <w:spacing w:after="0"/>
              <w:rPr>
                <w:sz w:val="20"/>
                <w:szCs w:val="20"/>
                <w:color w:val="auto"/>
              </w:rPr>
            </w:pPr>
            <w:r>
              <w:rPr>
                <w:rFonts w:ascii="Arial" w:cs="Arial" w:eastAsia="Arial" w:hAnsi="Arial"/>
                <w:sz w:val="14"/>
                <w:szCs w:val="14"/>
                <w:color w:val="auto"/>
              </w:rPr>
              <w:t>184</w:t>
            </w:r>
          </w:p>
        </w:tc>
        <w:tc>
          <w:tcPr>
            <w:tcW w:w="680" w:type="dxa"/>
            <w:vAlign w:val="bottom"/>
            <w:vMerge w:val="restart"/>
            <w:shd w:val="clear" w:color="auto" w:fill="E5E5E5"/>
          </w:tcPr>
          <w:p>
            <w:pPr>
              <w:jc w:val="right"/>
              <w:ind w:right="68"/>
              <w:spacing w:after="0"/>
              <w:rPr>
                <w:sz w:val="20"/>
                <w:szCs w:val="20"/>
                <w:color w:val="auto"/>
              </w:rPr>
            </w:pPr>
            <w:r>
              <w:rPr>
                <w:rFonts w:ascii="Arial" w:cs="Arial" w:eastAsia="Arial" w:hAnsi="Arial"/>
                <w:sz w:val="14"/>
                <w:szCs w:val="14"/>
                <w:color w:val="auto"/>
              </w:rPr>
              <w:t>80</w:t>
            </w:r>
          </w:p>
        </w:tc>
        <w:tc>
          <w:tcPr>
            <w:tcW w:w="1080" w:type="dxa"/>
            <w:vAlign w:val="bottom"/>
            <w:vMerge w:val="restart"/>
            <w:shd w:val="clear" w:color="auto" w:fill="E5E5E5"/>
          </w:tcPr>
          <w:p>
            <w:pPr>
              <w:jc w:val="right"/>
              <w:ind w:right="188"/>
              <w:spacing w:after="0"/>
              <w:rPr>
                <w:sz w:val="20"/>
                <w:szCs w:val="20"/>
                <w:color w:val="auto"/>
              </w:rPr>
            </w:pPr>
            <w:r>
              <w:rPr>
                <w:rFonts w:ascii="Arial" w:cs="Arial" w:eastAsia="Arial" w:hAnsi="Arial"/>
                <w:sz w:val="14"/>
                <w:szCs w:val="14"/>
                <w:color w:val="auto"/>
              </w:rPr>
              <w:t>1,198</w:t>
            </w:r>
          </w:p>
        </w:tc>
        <w:tc>
          <w:tcPr>
            <w:tcW w:w="80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853</w:t>
            </w:r>
          </w:p>
        </w:tc>
        <w:tc>
          <w:tcPr>
            <w:tcW w:w="1500" w:type="dxa"/>
            <w:vAlign w:val="bottom"/>
            <w:vMerge w:val="restart"/>
            <w:shd w:val="clear" w:color="auto" w:fill="E5E5E5"/>
          </w:tcPr>
          <w:p>
            <w:pPr>
              <w:jc w:val="right"/>
              <w:ind w:right="408"/>
              <w:spacing w:after="0"/>
              <w:rPr>
                <w:sz w:val="20"/>
                <w:szCs w:val="20"/>
                <w:color w:val="auto"/>
              </w:rPr>
            </w:pPr>
            <w:r>
              <w:rPr>
                <w:rFonts w:ascii="Arial" w:cs="Arial" w:eastAsia="Arial" w:hAnsi="Arial"/>
                <w:sz w:val="14"/>
                <w:szCs w:val="14"/>
                <w:color w:val="auto"/>
              </w:rPr>
              <w:t>182</w:t>
            </w:r>
          </w:p>
        </w:tc>
        <w:tc>
          <w:tcPr>
            <w:tcW w:w="700" w:type="dxa"/>
            <w:vAlign w:val="bottom"/>
            <w:vMerge w:val="restart"/>
            <w:shd w:val="clear" w:color="auto" w:fill="E5E5E5"/>
          </w:tcPr>
          <w:p>
            <w:pPr>
              <w:jc w:val="right"/>
              <w:ind w:right="68"/>
              <w:spacing w:after="0"/>
              <w:rPr>
                <w:sz w:val="20"/>
                <w:szCs w:val="20"/>
                <w:color w:val="auto"/>
              </w:rPr>
            </w:pPr>
            <w:r>
              <w:rPr>
                <w:rFonts w:ascii="Arial" w:cs="Arial" w:eastAsia="Arial" w:hAnsi="Arial"/>
                <w:sz w:val="14"/>
                <w:szCs w:val="14"/>
                <w:color w:val="auto"/>
              </w:rPr>
              <w:t>82</w:t>
            </w:r>
          </w:p>
        </w:tc>
        <w:tc>
          <w:tcPr>
            <w:tcW w:w="1000" w:type="dxa"/>
            <w:vAlign w:val="bottom"/>
            <w:vMerge w:val="restart"/>
            <w:shd w:val="clear" w:color="auto" w:fill="E5E5E5"/>
          </w:tcPr>
          <w:p>
            <w:pPr>
              <w:jc w:val="right"/>
              <w:ind w:right="108"/>
              <w:spacing w:after="0"/>
              <w:rPr>
                <w:sz w:val="20"/>
                <w:szCs w:val="20"/>
                <w:color w:val="auto"/>
              </w:rPr>
            </w:pPr>
            <w:r>
              <w:rPr>
                <w:rFonts w:ascii="Arial" w:cs="Arial" w:eastAsia="Arial" w:hAnsi="Arial"/>
                <w:sz w:val="14"/>
                <w:szCs w:val="14"/>
                <w:color w:val="auto"/>
              </w:rPr>
              <w:t>1,117</w:t>
            </w: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71"/>
        </w:trPr>
        <w:tc>
          <w:tcPr>
            <w:tcW w:w="2280" w:type="dxa"/>
            <w:vAlign w:val="bottom"/>
            <w:shd w:val="clear" w:color="auto" w:fill="E5E5E5"/>
          </w:tcPr>
          <w:p>
            <w:pPr>
              <w:ind w:left="20"/>
              <w:spacing w:after="0"/>
              <w:rPr>
                <w:sz w:val="20"/>
                <w:szCs w:val="20"/>
                <w:color w:val="auto"/>
              </w:rPr>
            </w:pPr>
            <w:r>
              <w:rPr>
                <w:rFonts w:ascii="Arial" w:cs="Arial" w:eastAsia="Arial" w:hAnsi="Arial"/>
                <w:sz w:val="14"/>
                <w:szCs w:val="14"/>
                <w:color w:val="auto"/>
              </w:rPr>
              <w:t>maintenance</w:t>
            </w:r>
          </w:p>
        </w:tc>
        <w:tc>
          <w:tcPr>
            <w:tcW w:w="840" w:type="dxa"/>
            <w:vAlign w:val="bottom"/>
            <w:vMerge w:val="continue"/>
            <w:shd w:val="clear" w:color="auto" w:fill="E5E5E5"/>
          </w:tcPr>
          <w:p>
            <w:pPr>
              <w:spacing w:after="0"/>
              <w:rPr>
                <w:sz w:val="14"/>
                <w:szCs w:val="14"/>
                <w:color w:val="auto"/>
              </w:rPr>
            </w:pPr>
          </w:p>
        </w:tc>
        <w:tc>
          <w:tcPr>
            <w:tcW w:w="1480" w:type="dxa"/>
            <w:vAlign w:val="bottom"/>
            <w:vMerge w:val="continue"/>
            <w:shd w:val="clear" w:color="auto" w:fill="E5E5E5"/>
          </w:tcPr>
          <w:p>
            <w:pPr>
              <w:spacing w:after="0"/>
              <w:rPr>
                <w:sz w:val="14"/>
                <w:szCs w:val="14"/>
                <w:color w:val="auto"/>
              </w:rPr>
            </w:pPr>
          </w:p>
        </w:tc>
        <w:tc>
          <w:tcPr>
            <w:tcW w:w="680" w:type="dxa"/>
            <w:vAlign w:val="bottom"/>
            <w:vMerge w:val="continue"/>
            <w:shd w:val="clear" w:color="auto" w:fill="E5E5E5"/>
          </w:tcPr>
          <w:p>
            <w:pPr>
              <w:spacing w:after="0"/>
              <w:rPr>
                <w:sz w:val="14"/>
                <w:szCs w:val="14"/>
                <w:color w:val="auto"/>
              </w:rPr>
            </w:pPr>
          </w:p>
        </w:tc>
        <w:tc>
          <w:tcPr>
            <w:tcW w:w="1080" w:type="dxa"/>
            <w:vAlign w:val="bottom"/>
            <w:vMerge w:val="continue"/>
            <w:shd w:val="clear" w:color="auto" w:fill="E5E5E5"/>
          </w:tcPr>
          <w:p>
            <w:pPr>
              <w:spacing w:after="0"/>
              <w:rPr>
                <w:sz w:val="14"/>
                <w:szCs w:val="14"/>
                <w:color w:val="auto"/>
              </w:rPr>
            </w:pPr>
          </w:p>
        </w:tc>
        <w:tc>
          <w:tcPr>
            <w:tcW w:w="800" w:type="dxa"/>
            <w:vAlign w:val="bottom"/>
            <w:vMerge w:val="continue"/>
            <w:shd w:val="clear" w:color="auto" w:fill="E5E5E5"/>
          </w:tcPr>
          <w:p>
            <w:pPr>
              <w:spacing w:after="0"/>
              <w:rPr>
                <w:sz w:val="14"/>
                <w:szCs w:val="14"/>
                <w:color w:val="auto"/>
              </w:rPr>
            </w:pPr>
          </w:p>
        </w:tc>
        <w:tc>
          <w:tcPr>
            <w:tcW w:w="1500" w:type="dxa"/>
            <w:vAlign w:val="bottom"/>
            <w:vMerge w:val="continue"/>
            <w:shd w:val="clear" w:color="auto" w:fill="E5E5E5"/>
          </w:tcPr>
          <w:p>
            <w:pPr>
              <w:spacing w:after="0"/>
              <w:rPr>
                <w:sz w:val="14"/>
                <w:szCs w:val="14"/>
                <w:color w:val="auto"/>
              </w:rPr>
            </w:pPr>
          </w:p>
        </w:tc>
        <w:tc>
          <w:tcPr>
            <w:tcW w:w="700" w:type="dxa"/>
            <w:vAlign w:val="bottom"/>
            <w:vMerge w:val="continue"/>
            <w:shd w:val="clear" w:color="auto" w:fill="E5E5E5"/>
          </w:tcPr>
          <w:p>
            <w:pPr>
              <w:spacing w:after="0"/>
              <w:rPr>
                <w:sz w:val="14"/>
                <w:szCs w:val="14"/>
                <w:color w:val="auto"/>
              </w:rPr>
            </w:pPr>
          </w:p>
        </w:tc>
        <w:tc>
          <w:tcPr>
            <w:tcW w:w="1000" w:type="dxa"/>
            <w:vAlign w:val="bottom"/>
            <w:vMerge w:val="continue"/>
            <w:shd w:val="clear" w:color="auto" w:fill="E5E5E5"/>
          </w:tcPr>
          <w:p>
            <w:pPr>
              <w:spacing w:after="0"/>
              <w:rPr>
                <w:sz w:val="14"/>
                <w:szCs w:val="14"/>
                <w:color w:val="auto"/>
              </w:rPr>
            </w:pPr>
          </w:p>
        </w:tc>
        <w:tc>
          <w:tcPr>
            <w:tcW w:w="880" w:type="dxa"/>
            <w:vAlign w:val="bottom"/>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jc w:val="right"/>
              <w:spacing w:after="0"/>
              <w:rPr>
                <w:sz w:val="20"/>
                <w:szCs w:val="20"/>
                <w:color w:val="auto"/>
              </w:rPr>
            </w:pPr>
            <w:r>
              <w:rPr>
                <w:rFonts w:ascii="Arial" w:cs="Arial" w:eastAsia="Arial" w:hAnsi="Arial"/>
                <w:sz w:val="14"/>
                <w:szCs w:val="14"/>
                <w:color w:val="auto"/>
              </w:rPr>
              <w:t>635</w:t>
            </w:r>
          </w:p>
        </w:tc>
        <w:tc>
          <w:tcPr>
            <w:tcW w:w="1480" w:type="dxa"/>
            <w:vAlign w:val="bottom"/>
          </w:tcPr>
          <w:p>
            <w:pPr>
              <w:jc w:val="right"/>
              <w:ind w:right="428"/>
              <w:spacing w:after="0"/>
              <w:rPr>
                <w:sz w:val="20"/>
                <w:szCs w:val="20"/>
                <w:color w:val="auto"/>
              </w:rPr>
            </w:pPr>
            <w:r>
              <w:rPr>
                <w:rFonts w:ascii="Arial" w:cs="Arial" w:eastAsia="Arial" w:hAnsi="Arial"/>
                <w:sz w:val="14"/>
                <w:szCs w:val="14"/>
                <w:color w:val="auto"/>
              </w:rPr>
              <w:t>157</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838</w:t>
            </w:r>
          </w:p>
        </w:tc>
        <w:tc>
          <w:tcPr>
            <w:tcW w:w="800" w:type="dxa"/>
            <w:vAlign w:val="bottom"/>
          </w:tcPr>
          <w:p>
            <w:pPr>
              <w:jc w:val="right"/>
              <w:spacing w:after="0"/>
              <w:rPr>
                <w:sz w:val="20"/>
                <w:szCs w:val="20"/>
                <w:color w:val="auto"/>
              </w:rPr>
            </w:pPr>
            <w:r>
              <w:rPr>
                <w:rFonts w:ascii="Arial" w:cs="Arial" w:eastAsia="Arial" w:hAnsi="Arial"/>
                <w:sz w:val="14"/>
                <w:szCs w:val="14"/>
                <w:color w:val="auto"/>
              </w:rPr>
              <w:t>598</w:t>
            </w:r>
          </w:p>
        </w:tc>
        <w:tc>
          <w:tcPr>
            <w:tcW w:w="1500" w:type="dxa"/>
            <w:vAlign w:val="bottom"/>
          </w:tcPr>
          <w:p>
            <w:pPr>
              <w:jc w:val="right"/>
              <w:ind w:right="408"/>
              <w:spacing w:after="0"/>
              <w:rPr>
                <w:sz w:val="20"/>
                <w:szCs w:val="20"/>
                <w:color w:val="auto"/>
              </w:rPr>
            </w:pPr>
            <w:r>
              <w:rPr>
                <w:rFonts w:ascii="Arial" w:cs="Arial" w:eastAsia="Arial" w:hAnsi="Arial"/>
                <w:sz w:val="14"/>
                <w:szCs w:val="14"/>
                <w:color w:val="auto"/>
              </w:rPr>
              <w:t>143</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786</w:t>
            </w:r>
          </w:p>
        </w:tc>
        <w:tc>
          <w:tcPr>
            <w:tcW w:w="8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9"/>
        </w:trPr>
        <w:tc>
          <w:tcPr>
            <w:tcW w:w="228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Taxes, other than income taxes</w:t>
            </w:r>
          </w:p>
        </w:tc>
        <w:tc>
          <w:tcPr>
            <w:tcW w:w="8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997</w:t>
            </w:r>
          </w:p>
        </w:tc>
        <w:tc>
          <w:tcPr>
            <w:tcW w:w="1480" w:type="dxa"/>
            <w:vAlign w:val="bottom"/>
            <w:tcBorders>
              <w:bottom w:val="single" w:sz="8" w:color="8C8272"/>
            </w:tcBorders>
            <w:shd w:val="clear" w:color="auto" w:fill="E5E5E5"/>
          </w:tcPr>
          <w:p>
            <w:pPr>
              <w:jc w:val="right"/>
              <w:ind w:right="428"/>
              <w:spacing w:after="0"/>
              <w:rPr>
                <w:sz w:val="20"/>
                <w:szCs w:val="20"/>
                <w:color w:val="auto"/>
              </w:rPr>
            </w:pPr>
            <w:r>
              <w:rPr>
                <w:rFonts w:ascii="Arial" w:cs="Arial" w:eastAsia="Arial" w:hAnsi="Arial"/>
                <w:sz w:val="14"/>
                <w:szCs w:val="14"/>
                <w:color w:val="auto"/>
              </w:rPr>
              <w:t>248</w:t>
            </w:r>
          </w:p>
        </w:tc>
        <w:tc>
          <w:tcPr>
            <w:tcW w:w="68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72</w:t>
            </w:r>
          </w:p>
        </w:tc>
        <w:tc>
          <w:tcPr>
            <w:tcW w:w="1080" w:type="dxa"/>
            <w:vAlign w:val="bottom"/>
            <w:tcBorders>
              <w:bottom w:val="single" w:sz="8" w:color="8C8272"/>
            </w:tcBorders>
            <w:shd w:val="clear" w:color="auto" w:fill="E5E5E5"/>
          </w:tcPr>
          <w:p>
            <w:pPr>
              <w:jc w:val="right"/>
              <w:ind w:right="188"/>
              <w:spacing w:after="0"/>
              <w:rPr>
                <w:sz w:val="20"/>
                <w:szCs w:val="20"/>
                <w:color w:val="auto"/>
              </w:rPr>
            </w:pPr>
            <w:r>
              <w:rPr>
                <w:rFonts w:ascii="Arial" w:cs="Arial" w:eastAsia="Arial" w:hAnsi="Arial"/>
                <w:sz w:val="14"/>
                <w:szCs w:val="14"/>
                <w:color w:val="auto"/>
              </w:rPr>
              <w:t>1,317</w:t>
            </w:r>
          </w:p>
        </w:tc>
        <w:tc>
          <w:tcPr>
            <w:tcW w:w="8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923</w:t>
            </w:r>
          </w:p>
        </w:tc>
        <w:tc>
          <w:tcPr>
            <w:tcW w:w="1500" w:type="dxa"/>
            <w:vAlign w:val="bottom"/>
            <w:tcBorders>
              <w:bottom w:val="single" w:sz="8" w:color="8C8272"/>
            </w:tcBorders>
            <w:shd w:val="clear" w:color="auto" w:fill="E5E5E5"/>
          </w:tcPr>
          <w:p>
            <w:pPr>
              <w:jc w:val="right"/>
              <w:ind w:right="408"/>
              <w:spacing w:after="0"/>
              <w:rPr>
                <w:sz w:val="20"/>
                <w:szCs w:val="20"/>
                <w:color w:val="auto"/>
              </w:rPr>
            </w:pPr>
            <w:r>
              <w:rPr>
                <w:rFonts w:ascii="Arial" w:cs="Arial" w:eastAsia="Arial" w:hAnsi="Arial"/>
                <w:sz w:val="14"/>
                <w:szCs w:val="14"/>
                <w:color w:val="auto"/>
              </w:rPr>
              <w:t>191</w:t>
            </w:r>
          </w:p>
        </w:tc>
        <w:tc>
          <w:tcPr>
            <w:tcW w:w="70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72</w:t>
            </w:r>
          </w:p>
        </w:tc>
        <w:tc>
          <w:tcPr>
            <w:tcW w:w="1000" w:type="dxa"/>
            <w:vAlign w:val="bottom"/>
            <w:tcBorders>
              <w:bottom w:val="single" w:sz="8" w:color="8C8272"/>
            </w:tcBorders>
            <w:shd w:val="clear" w:color="auto" w:fill="E5E5E5"/>
          </w:tcPr>
          <w:p>
            <w:pPr>
              <w:jc w:val="right"/>
              <w:ind w:right="108"/>
              <w:spacing w:after="0"/>
              <w:rPr>
                <w:sz w:val="20"/>
                <w:szCs w:val="20"/>
                <w:color w:val="auto"/>
              </w:rPr>
            </w:pPr>
            <w:r>
              <w:rPr>
                <w:rFonts w:ascii="Arial" w:cs="Arial" w:eastAsia="Arial" w:hAnsi="Arial"/>
                <w:sz w:val="14"/>
                <w:szCs w:val="14"/>
                <w:color w:val="auto"/>
              </w:rPr>
              <w:t>1,186</w:t>
            </w:r>
          </w:p>
        </w:tc>
        <w:tc>
          <w:tcPr>
            <w:tcW w:w="8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83"/>
        </w:trPr>
        <w:tc>
          <w:tcPr>
            <w:tcW w:w="2280" w:type="dxa"/>
            <w:vAlign w:val="bottom"/>
            <w:tcBorders>
              <w:bottom w:val="single" w:sz="8" w:color="8C8272"/>
            </w:tcBorders>
          </w:tcPr>
          <w:p>
            <w:pPr>
              <w:ind w:left="140"/>
              <w:spacing w:after="0"/>
              <w:rPr>
                <w:sz w:val="20"/>
                <w:szCs w:val="20"/>
                <w:color w:val="auto"/>
              </w:rPr>
            </w:pPr>
            <w:r>
              <w:rPr>
                <w:rFonts w:ascii="Arial" w:cs="Arial" w:eastAsia="Arial" w:hAnsi="Arial"/>
                <w:sz w:val="14"/>
                <w:szCs w:val="14"/>
                <w:b w:val="1"/>
                <w:bCs w:val="1"/>
                <w:color w:val="auto"/>
              </w:rPr>
              <w:t>Operating income</w:t>
            </w:r>
          </w:p>
        </w:tc>
        <w:tc>
          <w:tcPr>
            <w:tcW w:w="8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$501</w:t>
            </w:r>
          </w:p>
        </w:tc>
        <w:tc>
          <w:tcPr>
            <w:tcW w:w="1480" w:type="dxa"/>
            <w:vAlign w:val="bottom"/>
            <w:tcBorders>
              <w:bottom w:val="single" w:sz="8" w:color="8C8272"/>
            </w:tcBorders>
          </w:tcPr>
          <w:p>
            <w:pPr>
              <w:jc w:val="right"/>
              <w:ind w:right="428"/>
              <w:spacing w:after="0"/>
              <w:rPr>
                <w:sz w:val="20"/>
                <w:szCs w:val="20"/>
                <w:color w:val="auto"/>
              </w:rPr>
            </w:pPr>
            <w:r>
              <w:rPr>
                <w:rFonts w:ascii="Arial" w:cs="Arial" w:eastAsia="Arial" w:hAnsi="Arial"/>
                <w:sz w:val="14"/>
                <w:szCs w:val="14"/>
                <w:b w:val="1"/>
                <w:bCs w:val="1"/>
                <w:color w:val="auto"/>
              </w:rPr>
              <w:t>$538</w:t>
            </w:r>
          </w:p>
        </w:tc>
        <w:tc>
          <w:tcPr>
            <w:tcW w:w="68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$69</w:t>
            </w:r>
          </w:p>
        </w:tc>
        <w:tc>
          <w:tcPr>
            <w:tcW w:w="1080" w:type="dxa"/>
            <w:vAlign w:val="bottom"/>
            <w:tcBorders>
              <w:bottom w:val="single" w:sz="8" w:color="8C8272"/>
            </w:tcBorders>
          </w:tcPr>
          <w:p>
            <w:pPr>
              <w:jc w:val="right"/>
              <w:ind w:right="188"/>
              <w:spacing w:after="0"/>
              <w:rPr>
                <w:sz w:val="20"/>
                <w:szCs w:val="20"/>
                <w:color w:val="auto"/>
              </w:rPr>
            </w:pPr>
            <w:r>
              <w:rPr>
                <w:rFonts w:ascii="Arial" w:cs="Arial" w:eastAsia="Arial" w:hAnsi="Arial"/>
                <w:sz w:val="14"/>
                <w:szCs w:val="14"/>
                <w:b w:val="1"/>
                <w:bCs w:val="1"/>
                <w:color w:val="auto"/>
              </w:rPr>
              <w:t>$1,108</w:t>
            </w:r>
          </w:p>
        </w:tc>
        <w:tc>
          <w:tcPr>
            <w:tcW w:w="8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$600</w:t>
            </w:r>
          </w:p>
        </w:tc>
        <w:tc>
          <w:tcPr>
            <w:tcW w:w="1500" w:type="dxa"/>
            <w:vAlign w:val="bottom"/>
            <w:tcBorders>
              <w:bottom w:val="single" w:sz="8" w:color="8C8272"/>
            </w:tcBorders>
          </w:tcPr>
          <w:p>
            <w:pPr>
              <w:jc w:val="right"/>
              <w:ind w:right="408"/>
              <w:spacing w:after="0"/>
              <w:rPr>
                <w:sz w:val="20"/>
                <w:szCs w:val="20"/>
                <w:color w:val="auto"/>
              </w:rPr>
            </w:pPr>
            <w:r>
              <w:rPr>
                <w:rFonts w:ascii="Arial" w:cs="Arial" w:eastAsia="Arial" w:hAnsi="Arial"/>
                <w:sz w:val="14"/>
                <w:szCs w:val="14"/>
                <w:b w:val="1"/>
                <w:bCs w:val="1"/>
                <w:color w:val="auto"/>
              </w:rPr>
              <w:t>$474</w:t>
            </w:r>
          </w:p>
        </w:tc>
        <w:tc>
          <w:tcPr>
            <w:tcW w:w="70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$58</w:t>
            </w:r>
          </w:p>
        </w:tc>
        <w:tc>
          <w:tcPr>
            <w:tcW w:w="100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b w:val="1"/>
                <w:bCs w:val="1"/>
                <w:color w:val="auto"/>
              </w:rPr>
              <w:t>$1,132</w:t>
            </w:r>
          </w:p>
        </w:tc>
        <w:tc>
          <w:tcPr>
            <w:tcW w:w="8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CECONY’s results of electric operations for the six months ended June 30, 2021 compared with the 2020 period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Borders>
              <w:bottom w:val="single" w:sz="8" w:color="8C8272"/>
            </w:tcBorders>
          </w:tcPr>
          <w:p>
            <w:pPr>
              <w:spacing w:after="0"/>
              <w:rPr>
                <w:sz w:val="16"/>
                <w:szCs w:val="16"/>
                <w:color w:val="auto"/>
              </w:rPr>
            </w:pPr>
          </w:p>
        </w:tc>
        <w:tc>
          <w:tcPr>
            <w:tcW w:w="5360" w:type="dxa"/>
            <w:vAlign w:val="bottom"/>
            <w:tcBorders>
              <w:bottom w:val="single" w:sz="8" w:color="8C8272"/>
            </w:tcBorders>
            <w:gridSpan w:val="2"/>
          </w:tcPr>
          <w:p>
            <w:pPr>
              <w:jc w:val="right"/>
              <w:ind w:right="868"/>
              <w:spacing w:after="0"/>
              <w:rPr>
                <w:sz w:val="20"/>
                <w:szCs w:val="20"/>
                <w:color w:val="auto"/>
              </w:rPr>
            </w:pPr>
            <w:r>
              <w:rPr>
                <w:rFonts w:ascii="Arial" w:cs="Arial" w:eastAsia="Arial" w:hAnsi="Arial"/>
                <w:sz w:val="14"/>
                <w:szCs w:val="14"/>
                <w:b w:val="1"/>
                <w:bCs w:val="1"/>
                <w:color w:val="auto"/>
              </w:rPr>
              <w:t>For the Six Months Ended</w:t>
            </w:r>
          </w:p>
        </w:tc>
        <w:tc>
          <w:tcPr>
            <w:tcW w:w="1040" w:type="dxa"/>
            <w:vAlign w:val="bottom"/>
            <w:tcBorders>
              <w:bottom w:val="single" w:sz="8" w:color="8C8272"/>
            </w:tcBorders>
          </w:tcPr>
          <w:p>
            <w:pPr>
              <w:spacing w:after="0"/>
              <w:rPr>
                <w:sz w:val="16"/>
                <w:szCs w:val="16"/>
                <w:color w:val="auto"/>
              </w:rPr>
            </w:pPr>
          </w:p>
        </w:tc>
      </w:tr>
      <w:tr>
        <w:trPr>
          <w:trHeight w:val="183"/>
        </w:trPr>
        <w:tc>
          <w:tcPr>
            <w:tcW w:w="484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76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June 30, 2021</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June 30, 2020</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r>
      <w:tr>
        <w:trPr>
          <w:trHeight w:val="182"/>
        </w:trPr>
        <w:tc>
          <w:tcPr>
            <w:tcW w:w="484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revenues</w:t>
            </w:r>
          </w:p>
        </w:tc>
        <w:tc>
          <w:tcPr>
            <w:tcW w:w="37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$3,931</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$3,616</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$315</w:t>
            </w:r>
          </w:p>
        </w:tc>
      </w:tr>
      <w:tr>
        <w:trPr>
          <w:trHeight w:val="189"/>
        </w:trPr>
        <w:tc>
          <w:tcPr>
            <w:tcW w:w="4840" w:type="dxa"/>
            <w:vAlign w:val="bottom"/>
          </w:tcPr>
          <w:p>
            <w:pPr>
              <w:ind w:left="20"/>
              <w:spacing w:after="0"/>
              <w:rPr>
                <w:sz w:val="20"/>
                <w:szCs w:val="20"/>
                <w:color w:val="auto"/>
              </w:rPr>
            </w:pPr>
            <w:r>
              <w:rPr>
                <w:rFonts w:ascii="Arial" w:cs="Arial" w:eastAsia="Arial" w:hAnsi="Arial"/>
                <w:sz w:val="14"/>
                <w:szCs w:val="14"/>
                <w:color w:val="auto"/>
              </w:rPr>
              <w:t>Purchased power</w:t>
            </w:r>
          </w:p>
        </w:tc>
        <w:tc>
          <w:tcPr>
            <w:tcW w:w="3760" w:type="dxa"/>
            <w:vAlign w:val="bottom"/>
          </w:tcPr>
          <w:p>
            <w:pPr>
              <w:jc w:val="right"/>
              <w:ind w:right="168"/>
              <w:spacing w:after="0"/>
              <w:rPr>
                <w:sz w:val="20"/>
                <w:szCs w:val="20"/>
                <w:color w:val="auto"/>
              </w:rPr>
            </w:pPr>
            <w:r>
              <w:rPr>
                <w:rFonts w:ascii="Arial" w:cs="Arial" w:eastAsia="Arial" w:hAnsi="Arial"/>
                <w:sz w:val="14"/>
                <w:szCs w:val="14"/>
                <w:color w:val="auto"/>
              </w:rPr>
              <w:t>795</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604</w:t>
            </w:r>
          </w:p>
        </w:tc>
        <w:tc>
          <w:tcPr>
            <w:tcW w:w="1040" w:type="dxa"/>
            <w:vAlign w:val="bottom"/>
          </w:tcPr>
          <w:p>
            <w:pPr>
              <w:jc w:val="right"/>
              <w:spacing w:after="0"/>
              <w:rPr>
                <w:sz w:val="20"/>
                <w:szCs w:val="20"/>
                <w:color w:val="auto"/>
              </w:rPr>
            </w:pPr>
            <w:r>
              <w:rPr>
                <w:rFonts w:ascii="Arial" w:cs="Arial" w:eastAsia="Arial" w:hAnsi="Arial"/>
                <w:sz w:val="14"/>
                <w:szCs w:val="14"/>
                <w:color w:val="auto"/>
              </w:rPr>
              <w:t>191</w:t>
            </w:r>
          </w:p>
        </w:tc>
      </w:tr>
      <w:tr>
        <w:trPr>
          <w:trHeight w:val="189"/>
        </w:trPr>
        <w:tc>
          <w:tcPr>
            <w:tcW w:w="4840" w:type="dxa"/>
            <w:vAlign w:val="bottom"/>
            <w:shd w:val="clear" w:color="auto" w:fill="E5E5E5"/>
          </w:tcPr>
          <w:p>
            <w:pPr>
              <w:ind w:left="20"/>
              <w:spacing w:after="0"/>
              <w:rPr>
                <w:sz w:val="20"/>
                <w:szCs w:val="20"/>
                <w:color w:val="auto"/>
              </w:rPr>
            </w:pPr>
            <w:r>
              <w:rPr>
                <w:rFonts w:ascii="Arial" w:cs="Arial" w:eastAsia="Arial" w:hAnsi="Arial"/>
                <w:sz w:val="14"/>
                <w:szCs w:val="14"/>
                <w:color w:val="auto"/>
              </w:rPr>
              <w:t>Fuel</w:t>
            </w:r>
          </w:p>
        </w:tc>
        <w:tc>
          <w:tcPr>
            <w:tcW w:w="37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69</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38</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31</w:t>
            </w:r>
          </w:p>
        </w:tc>
      </w:tr>
      <w:tr>
        <w:trPr>
          <w:trHeight w:val="189"/>
        </w:trPr>
        <w:tc>
          <w:tcPr>
            <w:tcW w:w="4840" w:type="dxa"/>
            <w:vAlign w:val="bottom"/>
          </w:tcPr>
          <w:p>
            <w:pPr>
              <w:ind w:left="20"/>
              <w:spacing w:after="0"/>
              <w:rPr>
                <w:sz w:val="20"/>
                <w:szCs w:val="20"/>
                <w:color w:val="auto"/>
              </w:rPr>
            </w:pPr>
            <w:r>
              <w:rPr>
                <w:rFonts w:ascii="Arial" w:cs="Arial" w:eastAsia="Arial" w:hAnsi="Arial"/>
                <w:sz w:val="14"/>
                <w:szCs w:val="14"/>
                <w:color w:val="auto"/>
              </w:rPr>
              <w:t>Other operations and maintenance</w:t>
            </w:r>
          </w:p>
        </w:tc>
        <w:tc>
          <w:tcPr>
            <w:tcW w:w="3760" w:type="dxa"/>
            <w:vAlign w:val="bottom"/>
          </w:tcPr>
          <w:p>
            <w:pPr>
              <w:jc w:val="right"/>
              <w:ind w:right="168"/>
              <w:spacing w:after="0"/>
              <w:rPr>
                <w:sz w:val="20"/>
                <w:szCs w:val="20"/>
                <w:color w:val="auto"/>
              </w:rPr>
            </w:pPr>
            <w:r>
              <w:rPr>
                <w:rFonts w:ascii="Arial" w:cs="Arial" w:eastAsia="Arial" w:hAnsi="Arial"/>
                <w:sz w:val="14"/>
                <w:szCs w:val="14"/>
                <w:color w:val="auto"/>
              </w:rPr>
              <w:t>934</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853</w:t>
            </w:r>
          </w:p>
        </w:tc>
        <w:tc>
          <w:tcPr>
            <w:tcW w:w="104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89"/>
        </w:trPr>
        <w:tc>
          <w:tcPr>
            <w:tcW w:w="4840" w:type="dxa"/>
            <w:vAlign w:val="bottom"/>
            <w:shd w:val="clear" w:color="auto" w:fill="E5E5E5"/>
          </w:tcPr>
          <w:p>
            <w:pPr>
              <w:ind w:left="20"/>
              <w:spacing w:after="0"/>
              <w:rPr>
                <w:sz w:val="20"/>
                <w:szCs w:val="20"/>
                <w:color w:val="auto"/>
              </w:rPr>
            </w:pPr>
            <w:r>
              <w:rPr>
                <w:rFonts w:ascii="Arial" w:cs="Arial" w:eastAsia="Arial" w:hAnsi="Arial"/>
                <w:sz w:val="14"/>
                <w:szCs w:val="14"/>
                <w:color w:val="auto"/>
              </w:rPr>
              <w:t>Depreciation and amortization</w:t>
            </w:r>
          </w:p>
        </w:tc>
        <w:tc>
          <w:tcPr>
            <w:tcW w:w="37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635</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598</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37</w:t>
            </w:r>
          </w:p>
        </w:tc>
      </w:tr>
      <w:tr>
        <w:trPr>
          <w:trHeight w:val="189"/>
        </w:trPr>
        <w:tc>
          <w:tcPr>
            <w:tcW w:w="484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Taxes, other than income taxes</w:t>
            </w:r>
          </w:p>
        </w:tc>
        <w:tc>
          <w:tcPr>
            <w:tcW w:w="376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color w:val="auto"/>
              </w:rPr>
              <w:t>997</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color w:val="auto"/>
              </w:rPr>
              <w:t>923</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74</w:t>
            </w:r>
          </w:p>
        </w:tc>
      </w:tr>
      <w:tr>
        <w:trPr>
          <w:trHeight w:val="183"/>
        </w:trPr>
        <w:tc>
          <w:tcPr>
            <w:tcW w:w="484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b w:val="1"/>
                <w:bCs w:val="1"/>
                <w:color w:val="auto"/>
              </w:rPr>
              <w:t>Electric operating income</w:t>
            </w:r>
          </w:p>
        </w:tc>
        <w:tc>
          <w:tcPr>
            <w:tcW w:w="3760" w:type="dxa"/>
            <w:vAlign w:val="bottom"/>
            <w:tcBorders>
              <w:bottom w:val="single" w:sz="8" w:color="8C8272"/>
            </w:tcBorders>
            <w:shd w:val="clear" w:color="auto" w:fill="E5E5E5"/>
          </w:tcPr>
          <w:p>
            <w:pPr>
              <w:jc w:val="right"/>
              <w:ind w:right="168"/>
              <w:spacing w:after="0"/>
              <w:rPr>
                <w:sz w:val="20"/>
                <w:szCs w:val="20"/>
                <w:color w:val="auto"/>
              </w:rPr>
            </w:pPr>
            <w:r>
              <w:rPr>
                <w:rFonts w:ascii="Arial" w:cs="Arial" w:eastAsia="Arial" w:hAnsi="Arial"/>
                <w:sz w:val="14"/>
                <w:szCs w:val="14"/>
                <w:b w:val="1"/>
                <w:bCs w:val="1"/>
                <w:color w:val="auto"/>
              </w:rPr>
              <w:t>$501</w:t>
            </w:r>
          </w:p>
        </w:tc>
        <w:tc>
          <w:tcPr>
            <w:tcW w:w="1600" w:type="dxa"/>
            <w:vAlign w:val="bottom"/>
            <w:tcBorders>
              <w:bottom w:val="single" w:sz="8" w:color="8C8272"/>
            </w:tcBorders>
            <w:shd w:val="clear" w:color="auto" w:fill="E5E5E5"/>
          </w:tcPr>
          <w:p>
            <w:pPr>
              <w:jc w:val="right"/>
              <w:ind w:right="328"/>
              <w:spacing w:after="0"/>
              <w:rPr>
                <w:sz w:val="20"/>
                <w:szCs w:val="20"/>
                <w:color w:val="auto"/>
              </w:rPr>
            </w:pPr>
            <w:r>
              <w:rPr>
                <w:rFonts w:ascii="Arial" w:cs="Arial" w:eastAsia="Arial" w:hAnsi="Arial"/>
                <w:sz w:val="14"/>
                <w:szCs w:val="14"/>
                <w:b w:val="1"/>
                <w:bCs w:val="1"/>
                <w:color w:val="auto"/>
              </w:rPr>
              <w:t>$600</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$(99)</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CECONY’s electric sales and deliveries for the six months ended June 30, 2021 compared with the 2020 period were:</w:t>
      </w:r>
    </w:p>
    <w:p>
      <w:pPr>
        <w:sectPr>
          <w:pgSz w:w="11900" w:h="16838" w:orient="portrait"/>
          <w:cols w:equalWidth="0" w:num="1">
            <w:col w:w="11240"/>
          </w:cols>
          <w:pgMar w:left="320" w:top="940" w:right="339" w:bottom="1440" w:gutter="0" w:footer="0" w:header="0"/>
        </w:sectPr>
      </w:pP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00" w:type="dxa"/>
            <w:vAlign w:val="bottom"/>
            <w:tcBorders>
              <w:bottom w:val="single" w:sz="8" w:color="8C8272"/>
            </w:tcBorders>
          </w:tcPr>
          <w:p>
            <w:pPr>
              <w:spacing w:after="0"/>
              <w:rPr>
                <w:sz w:val="16"/>
                <w:szCs w:val="16"/>
                <w:color w:val="auto"/>
              </w:rPr>
            </w:pPr>
          </w:p>
        </w:tc>
        <w:tc>
          <w:tcPr>
            <w:tcW w:w="1180" w:type="dxa"/>
            <w:vAlign w:val="bottom"/>
            <w:tcBorders>
              <w:bottom w:val="single" w:sz="8" w:color="8C8272"/>
            </w:tcBorders>
          </w:tcPr>
          <w:p>
            <w:pPr>
              <w:spacing w:after="0"/>
              <w:rPr>
                <w:sz w:val="16"/>
                <w:szCs w:val="16"/>
                <w:color w:val="auto"/>
              </w:rPr>
            </w:pPr>
          </w:p>
        </w:tc>
        <w:tc>
          <w:tcPr>
            <w:tcW w:w="2180" w:type="dxa"/>
            <w:vAlign w:val="bottom"/>
            <w:tcBorders>
              <w:bottom w:val="single" w:sz="8" w:color="8C8272"/>
            </w:tcBorders>
            <w:gridSpan w:val="2"/>
          </w:tcPr>
          <w:p>
            <w:pPr>
              <w:jc w:val="right"/>
              <w:ind w:right="308"/>
              <w:spacing w:after="0"/>
              <w:rPr>
                <w:sz w:val="20"/>
                <w:szCs w:val="20"/>
                <w:color w:val="auto"/>
              </w:rPr>
            </w:pPr>
            <w:r>
              <w:rPr>
                <w:rFonts w:ascii="Arial" w:cs="Arial" w:eastAsia="Arial" w:hAnsi="Arial"/>
                <w:sz w:val="14"/>
                <w:szCs w:val="14"/>
                <w:b w:val="1"/>
                <w:bCs w:val="1"/>
                <w:color w:val="auto"/>
              </w:rPr>
              <w:t>Millions of kWh Delivered</w:t>
            </w:r>
          </w:p>
        </w:tc>
        <w:tc>
          <w:tcPr>
            <w:tcW w:w="940" w:type="dxa"/>
            <w:vAlign w:val="bottom"/>
            <w:tcBorders>
              <w:bottom w:val="single" w:sz="8" w:color="8C8272"/>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00" w:type="dxa"/>
            <w:vAlign w:val="bottom"/>
            <w:tcBorders>
              <w:bottom w:val="single" w:sz="8" w:color="8C8272"/>
            </w:tcBorders>
          </w:tcPr>
          <w:p>
            <w:pPr>
              <w:spacing w:after="0"/>
              <w:rPr>
                <w:sz w:val="19"/>
                <w:szCs w:val="19"/>
                <w:color w:val="auto"/>
              </w:rPr>
            </w:pPr>
          </w:p>
        </w:tc>
        <w:tc>
          <w:tcPr>
            <w:tcW w:w="2440" w:type="dxa"/>
            <w:vAlign w:val="bottom"/>
            <w:tcBorders>
              <w:bottom w:val="single" w:sz="8" w:color="8C8272"/>
            </w:tcBorders>
            <w:gridSpan w:val="2"/>
          </w:tcPr>
          <w:p>
            <w:pPr>
              <w:jc w:val="right"/>
              <w:ind w:right="328"/>
              <w:spacing w:after="0"/>
              <w:rPr>
                <w:sz w:val="20"/>
                <w:szCs w:val="20"/>
                <w:color w:val="auto"/>
              </w:rPr>
            </w:pPr>
            <w:r>
              <w:rPr>
                <w:rFonts w:ascii="Arial" w:cs="Arial" w:eastAsia="Arial" w:hAnsi="Arial"/>
                <w:sz w:val="14"/>
                <w:szCs w:val="14"/>
                <w:b w:val="1"/>
                <w:bCs w:val="1"/>
                <w:color w:val="auto"/>
              </w:rPr>
              <w:t>For the Six Months Ended</w:t>
            </w:r>
          </w:p>
        </w:tc>
        <w:tc>
          <w:tcPr>
            <w:tcW w:w="920" w:type="dxa"/>
            <w:vAlign w:val="bottom"/>
            <w:tcBorders>
              <w:bottom w:val="single" w:sz="8" w:color="8C8272"/>
            </w:tcBorders>
          </w:tcPr>
          <w:p>
            <w:pPr>
              <w:spacing w:after="0"/>
              <w:rPr>
                <w:sz w:val="19"/>
                <w:szCs w:val="19"/>
                <w:color w:val="auto"/>
              </w:rPr>
            </w:pPr>
          </w:p>
        </w:tc>
        <w:tc>
          <w:tcPr>
            <w:tcW w:w="940" w:type="dxa"/>
            <w:vAlign w:val="bottom"/>
            <w:tcBorders>
              <w:bottom w:val="single" w:sz="8" w:color="8C8272"/>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2021</w:t>
            </w: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June 30, 2020</w:t>
            </w: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Variation</w:t>
            </w:r>
          </w:p>
        </w:tc>
        <w:tc>
          <w:tcPr>
            <w:tcW w:w="9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5"/>
        </w:trPr>
        <w:tc>
          <w:tcPr>
            <w:tcW w:w="2100" w:type="dxa"/>
            <w:vAlign w:val="bottom"/>
            <w:tcBorders>
              <w:bottom w:val="single" w:sz="8" w:color="8C8272"/>
            </w:tcBorders>
            <w:vMerge w:val="continue"/>
          </w:tcPr>
          <w:p>
            <w:pPr>
              <w:spacing w:after="0"/>
              <w:rPr>
                <w:sz w:val="15"/>
                <w:szCs w:val="15"/>
                <w:color w:val="auto"/>
              </w:rPr>
            </w:pPr>
          </w:p>
        </w:tc>
        <w:tc>
          <w:tcPr>
            <w:tcW w:w="1180" w:type="dxa"/>
            <w:vAlign w:val="bottom"/>
            <w:tcBorders>
              <w:bottom w:val="single" w:sz="8" w:color="8C8272"/>
            </w:tcBorders>
            <w:vMerge w:val="continue"/>
          </w:tcPr>
          <w:p>
            <w:pPr>
              <w:spacing w:after="0"/>
              <w:rPr>
                <w:sz w:val="15"/>
                <w:szCs w:val="15"/>
                <w:color w:val="auto"/>
              </w:rPr>
            </w:pPr>
          </w:p>
        </w:tc>
        <w:tc>
          <w:tcPr>
            <w:tcW w:w="1260" w:type="dxa"/>
            <w:vAlign w:val="bottom"/>
            <w:tcBorders>
              <w:bottom w:val="single" w:sz="8" w:color="8C8272"/>
            </w:tcBorders>
            <w:vMerge w:val="continue"/>
          </w:tcPr>
          <w:p>
            <w:pPr>
              <w:spacing w:after="0"/>
              <w:rPr>
                <w:sz w:val="15"/>
                <w:szCs w:val="15"/>
                <w:color w:val="auto"/>
              </w:rPr>
            </w:pPr>
          </w:p>
        </w:tc>
        <w:tc>
          <w:tcPr>
            <w:tcW w:w="920" w:type="dxa"/>
            <w:vAlign w:val="bottom"/>
            <w:tcBorders>
              <w:bottom w:val="single" w:sz="8" w:color="8C8272"/>
            </w:tcBorders>
            <w:vMerge w:val="continue"/>
          </w:tcPr>
          <w:p>
            <w:pPr>
              <w:spacing w:after="0"/>
              <w:rPr>
                <w:sz w:val="15"/>
                <w:szCs w:val="15"/>
                <w:color w:val="auto"/>
              </w:rPr>
            </w:pPr>
          </w:p>
        </w:tc>
        <w:tc>
          <w:tcPr>
            <w:tcW w:w="94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84"/>
        </w:trPr>
        <w:tc>
          <w:tcPr>
            <w:tcW w:w="2100" w:type="dxa"/>
            <w:vAlign w:val="bottom"/>
          </w:tcPr>
          <w:p>
            <w:pPr>
              <w:ind w:left="20"/>
              <w:spacing w:after="0"/>
              <w:rPr>
                <w:sz w:val="20"/>
                <w:szCs w:val="20"/>
                <w:color w:val="auto"/>
              </w:rPr>
            </w:pPr>
            <w:r>
              <w:rPr>
                <w:rFonts w:ascii="Arial" w:cs="Arial" w:eastAsia="Arial" w:hAnsi="Arial"/>
                <w:sz w:val="14"/>
                <w:szCs w:val="14"/>
                <w:color w:val="auto"/>
              </w:rPr>
              <w:t>Residential/Religious (b)</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4,922</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4,637</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285</w:t>
            </w:r>
          </w:p>
        </w:tc>
        <w:tc>
          <w:tcPr>
            <w:tcW w:w="940" w:type="dxa"/>
            <w:vAlign w:val="bottom"/>
          </w:tcPr>
          <w:p>
            <w:pPr>
              <w:jc w:val="right"/>
              <w:spacing w:after="0"/>
              <w:rPr>
                <w:sz w:val="20"/>
                <w:szCs w:val="20"/>
                <w:color w:val="auto"/>
              </w:rPr>
            </w:pPr>
            <w:r>
              <w:rPr>
                <w:rFonts w:ascii="Arial" w:cs="Arial" w:eastAsia="Arial" w:hAnsi="Arial"/>
                <w:sz w:val="14"/>
                <w:szCs w:val="14"/>
                <w:color w:val="auto"/>
              </w:rPr>
              <w:t>6.1 %</w:t>
            </w: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Commercial/Industrial</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4,336</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4,518</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Retail choice customers</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10,036</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10,720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(684)</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52"/>
        </w:trPr>
        <w:tc>
          <w:tcPr>
            <w:tcW w:w="2100" w:type="dxa"/>
            <w:vAlign w:val="bottom"/>
          </w:tcPr>
          <w:p>
            <w:pPr>
              <w:ind w:left="20"/>
              <w:spacing w:after="0" w:line="152" w:lineRule="exact"/>
              <w:rPr>
                <w:sz w:val="20"/>
                <w:szCs w:val="20"/>
                <w:color w:val="auto"/>
              </w:rPr>
            </w:pPr>
            <w:r>
              <w:rPr>
                <w:rFonts w:ascii="Arial" w:cs="Arial" w:eastAsia="Arial" w:hAnsi="Arial"/>
                <w:sz w:val="14"/>
                <w:szCs w:val="14"/>
                <w:color w:val="auto"/>
              </w:rPr>
              <w:t>NYPA, Municipal Agency and</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4,387</w:t>
            </w:r>
          </w:p>
        </w:tc>
        <w:tc>
          <w:tcPr>
            <w:tcW w:w="1260" w:type="dxa"/>
            <w:vAlign w:val="bottom"/>
            <w:vMerge w:val="restart"/>
          </w:tcPr>
          <w:p>
            <w:pPr>
              <w:jc w:val="right"/>
              <w:ind w:right="68"/>
              <w:spacing w:after="0"/>
              <w:rPr>
                <w:sz w:val="20"/>
                <w:szCs w:val="20"/>
                <w:color w:val="auto"/>
              </w:rPr>
            </w:pPr>
            <w:r>
              <w:rPr>
                <w:rFonts w:ascii="Arial" w:cs="Arial" w:eastAsia="Arial" w:hAnsi="Arial"/>
                <w:sz w:val="14"/>
                <w:szCs w:val="14"/>
                <w:color w:val="auto"/>
              </w:rPr>
              <w:t>4,440</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(53)</w:t>
            </w: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9"/>
        </w:trPr>
        <w:tc>
          <w:tcPr>
            <w:tcW w:w="2100" w:type="dxa"/>
            <w:vAlign w:val="bottom"/>
          </w:tcPr>
          <w:p>
            <w:pPr>
              <w:ind w:left="20"/>
              <w:spacing w:after="0"/>
              <w:rPr>
                <w:sz w:val="20"/>
                <w:szCs w:val="20"/>
                <w:color w:val="auto"/>
              </w:rPr>
            </w:pPr>
            <w:r>
              <w:rPr>
                <w:rFonts w:ascii="Arial" w:cs="Arial" w:eastAsia="Arial" w:hAnsi="Arial"/>
                <w:sz w:val="14"/>
                <w:szCs w:val="14"/>
                <w:color w:val="auto"/>
              </w:rPr>
              <w:t>other sales</w:t>
            </w:r>
          </w:p>
        </w:tc>
        <w:tc>
          <w:tcPr>
            <w:tcW w:w="11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06285" cy="146050"/>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wp:posOffset>
            </wp:positionV>
            <wp:extent cx="7106285" cy="146050"/>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Revenues in Millions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3051810" cy="34290"/>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3051810" cy="34290"/>
                    </a:xfrm>
                    <a:prstGeom prst="rect">
                      <a:avLst/>
                    </a:prstGeom>
                    <a:noFill/>
                  </pic:spPr>
                </pic:pic>
              </a:graphicData>
            </a:graphic>
          </wp:anchor>
        </w:drawing>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For the 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26035</wp:posOffset>
            </wp:positionV>
            <wp:extent cx="8890" cy="17145"/>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-93345</wp:posOffset>
            </wp:positionV>
            <wp:extent cx="8890" cy="825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-76200</wp:posOffset>
            </wp:positionV>
            <wp:extent cx="8890" cy="825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-59055</wp:posOffset>
            </wp:positionV>
            <wp:extent cx="8890" cy="825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-41910</wp:posOffset>
            </wp:positionV>
            <wp:extent cx="8890" cy="8890"/>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-24765</wp:posOffset>
            </wp:positionV>
            <wp:extent cx="8890" cy="8890"/>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-7620</wp:posOffset>
            </wp:positionV>
            <wp:extent cx="8890" cy="825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8890</wp:posOffset>
            </wp:positionV>
            <wp:extent cx="8890" cy="825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0" w:type="dxa"/>
            <w:vAlign w:val="bottom"/>
            <w:tcBorders>
              <w:top w:val="single" w:sz="8" w:color="828282"/>
            </w:tcBorders>
          </w:tcPr>
          <w:p>
            <w:pPr>
              <w:spacing w:after="0"/>
              <w:rPr>
                <w:sz w:val="12"/>
                <w:szCs w:val="12"/>
                <w:color w:val="auto"/>
              </w:rPr>
            </w:pPr>
          </w:p>
        </w:tc>
        <w:tc>
          <w:tcPr>
            <w:tcW w:w="1340" w:type="dxa"/>
            <w:vAlign w:val="bottom"/>
            <w:tcBorders>
              <w:top w:val="single" w:sz="8" w:color="8C8272"/>
            </w:tcBorders>
            <w:vMerge w:val="restart"/>
          </w:tcPr>
          <w:p>
            <w:pPr>
              <w:jc w:val="right"/>
              <w:ind w:right="68"/>
              <w:spacing w:after="0"/>
              <w:rPr>
                <w:sz w:val="20"/>
                <w:szCs w:val="20"/>
                <w:color w:val="auto"/>
              </w:rPr>
            </w:pPr>
            <w:r>
              <w:rPr>
                <w:rFonts w:ascii="Arial" w:cs="Arial" w:eastAsia="Arial" w:hAnsi="Arial"/>
                <w:sz w:val="14"/>
                <w:szCs w:val="14"/>
                <w:b w:val="1"/>
                <w:bCs w:val="1"/>
                <w:color w:val="auto"/>
              </w:rPr>
              <w:t>June 30, 2021</w:t>
            </w:r>
          </w:p>
        </w:tc>
        <w:tc>
          <w:tcPr>
            <w:tcW w:w="1180" w:type="dxa"/>
            <w:vAlign w:val="bottom"/>
            <w:tcBorders>
              <w:top w:val="single" w:sz="8" w:color="8C8272"/>
            </w:tcBorders>
            <w:vMerge w:val="restart"/>
          </w:tcPr>
          <w:p>
            <w:pPr>
              <w:jc w:val="right"/>
              <w:ind w:right="8"/>
              <w:spacing w:after="0"/>
              <w:rPr>
                <w:sz w:val="20"/>
                <w:szCs w:val="20"/>
                <w:color w:val="auto"/>
              </w:rPr>
            </w:pPr>
            <w:r>
              <w:rPr>
                <w:rFonts w:ascii="Arial" w:cs="Arial" w:eastAsia="Arial" w:hAnsi="Arial"/>
                <w:sz w:val="14"/>
                <w:szCs w:val="14"/>
                <w:b w:val="1"/>
                <w:bCs w:val="1"/>
                <w:color w:val="auto"/>
              </w:rPr>
              <w:t>June 30, 2020</w:t>
            </w:r>
          </w:p>
        </w:tc>
        <w:tc>
          <w:tcPr>
            <w:tcW w:w="920" w:type="dxa"/>
            <w:vAlign w:val="bottom"/>
            <w:tcBorders>
              <w:top w:val="single" w:sz="8" w:color="8C8272"/>
            </w:tcBorders>
            <w:vMerge w:val="restart"/>
          </w:tcPr>
          <w:p>
            <w:pPr>
              <w:jc w:val="right"/>
              <w:ind w:right="168"/>
              <w:spacing w:after="0"/>
              <w:rPr>
                <w:sz w:val="20"/>
                <w:szCs w:val="20"/>
                <w:color w:val="auto"/>
              </w:rPr>
            </w:pPr>
            <w:r>
              <w:rPr>
                <w:rFonts w:ascii="Arial" w:cs="Arial" w:eastAsia="Arial" w:hAnsi="Arial"/>
                <w:sz w:val="14"/>
                <w:szCs w:val="14"/>
                <w:b w:val="1"/>
                <w:bCs w:val="1"/>
                <w:color w:val="auto"/>
              </w:rPr>
              <w:t>Variation</w:t>
            </w:r>
          </w:p>
        </w:tc>
        <w:tc>
          <w:tcPr>
            <w:tcW w:w="940" w:type="dxa"/>
            <w:vAlign w:val="bottom"/>
            <w:tcBorders>
              <w:top w:val="single" w:sz="8" w:color="8C8272"/>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5"/>
        </w:trPr>
        <w:tc>
          <w:tcPr>
            <w:tcW w:w="420" w:type="dxa"/>
            <w:vAlign w:val="bottom"/>
            <w:tcBorders>
              <w:bottom w:val="single" w:sz="8" w:color="828282"/>
            </w:tcBorders>
          </w:tcPr>
          <w:p>
            <w:pPr>
              <w:spacing w:after="0"/>
              <w:rPr>
                <w:sz w:val="15"/>
                <w:szCs w:val="15"/>
                <w:color w:val="auto"/>
              </w:rPr>
            </w:pPr>
          </w:p>
        </w:tc>
        <w:tc>
          <w:tcPr>
            <w:tcW w:w="1340" w:type="dxa"/>
            <w:vAlign w:val="bottom"/>
            <w:tcBorders>
              <w:bottom w:val="single" w:sz="8" w:color="8C8272"/>
            </w:tcBorders>
            <w:vMerge w:val="continue"/>
          </w:tcPr>
          <w:p>
            <w:pPr>
              <w:spacing w:after="0"/>
              <w:rPr>
                <w:sz w:val="15"/>
                <w:szCs w:val="15"/>
                <w:color w:val="auto"/>
              </w:rPr>
            </w:pPr>
          </w:p>
        </w:tc>
        <w:tc>
          <w:tcPr>
            <w:tcW w:w="1180" w:type="dxa"/>
            <w:vAlign w:val="bottom"/>
            <w:tcBorders>
              <w:bottom w:val="single" w:sz="8" w:color="8C8272"/>
            </w:tcBorders>
            <w:vMerge w:val="continue"/>
          </w:tcPr>
          <w:p>
            <w:pPr>
              <w:spacing w:after="0"/>
              <w:rPr>
                <w:sz w:val="15"/>
                <w:szCs w:val="15"/>
                <w:color w:val="auto"/>
              </w:rPr>
            </w:pPr>
          </w:p>
        </w:tc>
        <w:tc>
          <w:tcPr>
            <w:tcW w:w="920" w:type="dxa"/>
            <w:vAlign w:val="bottom"/>
            <w:tcBorders>
              <w:bottom w:val="single" w:sz="8" w:color="8C8272"/>
            </w:tcBorders>
            <w:vMerge w:val="continue"/>
          </w:tcPr>
          <w:p>
            <w:pPr>
              <w:spacing w:after="0"/>
              <w:rPr>
                <w:sz w:val="15"/>
                <w:szCs w:val="15"/>
                <w:color w:val="auto"/>
              </w:rPr>
            </w:pPr>
          </w:p>
        </w:tc>
        <w:tc>
          <w:tcPr>
            <w:tcW w:w="94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84"/>
        </w:trPr>
        <w:tc>
          <w:tcPr>
            <w:tcW w:w="1760" w:type="dxa"/>
            <w:vAlign w:val="bottom"/>
            <w:gridSpan w:val="2"/>
          </w:tcPr>
          <w:p>
            <w:pPr>
              <w:jc w:val="right"/>
              <w:ind w:right="68"/>
              <w:spacing w:after="0"/>
              <w:rPr>
                <w:sz w:val="20"/>
                <w:szCs w:val="20"/>
                <w:color w:val="auto"/>
              </w:rPr>
            </w:pPr>
            <w:r>
              <w:rPr>
                <w:rFonts w:ascii="Arial" w:cs="Arial" w:eastAsia="Arial" w:hAnsi="Arial"/>
                <w:sz w:val="14"/>
                <w:szCs w:val="14"/>
                <w:color w:val="auto"/>
              </w:rPr>
              <w:t>$1,390</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$1,225</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940" w:type="dxa"/>
            <w:vAlign w:val="bottom"/>
          </w:tcPr>
          <w:p>
            <w:pPr>
              <w:jc w:val="right"/>
              <w:spacing w:after="0"/>
              <w:rPr>
                <w:sz w:val="20"/>
                <w:szCs w:val="20"/>
                <w:color w:val="auto"/>
              </w:rPr>
            </w:pPr>
            <w:r>
              <w:rPr>
                <w:rFonts w:ascii="Arial" w:cs="Arial" w:eastAsia="Arial" w:hAnsi="Arial"/>
                <w:sz w:val="14"/>
                <w:szCs w:val="14"/>
                <w:color w:val="auto"/>
              </w:rPr>
              <w:t>13.5 %</w:t>
            </w:r>
          </w:p>
        </w:tc>
        <w:tc>
          <w:tcPr>
            <w:tcW w:w="0" w:type="dxa"/>
            <w:vAlign w:val="bottom"/>
          </w:tcPr>
          <w:p>
            <w:pPr>
              <w:spacing w:after="0"/>
              <w:rPr>
                <w:sz w:val="1"/>
                <w:szCs w:val="1"/>
                <w:color w:val="auto"/>
              </w:rPr>
            </w:pPr>
          </w:p>
        </w:tc>
      </w:tr>
      <w:tr>
        <w:trPr>
          <w:trHeight w:val="189"/>
        </w:trPr>
        <w:tc>
          <w:tcPr>
            <w:tcW w:w="1760" w:type="dxa"/>
            <w:vAlign w:val="bottom"/>
            <w:gridSpan w:val="2"/>
          </w:tcPr>
          <w:p>
            <w:pPr>
              <w:jc w:val="right"/>
              <w:ind w:right="68"/>
              <w:spacing w:after="0"/>
              <w:rPr>
                <w:sz w:val="20"/>
                <w:szCs w:val="20"/>
                <w:color w:val="auto"/>
              </w:rPr>
            </w:pPr>
            <w:r>
              <w:rPr>
                <w:rFonts w:ascii="Arial" w:cs="Arial" w:eastAsia="Arial" w:hAnsi="Arial"/>
                <w:sz w:val="14"/>
                <w:szCs w:val="14"/>
                <w:color w:val="auto"/>
              </w:rPr>
              <w:t>1,005</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848</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9"/>
        </w:trPr>
        <w:tc>
          <w:tcPr>
            <w:tcW w:w="1760" w:type="dxa"/>
            <w:vAlign w:val="bottom"/>
            <w:gridSpan w:val="2"/>
          </w:tcPr>
          <w:p>
            <w:pPr>
              <w:jc w:val="right"/>
              <w:ind w:right="68"/>
              <w:spacing w:after="0"/>
              <w:rPr>
                <w:sz w:val="20"/>
                <w:szCs w:val="20"/>
                <w:color w:val="auto"/>
              </w:rPr>
            </w:pPr>
            <w:r>
              <w:rPr>
                <w:rFonts w:ascii="Arial" w:cs="Arial" w:eastAsia="Arial" w:hAnsi="Arial"/>
                <w:sz w:val="14"/>
                <w:szCs w:val="14"/>
                <w:color w:val="auto"/>
              </w:rPr>
              <w:t>1,147</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1,057</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320"/>
        </w:trPr>
        <w:tc>
          <w:tcPr>
            <w:tcW w:w="1760" w:type="dxa"/>
            <w:vAlign w:val="bottom"/>
            <w:gridSpan w:val="2"/>
          </w:tcPr>
          <w:p>
            <w:pPr>
              <w:jc w:val="right"/>
              <w:ind w:right="68"/>
              <w:spacing w:after="0"/>
              <w:rPr>
                <w:sz w:val="20"/>
                <w:szCs w:val="20"/>
                <w:color w:val="auto"/>
              </w:rPr>
            </w:pPr>
            <w:r>
              <w:rPr>
                <w:rFonts w:ascii="Arial" w:cs="Arial" w:eastAsia="Arial" w:hAnsi="Arial"/>
                <w:sz w:val="14"/>
                <w:szCs w:val="14"/>
                <w:color w:val="auto"/>
              </w:rPr>
              <w:t>308</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9525</wp:posOffset>
            </wp:positionV>
            <wp:extent cx="8890" cy="1714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-178435</wp:posOffset>
            </wp:positionV>
            <wp:extent cx="8890" cy="8890"/>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-161290</wp:posOffset>
            </wp:positionV>
            <wp:extent cx="8890" cy="8890"/>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-144145</wp:posOffset>
            </wp:positionV>
            <wp:extent cx="8890" cy="825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-126365</wp:posOffset>
            </wp:positionV>
            <wp:extent cx="8890" cy="825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-109220</wp:posOffset>
            </wp:positionV>
            <wp:extent cx="8890" cy="825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-92710</wp:posOffset>
            </wp:positionV>
            <wp:extent cx="8890" cy="8890"/>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-75565</wp:posOffset>
            </wp:positionV>
            <wp:extent cx="8890" cy="8890"/>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-58420</wp:posOffset>
            </wp:positionV>
            <wp:extent cx="8890" cy="825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-40640</wp:posOffset>
            </wp:positionV>
            <wp:extent cx="8890" cy="825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-23495</wp:posOffset>
            </wp:positionV>
            <wp:extent cx="8890" cy="825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-6985</wp:posOffset>
            </wp:positionV>
            <wp:extent cx="8890" cy="8890"/>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-418465</wp:posOffset>
            </wp:positionV>
            <wp:extent cx="8890" cy="8890"/>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-401320</wp:posOffset>
            </wp:positionV>
            <wp:extent cx="8890" cy="825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-383540</wp:posOffset>
            </wp:positionV>
            <wp:extent cx="8890" cy="825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-366395</wp:posOffset>
            </wp:positionV>
            <wp:extent cx="8890" cy="825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-349885</wp:posOffset>
            </wp:positionV>
            <wp:extent cx="8890" cy="8890"/>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-752475</wp:posOffset>
            </wp:positionV>
            <wp:extent cx="8890" cy="825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-735330</wp:posOffset>
            </wp:positionV>
            <wp:extent cx="8890" cy="825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-718185</wp:posOffset>
            </wp:positionV>
            <wp:extent cx="8890" cy="8890"/>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-701040</wp:posOffset>
            </wp:positionV>
            <wp:extent cx="8890" cy="8890"/>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-683895</wp:posOffset>
            </wp:positionV>
            <wp:extent cx="8890" cy="825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-666750</wp:posOffset>
            </wp:positionV>
            <wp:extent cx="8890" cy="8255"/>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-649605</wp:posOffset>
            </wp:positionV>
            <wp:extent cx="8890" cy="825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-632460</wp:posOffset>
            </wp:positionV>
            <wp:extent cx="8890" cy="8890"/>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-615315</wp:posOffset>
            </wp:positionV>
            <wp:extent cx="8890" cy="8890"/>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-598170</wp:posOffset>
            </wp:positionV>
            <wp:extent cx="8890" cy="825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-581025</wp:posOffset>
            </wp:positionV>
            <wp:extent cx="8890" cy="825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400" w:space="0"/>
            <w:col w:w="4840"/>
          </w:cols>
          <w:pgMar w:left="320" w:top="940" w:right="3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2300" w:type="dxa"/>
            <w:vAlign w:val="bottom"/>
            <w:tcBorders>
              <w:top w:val="single" w:sz="8" w:color="8C8272"/>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Other operating revenues (c)</w:t>
            </w:r>
          </w:p>
        </w:tc>
        <w:tc>
          <w:tcPr>
            <w:tcW w:w="1280" w:type="dxa"/>
            <w:vAlign w:val="bottom"/>
            <w:tcBorders>
              <w:top w:val="single" w:sz="8" w:color="8C8272"/>
              <w:bottom w:val="single" w:sz="8" w:color="8C8272"/>
            </w:tcBorders>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8C8272"/>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828282"/>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8C8272"/>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828282"/>
              <w:bottom w:val="single" w:sz="8" w:color="828282"/>
            </w:tcBorders>
            <w:shd w:val="clear" w:color="auto" w:fill="E5E5E5"/>
          </w:tcPr>
          <w:p>
            <w:pPr>
              <w:spacing w:after="0"/>
              <w:rPr>
                <w:sz w:val="16"/>
                <w:szCs w:val="16"/>
                <w:color w:val="auto"/>
              </w:rPr>
            </w:pPr>
          </w:p>
        </w:tc>
        <w:tc>
          <w:tcPr>
            <w:tcW w:w="1600" w:type="dxa"/>
            <w:vAlign w:val="bottom"/>
            <w:tcBorders>
              <w:top w:val="single" w:sz="8" w:color="8C8272"/>
              <w:bottom w:val="single" w:sz="8" w:color="8C8272"/>
            </w:tcBorders>
            <w:shd w:val="clear" w:color="auto" w:fill="E5E5E5"/>
          </w:tcPr>
          <w:p>
            <w:pPr>
              <w:jc w:val="right"/>
              <w:ind w:right="328"/>
              <w:spacing w:after="0"/>
              <w:rPr>
                <w:sz w:val="20"/>
                <w:szCs w:val="20"/>
                <w:color w:val="auto"/>
              </w:rPr>
            </w:pPr>
            <w:r>
              <w:rPr>
                <w:rFonts w:ascii="Arial" w:cs="Arial" w:eastAsia="Arial" w:hAnsi="Arial"/>
                <w:sz w:val="14"/>
                <w:szCs w:val="14"/>
                <w:color w:val="auto"/>
              </w:rPr>
              <w:t>81</w:t>
            </w:r>
          </w:p>
        </w:tc>
        <w:tc>
          <w:tcPr>
            <w:tcW w:w="840" w:type="dxa"/>
            <w:vAlign w:val="bottom"/>
            <w:tcBorders>
              <w:top w:val="single" w:sz="8" w:color="8C8272"/>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197</w:t>
            </w:r>
          </w:p>
        </w:tc>
        <w:tc>
          <w:tcPr>
            <w:tcW w:w="920" w:type="dxa"/>
            <w:vAlign w:val="bottom"/>
            <w:tcBorders>
              <w:top w:val="single" w:sz="8" w:color="828282"/>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(116)</w:t>
            </w:r>
          </w:p>
        </w:tc>
        <w:tc>
          <w:tcPr>
            <w:tcW w:w="1020" w:type="dxa"/>
            <w:vAlign w:val="bottom"/>
            <w:tcBorders>
              <w:top w:val="single" w:sz="8" w:color="8C8272"/>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(58.9)</w:t>
            </w:r>
          </w:p>
        </w:tc>
      </w:tr>
      <w:tr>
        <w:trPr>
          <w:trHeight w:val="183"/>
        </w:trPr>
        <w:tc>
          <w:tcPr>
            <w:tcW w:w="2300" w:type="dxa"/>
            <w:vAlign w:val="bottom"/>
            <w:tcBorders>
              <w:bottom w:val="single" w:sz="8" w:color="8C8272"/>
            </w:tcBorders>
          </w:tcPr>
          <w:p>
            <w:pPr>
              <w:ind w:left="140"/>
              <w:spacing w:after="0"/>
              <w:rPr>
                <w:sz w:val="20"/>
                <w:szCs w:val="20"/>
                <w:color w:val="auto"/>
              </w:rPr>
            </w:pPr>
            <w:r>
              <w:rPr>
                <w:rFonts w:ascii="Arial" w:cs="Arial" w:eastAsia="Arial" w:hAnsi="Arial"/>
                <w:sz w:val="14"/>
                <w:szCs w:val="14"/>
                <w:b w:val="1"/>
                <w:bCs w:val="1"/>
                <w:color w:val="auto"/>
              </w:rPr>
              <w:t>Total</w:t>
            </w:r>
          </w:p>
        </w:tc>
        <w:tc>
          <w:tcPr>
            <w:tcW w:w="128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23,681</w:t>
            </w:r>
          </w:p>
        </w:tc>
        <w:tc>
          <w:tcPr>
            <w:tcW w:w="90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b w:val="1"/>
                <w:bCs w:val="1"/>
                <w:color w:val="auto"/>
              </w:rPr>
              <w:t>24,315</w:t>
            </w:r>
          </w:p>
        </w:tc>
        <w:tc>
          <w:tcPr>
            <w:tcW w:w="9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(634)</w:t>
            </w:r>
          </w:p>
        </w:tc>
        <w:tc>
          <w:tcPr>
            <w:tcW w:w="10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(2.6)%</w:t>
            </w:r>
          </w:p>
        </w:tc>
        <w:tc>
          <w:tcPr>
            <w:tcW w:w="420" w:type="dxa"/>
            <w:vAlign w:val="bottom"/>
            <w:tcBorders>
              <w:bottom w:val="single" w:sz="8" w:color="828282"/>
            </w:tcBorders>
          </w:tcPr>
          <w:p>
            <w:pPr>
              <w:ind w:left="20"/>
              <w:spacing w:after="0"/>
              <w:rPr>
                <w:sz w:val="20"/>
                <w:szCs w:val="20"/>
                <w:color w:val="auto"/>
              </w:rPr>
            </w:pPr>
            <w:r>
              <w:rPr>
                <w:rFonts w:ascii="Arial" w:cs="Arial" w:eastAsia="Arial" w:hAnsi="Arial"/>
                <w:sz w:val="14"/>
                <w:szCs w:val="14"/>
                <w:b w:val="1"/>
                <w:bCs w:val="1"/>
                <w:color w:val="auto"/>
              </w:rPr>
              <w:t>(d)</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$3,931</w:t>
            </w:r>
          </w:p>
        </w:tc>
        <w:tc>
          <w:tcPr>
            <w:tcW w:w="8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$3,616</w:t>
            </w:r>
          </w:p>
        </w:tc>
        <w:tc>
          <w:tcPr>
            <w:tcW w:w="920" w:type="dxa"/>
            <w:vAlign w:val="bottom"/>
            <w:tcBorders>
              <w:bottom w:val="single" w:sz="8" w:color="828282"/>
            </w:tcBorders>
          </w:tcPr>
          <w:p>
            <w:pPr>
              <w:jc w:val="right"/>
              <w:spacing w:after="0"/>
              <w:rPr>
                <w:sz w:val="20"/>
                <w:szCs w:val="20"/>
                <w:color w:val="auto"/>
              </w:rPr>
            </w:pPr>
            <w:r>
              <w:rPr>
                <w:rFonts w:ascii="Arial" w:cs="Arial" w:eastAsia="Arial" w:hAnsi="Arial"/>
                <w:sz w:val="14"/>
                <w:szCs w:val="14"/>
                <w:b w:val="1"/>
                <w:bCs w:val="1"/>
                <w:color w:val="auto"/>
              </w:rPr>
              <w:t>$315</w:t>
            </w:r>
          </w:p>
        </w:tc>
        <w:tc>
          <w:tcPr>
            <w:tcW w:w="10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8.7 %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-128270</wp:posOffset>
            </wp:positionV>
            <wp:extent cx="8890" cy="1714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-102235</wp:posOffset>
            </wp:positionV>
            <wp:extent cx="8890" cy="8890"/>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-85090</wp:posOffset>
            </wp:positionV>
            <wp:extent cx="8890" cy="825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-67945</wp:posOffset>
            </wp:positionV>
            <wp:extent cx="8890" cy="825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-50800</wp:posOffset>
            </wp:positionV>
            <wp:extent cx="8890" cy="825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-33655</wp:posOffset>
            </wp:positionV>
            <wp:extent cx="8890" cy="8890"/>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-16510</wp:posOffset>
            </wp:positionV>
            <wp:extent cx="8890" cy="8890"/>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-231140</wp:posOffset>
            </wp:positionV>
            <wp:extent cx="8890" cy="8890"/>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-213995</wp:posOffset>
            </wp:positionV>
            <wp:extent cx="8890" cy="8890"/>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-196215</wp:posOffset>
            </wp:positionV>
            <wp:extent cx="8890" cy="8255"/>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-179070</wp:posOffset>
            </wp:positionV>
            <wp:extent cx="8890" cy="8255"/>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-161925</wp:posOffset>
            </wp:positionV>
            <wp:extent cx="8890" cy="825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-145415</wp:posOffset>
            </wp:positionV>
            <wp:extent cx="8890" cy="8890"/>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66" w:lineRule="exact"/>
        <w:rPr>
          <w:sz w:val="20"/>
          <w:szCs w:val="20"/>
          <w:color w:val="auto"/>
        </w:rPr>
      </w:pPr>
    </w:p>
    <w:p>
      <w:pPr>
        <w:ind w:left="340" w:right="380" w:hanging="332"/>
        <w:spacing w:after="0" w:line="241"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Revenues from electric sales are subject to a revenue decoupling mechanism, as a result of which delivery revenues generally are not affected by changes in delivery volumes from levels assumed when rates were approved.</w:t>
      </w:r>
    </w:p>
    <w:p>
      <w:pPr>
        <w:ind w:left="340" w:right="380" w:hanging="332"/>
        <w:spacing w:after="0" w:line="241"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“Residential/Religious” generally includes single-family dwellings, individual apartments in multi-family dwellings, religious organizations and certain other not-for-profit organizations.</w:t>
      </w:r>
    </w:p>
    <w:p>
      <w:pPr>
        <w:ind w:left="340" w:right="60" w:hanging="332"/>
        <w:spacing w:after="0" w:line="241" w:lineRule="auto"/>
        <w:tabs>
          <w:tab w:leader="none" w:pos="332"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 electric operating revenues generally reflect changes in the revenue decoupling mechanism current asset or regulatory liability and changes in regulatory assets and liabilities in accordance with other provisions of the company’s rate plans.</w:t>
      </w:r>
    </w:p>
    <w:p>
      <w:pPr>
        <w:ind w:left="340" w:right="520" w:hanging="332"/>
        <w:spacing w:after="0" w:line="258"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After adjusting for variations, primarily weather and billing days, electric delivery volumes in CECONY’s service area decreased 3.5 percent in the six months ended June 30, 2021 compared with the 2020 period. See “Coronavirus Disease 2019 (COVID-19) Impacts,” above.</w:t>
      </w:r>
    </w:p>
    <w:p>
      <w:pPr>
        <w:spacing w:after="0" w:line="197"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increased $315 million in the six months ended June 30, 2021 compared with the 2020 period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power expenses ($191 million), an increase in revenues from the electric rate plan ($83 million) and higher fuel expenses ($31 million).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type w:val="continuous"/>
        </w:sectPr>
      </w:pPr>
    </w:p>
    <w:bookmarkStart w:id="70" w:name="page71"/>
    <w:bookmarkEnd w:id="70"/>
    <w:p>
      <w:pPr>
        <w:ind w:right="400"/>
        <w:spacing w:after="0" w:line="282" w:lineRule="auto"/>
        <w:rPr>
          <w:sz w:val="20"/>
          <w:szCs w:val="20"/>
          <w:color w:val="auto"/>
        </w:rPr>
      </w:pPr>
      <w:r>
        <w:rPr>
          <w:rFonts w:ascii="Arial" w:cs="Arial" w:eastAsia="Arial" w:hAnsi="Arial"/>
          <w:sz w:val="18"/>
          <w:szCs w:val="18"/>
          <w:i w:val="1"/>
          <w:iCs w:val="1"/>
          <w:color w:val="auto"/>
        </w:rPr>
        <w:t xml:space="preserve">Purchased power </w:t>
      </w:r>
      <w:r>
        <w:rPr>
          <w:rFonts w:ascii="Arial" w:cs="Arial" w:eastAsia="Arial" w:hAnsi="Arial"/>
          <w:sz w:val="18"/>
          <w:szCs w:val="18"/>
          <w:color w:val="auto"/>
        </w:rPr>
        <w:t>expenses increased $191 million in the six months ended June 30, 2021 compared with the 2020 period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volumes ($127 million) and unit costs ($63 million).</w:t>
      </w:r>
    </w:p>
    <w:p>
      <w:pPr>
        <w:spacing w:after="0" w:line="189"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expenses increased $31 million in the six months ended June 30, 2021 compared with the 2020 period due to higher unit costs ($34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offset in part by lower purchased volumes from the company’s electric generating facilities ($3 million).</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8"/>
          <w:szCs w:val="18"/>
          <w:i w:val="1"/>
          <w:iCs w:val="1"/>
          <w:color w:val="auto"/>
        </w:rPr>
        <w:t xml:space="preserve">Other operations and maintenance </w:t>
      </w:r>
      <w:r>
        <w:rPr>
          <w:rFonts w:ascii="Arial" w:cs="Arial" w:eastAsia="Arial" w:hAnsi="Arial"/>
          <w:sz w:val="18"/>
          <w:szCs w:val="18"/>
          <w:color w:val="auto"/>
        </w:rPr>
        <w:t>expenses increased $81 million in the six months ended June 30, 2021 compared with the 2020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costs for pension and other postretirement benefits ($36 million), higher costs related to winter storms and heat events ($34 million), higher healthcare costs ($14 million), offset in part by surcharges for assessments and fees that are collected in revenues from customers ($7 million).</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increased $37 million in the six months ended June 30, 2021 compared with the 2020 period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electric utility plant balances.</w:t>
      </w:r>
    </w:p>
    <w:p>
      <w:pPr>
        <w:spacing w:after="0" w:line="189" w:lineRule="exact"/>
        <w:rPr>
          <w:sz w:val="20"/>
          <w:szCs w:val="20"/>
          <w:color w:val="auto"/>
        </w:rPr>
      </w:pPr>
    </w:p>
    <w:p>
      <w:pPr>
        <w:jc w:val="both"/>
        <w:ind w:right="60"/>
        <w:spacing w:after="0" w:line="313" w:lineRule="auto"/>
        <w:rPr>
          <w:sz w:val="20"/>
          <w:szCs w:val="20"/>
          <w:color w:val="auto"/>
        </w:rPr>
      </w:pPr>
      <w:r>
        <w:rPr>
          <w:rFonts w:ascii="Arial" w:cs="Arial" w:eastAsia="Arial" w:hAnsi="Arial"/>
          <w:sz w:val="17"/>
          <w:szCs w:val="17"/>
          <w:i w:val="1"/>
          <w:iCs w:val="1"/>
          <w:color w:val="auto"/>
        </w:rPr>
        <w:t>Taxes, other than in</w:t>
      </w:r>
      <w:r>
        <w:rPr>
          <w:rFonts w:ascii="Arial" w:cs="Arial" w:eastAsia="Arial" w:hAnsi="Arial"/>
          <w:sz w:val="17"/>
          <w:szCs w:val="17"/>
          <w:color w:val="auto"/>
        </w:rPr>
        <w:t>come</w:t>
      </w:r>
      <w:r>
        <w:rPr>
          <w:rFonts w:ascii="Arial" w:cs="Arial" w:eastAsia="Arial" w:hAnsi="Arial"/>
          <w:sz w:val="17"/>
          <w:szCs w:val="17"/>
          <w:i w:val="1"/>
          <w:iCs w:val="1"/>
          <w:color w:val="auto"/>
        </w:rPr>
        <w:t xml:space="preserve"> taxes </w:t>
      </w:r>
      <w:r>
        <w:rPr>
          <w:rFonts w:ascii="Arial" w:cs="Arial" w:eastAsia="Arial" w:hAnsi="Arial"/>
          <w:sz w:val="17"/>
          <w:szCs w:val="17"/>
          <w:color w:val="auto"/>
        </w:rPr>
        <w:t>increased $74 million in the six months ended June 30, 2021 compared with the 2020 period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higher property taxes ($52 million), lower deferral of under-collected property taxes ($8 million) and higher state and local taxes ($11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CECONY’s results of gas operations for the six months ended June 30, 2021 compared with the 2020 period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Borders>
              <w:bottom w:val="single" w:sz="8" w:color="8C8272"/>
            </w:tcBorders>
          </w:tcPr>
          <w:p>
            <w:pPr>
              <w:spacing w:after="0"/>
              <w:rPr>
                <w:sz w:val="16"/>
                <w:szCs w:val="16"/>
                <w:color w:val="auto"/>
              </w:rPr>
            </w:pPr>
          </w:p>
        </w:tc>
        <w:tc>
          <w:tcPr>
            <w:tcW w:w="5360" w:type="dxa"/>
            <w:vAlign w:val="bottom"/>
            <w:tcBorders>
              <w:bottom w:val="single" w:sz="8" w:color="8C8272"/>
            </w:tcBorders>
            <w:gridSpan w:val="2"/>
          </w:tcPr>
          <w:p>
            <w:pPr>
              <w:jc w:val="right"/>
              <w:ind w:right="868"/>
              <w:spacing w:after="0"/>
              <w:rPr>
                <w:sz w:val="20"/>
                <w:szCs w:val="20"/>
                <w:color w:val="auto"/>
              </w:rPr>
            </w:pPr>
            <w:r>
              <w:rPr>
                <w:rFonts w:ascii="Arial" w:cs="Arial" w:eastAsia="Arial" w:hAnsi="Arial"/>
                <w:sz w:val="14"/>
                <w:szCs w:val="14"/>
                <w:b w:val="1"/>
                <w:bCs w:val="1"/>
                <w:color w:val="auto"/>
              </w:rPr>
              <w:t>For the Six Months Ended</w:t>
            </w:r>
          </w:p>
        </w:tc>
        <w:tc>
          <w:tcPr>
            <w:tcW w:w="1040" w:type="dxa"/>
            <w:vAlign w:val="bottom"/>
            <w:tcBorders>
              <w:bottom w:val="single" w:sz="8" w:color="8C8272"/>
            </w:tcBorders>
          </w:tcPr>
          <w:p>
            <w:pPr>
              <w:spacing w:after="0"/>
              <w:rPr>
                <w:sz w:val="16"/>
                <w:szCs w:val="16"/>
                <w:color w:val="auto"/>
              </w:rPr>
            </w:pPr>
          </w:p>
        </w:tc>
      </w:tr>
      <w:tr>
        <w:trPr>
          <w:trHeight w:val="183"/>
        </w:trPr>
        <w:tc>
          <w:tcPr>
            <w:tcW w:w="484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76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June 30, 2021</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June 30, 2020</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r>
      <w:tr>
        <w:trPr>
          <w:trHeight w:val="183"/>
        </w:trPr>
        <w:tc>
          <w:tcPr>
            <w:tcW w:w="484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revenues</w:t>
            </w:r>
          </w:p>
        </w:tc>
        <w:tc>
          <w:tcPr>
            <w:tcW w:w="37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$1,423</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$1,250</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$173</w:t>
            </w:r>
          </w:p>
        </w:tc>
      </w:tr>
      <w:tr>
        <w:trPr>
          <w:trHeight w:val="189"/>
        </w:trPr>
        <w:tc>
          <w:tcPr>
            <w:tcW w:w="4840" w:type="dxa"/>
            <w:vAlign w:val="bottom"/>
          </w:tcPr>
          <w:p>
            <w:pPr>
              <w:ind w:left="20"/>
              <w:spacing w:after="0"/>
              <w:rPr>
                <w:sz w:val="20"/>
                <w:szCs w:val="20"/>
                <w:color w:val="auto"/>
              </w:rPr>
            </w:pPr>
            <w:r>
              <w:rPr>
                <w:rFonts w:ascii="Arial" w:cs="Arial" w:eastAsia="Arial" w:hAnsi="Arial"/>
                <w:sz w:val="14"/>
                <w:szCs w:val="14"/>
                <w:color w:val="auto"/>
              </w:rPr>
              <w:t>Gas purchased for resale</w:t>
            </w:r>
          </w:p>
        </w:tc>
        <w:tc>
          <w:tcPr>
            <w:tcW w:w="3760" w:type="dxa"/>
            <w:vAlign w:val="bottom"/>
          </w:tcPr>
          <w:p>
            <w:pPr>
              <w:jc w:val="right"/>
              <w:ind w:right="168"/>
              <w:spacing w:after="0"/>
              <w:rPr>
                <w:sz w:val="20"/>
                <w:szCs w:val="20"/>
                <w:color w:val="auto"/>
              </w:rPr>
            </w:pPr>
            <w:r>
              <w:rPr>
                <w:rFonts w:ascii="Arial" w:cs="Arial" w:eastAsia="Arial" w:hAnsi="Arial"/>
                <w:sz w:val="14"/>
                <w:szCs w:val="14"/>
                <w:color w:val="auto"/>
              </w:rPr>
              <w:t>296</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260</w:t>
            </w:r>
          </w:p>
        </w:tc>
        <w:tc>
          <w:tcPr>
            <w:tcW w:w="10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89"/>
        </w:trPr>
        <w:tc>
          <w:tcPr>
            <w:tcW w:w="484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 operations and maintenance</w:t>
            </w:r>
          </w:p>
        </w:tc>
        <w:tc>
          <w:tcPr>
            <w:tcW w:w="37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184</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182</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48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760" w:type="dxa"/>
            <w:vAlign w:val="bottom"/>
          </w:tcPr>
          <w:p>
            <w:pPr>
              <w:jc w:val="right"/>
              <w:ind w:right="168"/>
              <w:spacing w:after="0"/>
              <w:rPr>
                <w:sz w:val="20"/>
                <w:szCs w:val="20"/>
                <w:color w:val="auto"/>
              </w:rPr>
            </w:pPr>
            <w:r>
              <w:rPr>
                <w:rFonts w:ascii="Arial" w:cs="Arial" w:eastAsia="Arial" w:hAnsi="Arial"/>
                <w:sz w:val="14"/>
                <w:szCs w:val="14"/>
                <w:color w:val="auto"/>
              </w:rPr>
              <w:t>157</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143</w:t>
            </w: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9"/>
        </w:trPr>
        <w:tc>
          <w:tcPr>
            <w:tcW w:w="484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Taxes, other than income taxes</w:t>
            </w:r>
          </w:p>
        </w:tc>
        <w:tc>
          <w:tcPr>
            <w:tcW w:w="3760" w:type="dxa"/>
            <w:vAlign w:val="bottom"/>
            <w:tcBorders>
              <w:bottom w:val="single" w:sz="8" w:color="8C8272"/>
            </w:tcBorders>
            <w:shd w:val="clear" w:color="auto" w:fill="E5E5E5"/>
          </w:tcPr>
          <w:p>
            <w:pPr>
              <w:jc w:val="right"/>
              <w:ind w:right="168"/>
              <w:spacing w:after="0"/>
              <w:rPr>
                <w:sz w:val="20"/>
                <w:szCs w:val="20"/>
                <w:color w:val="auto"/>
              </w:rPr>
            </w:pPr>
            <w:r>
              <w:rPr>
                <w:rFonts w:ascii="Arial" w:cs="Arial" w:eastAsia="Arial" w:hAnsi="Arial"/>
                <w:sz w:val="14"/>
                <w:szCs w:val="14"/>
                <w:color w:val="auto"/>
              </w:rPr>
              <w:t>248</w:t>
            </w:r>
          </w:p>
        </w:tc>
        <w:tc>
          <w:tcPr>
            <w:tcW w:w="1600" w:type="dxa"/>
            <w:vAlign w:val="bottom"/>
            <w:tcBorders>
              <w:bottom w:val="single" w:sz="8" w:color="8C8272"/>
            </w:tcBorders>
            <w:shd w:val="clear" w:color="auto" w:fill="E5E5E5"/>
          </w:tcPr>
          <w:p>
            <w:pPr>
              <w:jc w:val="right"/>
              <w:ind w:right="328"/>
              <w:spacing w:after="0"/>
              <w:rPr>
                <w:sz w:val="20"/>
                <w:szCs w:val="20"/>
                <w:color w:val="auto"/>
              </w:rPr>
            </w:pPr>
            <w:r>
              <w:rPr>
                <w:rFonts w:ascii="Arial" w:cs="Arial" w:eastAsia="Arial" w:hAnsi="Arial"/>
                <w:sz w:val="14"/>
                <w:szCs w:val="14"/>
                <w:color w:val="auto"/>
              </w:rPr>
              <w:t>191</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57</w:t>
            </w:r>
          </w:p>
        </w:tc>
      </w:tr>
      <w:tr>
        <w:trPr>
          <w:trHeight w:val="183"/>
        </w:trPr>
        <w:tc>
          <w:tcPr>
            <w:tcW w:w="4840" w:type="dxa"/>
            <w:vAlign w:val="bottom"/>
            <w:tcBorders>
              <w:bottom w:val="single" w:sz="8" w:color="8C8272"/>
            </w:tcBorders>
          </w:tcPr>
          <w:p>
            <w:pPr>
              <w:ind w:left="140"/>
              <w:spacing w:after="0"/>
              <w:rPr>
                <w:sz w:val="20"/>
                <w:szCs w:val="20"/>
                <w:color w:val="auto"/>
              </w:rPr>
            </w:pPr>
            <w:r>
              <w:rPr>
                <w:rFonts w:ascii="Arial" w:cs="Arial" w:eastAsia="Arial" w:hAnsi="Arial"/>
                <w:sz w:val="14"/>
                <w:szCs w:val="14"/>
                <w:b w:val="1"/>
                <w:bCs w:val="1"/>
                <w:color w:val="auto"/>
              </w:rPr>
              <w:t>Gas operating income</w:t>
            </w:r>
          </w:p>
        </w:tc>
        <w:tc>
          <w:tcPr>
            <w:tcW w:w="376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$538</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$474</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$64</w:t>
            </w:r>
          </w:p>
        </w:tc>
      </w:tr>
    </w:tbl>
    <w:p>
      <w:pPr>
        <w:spacing w:after="0" w:line="33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CECONY’s gas sales and deliveries, excluding off-system sales, for the six months ended June 30, 2021 compared with the 2020 period were:</w:t>
      </w:r>
    </w:p>
    <w:p>
      <w:pPr>
        <w:sectPr>
          <w:pgSz w:w="11900" w:h="16838" w:orient="portrait"/>
          <w:cols w:equalWidth="0" w:num="1">
            <w:col w:w="11240"/>
          </w:cols>
          <w:pgMar w:left="320" w:top="944" w:right="339" w:bottom="1440" w:gutter="0" w:footer="0" w:header="0"/>
        </w:sectPr>
      </w:pPr>
    </w:p>
    <w:p>
      <w:pPr>
        <w:spacing w:after="0" w:line="50" w:lineRule="exact"/>
        <w:rPr>
          <w:sz w:val="20"/>
          <w:szCs w:val="20"/>
          <w:color w:val="auto"/>
        </w:rPr>
      </w:pPr>
    </w:p>
    <w:p>
      <w:pPr>
        <w:ind w:left="3300"/>
        <w:spacing w:after="0"/>
        <w:rPr>
          <w:sz w:val="20"/>
          <w:szCs w:val="20"/>
          <w:color w:val="auto"/>
        </w:rPr>
      </w:pPr>
      <w:r>
        <w:rPr>
          <w:rFonts w:ascii="Arial" w:cs="Arial" w:eastAsia="Arial" w:hAnsi="Arial"/>
          <w:sz w:val="14"/>
          <w:szCs w:val="14"/>
          <w:b w:val="1"/>
          <w:bCs w:val="1"/>
          <w:color w:val="auto"/>
        </w:rPr>
        <w:t>Thousands of Dt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054475" cy="8255"/>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62"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For the Six Months Ended</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Revenues in Millions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17780</wp:posOffset>
            </wp:positionV>
            <wp:extent cx="3051810" cy="34290"/>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3051810" cy="3429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26035</wp:posOffset>
            </wp:positionV>
            <wp:extent cx="8890" cy="1714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-93345</wp:posOffset>
            </wp:positionV>
            <wp:extent cx="8890" cy="825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-76200</wp:posOffset>
            </wp:positionV>
            <wp:extent cx="8890" cy="8890"/>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-59055</wp:posOffset>
            </wp:positionV>
            <wp:extent cx="8890" cy="8890"/>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-41910</wp:posOffset>
            </wp:positionV>
            <wp:extent cx="8890" cy="8255"/>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-24765</wp:posOffset>
            </wp:positionV>
            <wp:extent cx="8890" cy="825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-7620</wp:posOffset>
            </wp:positionV>
            <wp:extent cx="8890" cy="825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8890</wp:posOffset>
            </wp:positionV>
            <wp:extent cx="8890" cy="8890"/>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6440" w:space="720"/>
            <w:col w:w="4080"/>
          </w:cols>
          <w:pgMar w:left="320" w:top="944" w:right="3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080" w:type="dxa"/>
            <w:vAlign w:val="bottom"/>
            <w:tcBorders>
              <w:top w:val="single" w:sz="8" w:color="8C8272"/>
            </w:tcBorders>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300" w:type="dxa"/>
            <w:vAlign w:val="bottom"/>
            <w:tcBorders>
              <w:top w:val="single" w:sz="8" w:color="8C8272"/>
            </w:tcBorders>
            <w:vMerge w:val="restart"/>
          </w:tcPr>
          <w:p>
            <w:pPr>
              <w:jc w:val="right"/>
              <w:ind w:right="68"/>
              <w:spacing w:after="0"/>
              <w:rPr>
                <w:sz w:val="20"/>
                <w:szCs w:val="20"/>
                <w:color w:val="auto"/>
              </w:rPr>
            </w:pPr>
            <w:r>
              <w:rPr>
                <w:rFonts w:ascii="Arial" w:cs="Arial" w:eastAsia="Arial" w:hAnsi="Arial"/>
                <w:sz w:val="14"/>
                <w:szCs w:val="14"/>
                <w:b w:val="1"/>
                <w:bCs w:val="1"/>
                <w:color w:val="auto"/>
              </w:rPr>
              <w:t>June 30, 2021</w:t>
            </w:r>
          </w:p>
        </w:tc>
        <w:tc>
          <w:tcPr>
            <w:tcW w:w="1160" w:type="dxa"/>
            <w:vAlign w:val="bottom"/>
            <w:tcBorders>
              <w:top w:val="single" w:sz="8" w:color="8C8272"/>
            </w:tcBorders>
            <w:vMerge w:val="restart"/>
          </w:tcPr>
          <w:p>
            <w:pPr>
              <w:jc w:val="right"/>
              <w:ind w:right="8"/>
              <w:spacing w:after="0"/>
              <w:rPr>
                <w:sz w:val="20"/>
                <w:szCs w:val="20"/>
                <w:color w:val="auto"/>
              </w:rPr>
            </w:pPr>
            <w:r>
              <w:rPr>
                <w:rFonts w:ascii="Arial" w:cs="Arial" w:eastAsia="Arial" w:hAnsi="Arial"/>
                <w:sz w:val="14"/>
                <w:szCs w:val="14"/>
                <w:b w:val="1"/>
                <w:bCs w:val="1"/>
                <w:color w:val="auto"/>
              </w:rPr>
              <w:t>June 30, 2020</w:t>
            </w:r>
          </w:p>
        </w:tc>
        <w:tc>
          <w:tcPr>
            <w:tcW w:w="920" w:type="dxa"/>
            <w:vAlign w:val="bottom"/>
            <w:tcBorders>
              <w:top w:val="single" w:sz="8" w:color="8C8272"/>
            </w:tcBorders>
            <w:vMerge w:val="restart"/>
          </w:tcPr>
          <w:p>
            <w:pPr>
              <w:jc w:val="right"/>
              <w:ind w:right="148"/>
              <w:spacing w:after="0"/>
              <w:rPr>
                <w:sz w:val="20"/>
                <w:szCs w:val="20"/>
                <w:color w:val="auto"/>
              </w:rPr>
            </w:pPr>
            <w:r>
              <w:rPr>
                <w:rFonts w:ascii="Arial" w:cs="Arial" w:eastAsia="Arial" w:hAnsi="Arial"/>
                <w:sz w:val="14"/>
                <w:szCs w:val="14"/>
                <w:b w:val="1"/>
                <w:bCs w:val="1"/>
                <w:color w:val="auto"/>
              </w:rPr>
              <w:t>Variation</w:t>
            </w:r>
          </w:p>
        </w:tc>
        <w:tc>
          <w:tcPr>
            <w:tcW w:w="760" w:type="dxa"/>
            <w:vAlign w:val="bottom"/>
            <w:tcBorders>
              <w:top w:val="single" w:sz="8" w:color="8C8272"/>
            </w:tcBorders>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180" w:type="dxa"/>
            <w:vAlign w:val="bottom"/>
            <w:tcBorders>
              <w:top w:val="single" w:sz="8" w:color="8C8272"/>
            </w:tcBorders>
          </w:tcPr>
          <w:p>
            <w:pPr>
              <w:spacing w:after="0"/>
              <w:rPr>
                <w:sz w:val="12"/>
                <w:szCs w:val="12"/>
                <w:color w:val="auto"/>
              </w:rPr>
            </w:pPr>
          </w:p>
        </w:tc>
        <w:tc>
          <w:tcPr>
            <w:tcW w:w="420" w:type="dxa"/>
            <w:vAlign w:val="bottom"/>
            <w:tcBorders>
              <w:top w:val="single" w:sz="8" w:color="828282"/>
            </w:tcBorders>
          </w:tcPr>
          <w:p>
            <w:pPr>
              <w:spacing w:after="0"/>
              <w:rPr>
                <w:sz w:val="12"/>
                <w:szCs w:val="12"/>
                <w:color w:val="auto"/>
              </w:rPr>
            </w:pPr>
          </w:p>
        </w:tc>
        <w:tc>
          <w:tcPr>
            <w:tcW w:w="1340" w:type="dxa"/>
            <w:vAlign w:val="bottom"/>
            <w:tcBorders>
              <w:top w:val="single" w:sz="8" w:color="8C8272"/>
            </w:tcBorders>
            <w:vMerge w:val="restart"/>
          </w:tcPr>
          <w:p>
            <w:pPr>
              <w:jc w:val="right"/>
              <w:ind w:right="68"/>
              <w:spacing w:after="0"/>
              <w:rPr>
                <w:sz w:val="20"/>
                <w:szCs w:val="20"/>
                <w:color w:val="auto"/>
              </w:rPr>
            </w:pPr>
            <w:r>
              <w:rPr>
                <w:rFonts w:ascii="Arial" w:cs="Arial" w:eastAsia="Arial" w:hAnsi="Arial"/>
                <w:sz w:val="14"/>
                <w:szCs w:val="14"/>
                <w:b w:val="1"/>
                <w:bCs w:val="1"/>
                <w:color w:val="auto"/>
              </w:rPr>
              <w:t>June 30, 2021</w:t>
            </w:r>
          </w:p>
        </w:tc>
        <w:tc>
          <w:tcPr>
            <w:tcW w:w="1180" w:type="dxa"/>
            <w:vAlign w:val="bottom"/>
            <w:tcBorders>
              <w:top w:val="single" w:sz="8" w:color="8C8272"/>
            </w:tcBorders>
            <w:vMerge w:val="restart"/>
          </w:tcPr>
          <w:p>
            <w:pPr>
              <w:jc w:val="right"/>
              <w:ind w:right="8"/>
              <w:spacing w:after="0"/>
              <w:rPr>
                <w:sz w:val="20"/>
                <w:szCs w:val="20"/>
                <w:color w:val="auto"/>
              </w:rPr>
            </w:pPr>
            <w:r>
              <w:rPr>
                <w:rFonts w:ascii="Arial" w:cs="Arial" w:eastAsia="Arial" w:hAnsi="Arial"/>
                <w:sz w:val="14"/>
                <w:szCs w:val="14"/>
                <w:b w:val="1"/>
                <w:bCs w:val="1"/>
                <w:color w:val="auto"/>
              </w:rPr>
              <w:t>June 30, 2020</w:t>
            </w:r>
          </w:p>
        </w:tc>
        <w:tc>
          <w:tcPr>
            <w:tcW w:w="920" w:type="dxa"/>
            <w:vAlign w:val="bottom"/>
            <w:tcBorders>
              <w:top w:val="single" w:sz="8" w:color="8C8272"/>
            </w:tcBorders>
            <w:vMerge w:val="restart"/>
          </w:tcPr>
          <w:p>
            <w:pPr>
              <w:jc w:val="right"/>
              <w:ind w:right="168"/>
              <w:spacing w:after="0"/>
              <w:rPr>
                <w:sz w:val="20"/>
                <w:szCs w:val="20"/>
                <w:color w:val="auto"/>
              </w:rPr>
            </w:pPr>
            <w:r>
              <w:rPr>
                <w:rFonts w:ascii="Arial" w:cs="Arial" w:eastAsia="Arial" w:hAnsi="Arial"/>
                <w:sz w:val="14"/>
                <w:szCs w:val="14"/>
                <w:b w:val="1"/>
                <w:bCs w:val="1"/>
                <w:color w:val="auto"/>
              </w:rPr>
              <w:t>Variation</w:t>
            </w:r>
          </w:p>
        </w:tc>
        <w:tc>
          <w:tcPr>
            <w:tcW w:w="940" w:type="dxa"/>
            <w:vAlign w:val="bottom"/>
            <w:tcBorders>
              <w:top w:val="single" w:sz="8" w:color="8C8272"/>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6"/>
        </w:trPr>
        <w:tc>
          <w:tcPr>
            <w:tcW w:w="2080" w:type="dxa"/>
            <w:vAlign w:val="bottom"/>
            <w:tcBorders>
              <w:bottom w:val="single" w:sz="8" w:color="8C8272"/>
            </w:tcBorders>
            <w:vMerge w:val="continue"/>
          </w:tcPr>
          <w:p>
            <w:pPr>
              <w:spacing w:after="0"/>
              <w:rPr>
                <w:sz w:val="15"/>
                <w:szCs w:val="15"/>
                <w:color w:val="auto"/>
              </w:rPr>
            </w:pPr>
          </w:p>
        </w:tc>
        <w:tc>
          <w:tcPr>
            <w:tcW w:w="1300" w:type="dxa"/>
            <w:vAlign w:val="bottom"/>
            <w:tcBorders>
              <w:bottom w:val="single" w:sz="8" w:color="8C8272"/>
            </w:tcBorders>
            <w:vMerge w:val="continue"/>
          </w:tcPr>
          <w:p>
            <w:pPr>
              <w:spacing w:after="0"/>
              <w:rPr>
                <w:sz w:val="15"/>
                <w:szCs w:val="15"/>
                <w:color w:val="auto"/>
              </w:rPr>
            </w:pPr>
          </w:p>
        </w:tc>
        <w:tc>
          <w:tcPr>
            <w:tcW w:w="1160" w:type="dxa"/>
            <w:vAlign w:val="bottom"/>
            <w:tcBorders>
              <w:bottom w:val="single" w:sz="8" w:color="8C8272"/>
            </w:tcBorders>
            <w:vMerge w:val="continue"/>
          </w:tcPr>
          <w:p>
            <w:pPr>
              <w:spacing w:after="0"/>
              <w:rPr>
                <w:sz w:val="15"/>
                <w:szCs w:val="15"/>
                <w:color w:val="auto"/>
              </w:rPr>
            </w:pPr>
          </w:p>
        </w:tc>
        <w:tc>
          <w:tcPr>
            <w:tcW w:w="920" w:type="dxa"/>
            <w:vAlign w:val="bottom"/>
            <w:tcBorders>
              <w:bottom w:val="single" w:sz="8" w:color="8C8272"/>
            </w:tcBorders>
            <w:vMerge w:val="continue"/>
          </w:tcPr>
          <w:p>
            <w:pPr>
              <w:spacing w:after="0"/>
              <w:rPr>
                <w:sz w:val="15"/>
                <w:szCs w:val="15"/>
                <w:color w:val="auto"/>
              </w:rPr>
            </w:pPr>
          </w:p>
        </w:tc>
        <w:tc>
          <w:tcPr>
            <w:tcW w:w="7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c>
          <w:tcPr>
            <w:tcW w:w="180" w:type="dxa"/>
            <w:vAlign w:val="bottom"/>
            <w:tcBorders>
              <w:bottom w:val="single" w:sz="8" w:color="8C8272"/>
            </w:tcBorders>
          </w:tcPr>
          <w:p>
            <w:pPr>
              <w:spacing w:after="0"/>
              <w:rPr>
                <w:sz w:val="15"/>
                <w:szCs w:val="15"/>
                <w:color w:val="auto"/>
              </w:rPr>
            </w:pPr>
          </w:p>
        </w:tc>
        <w:tc>
          <w:tcPr>
            <w:tcW w:w="420" w:type="dxa"/>
            <w:vAlign w:val="bottom"/>
            <w:tcBorders>
              <w:bottom w:val="single" w:sz="8" w:color="828282"/>
            </w:tcBorders>
          </w:tcPr>
          <w:p>
            <w:pPr>
              <w:spacing w:after="0"/>
              <w:rPr>
                <w:sz w:val="15"/>
                <w:szCs w:val="15"/>
                <w:color w:val="auto"/>
              </w:rPr>
            </w:pPr>
          </w:p>
        </w:tc>
        <w:tc>
          <w:tcPr>
            <w:tcW w:w="1340" w:type="dxa"/>
            <w:vAlign w:val="bottom"/>
            <w:tcBorders>
              <w:bottom w:val="single" w:sz="8" w:color="8C8272"/>
            </w:tcBorders>
            <w:vMerge w:val="continue"/>
          </w:tcPr>
          <w:p>
            <w:pPr>
              <w:spacing w:after="0"/>
              <w:rPr>
                <w:sz w:val="15"/>
                <w:szCs w:val="15"/>
                <w:color w:val="auto"/>
              </w:rPr>
            </w:pPr>
          </w:p>
        </w:tc>
        <w:tc>
          <w:tcPr>
            <w:tcW w:w="1180" w:type="dxa"/>
            <w:vAlign w:val="bottom"/>
            <w:tcBorders>
              <w:bottom w:val="single" w:sz="8" w:color="8C8272"/>
            </w:tcBorders>
            <w:vMerge w:val="continue"/>
          </w:tcPr>
          <w:p>
            <w:pPr>
              <w:spacing w:after="0"/>
              <w:rPr>
                <w:sz w:val="15"/>
                <w:szCs w:val="15"/>
                <w:color w:val="auto"/>
              </w:rPr>
            </w:pPr>
          </w:p>
        </w:tc>
        <w:tc>
          <w:tcPr>
            <w:tcW w:w="920" w:type="dxa"/>
            <w:vAlign w:val="bottom"/>
            <w:tcBorders>
              <w:bottom w:val="single" w:sz="8" w:color="8C8272"/>
            </w:tcBorders>
            <w:vMerge w:val="continue"/>
          </w:tcPr>
          <w:p>
            <w:pPr>
              <w:spacing w:after="0"/>
              <w:rPr>
                <w:sz w:val="15"/>
                <w:szCs w:val="15"/>
                <w:color w:val="auto"/>
              </w:rPr>
            </w:pPr>
          </w:p>
        </w:tc>
        <w:tc>
          <w:tcPr>
            <w:tcW w:w="94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83"/>
        </w:trPr>
        <w:tc>
          <w:tcPr>
            <w:tcW w:w="2080" w:type="dxa"/>
            <w:vAlign w:val="bottom"/>
            <w:shd w:val="clear" w:color="auto" w:fill="E5E5E5"/>
          </w:tcPr>
          <w:p>
            <w:pPr>
              <w:ind w:left="20"/>
              <w:spacing w:after="0"/>
              <w:rPr>
                <w:sz w:val="20"/>
                <w:szCs w:val="20"/>
                <w:color w:val="auto"/>
              </w:rPr>
            </w:pPr>
            <w:r>
              <w:rPr>
                <w:rFonts w:ascii="Arial" w:cs="Arial" w:eastAsia="Arial" w:hAnsi="Arial"/>
                <w:sz w:val="14"/>
                <w:szCs w:val="14"/>
                <w:color w:val="auto"/>
              </w:rPr>
              <w:t>Residential</w:t>
            </w:r>
          </w:p>
        </w:tc>
        <w:tc>
          <w:tcPr>
            <w:tcW w:w="130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35,073</w:t>
            </w:r>
          </w:p>
        </w:tc>
        <w:tc>
          <w:tcPr>
            <w:tcW w:w="11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32,846</w:t>
            </w:r>
          </w:p>
        </w:tc>
        <w:tc>
          <w:tcPr>
            <w:tcW w:w="9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2,227</w:t>
            </w:r>
          </w:p>
        </w:tc>
        <w:tc>
          <w:tcPr>
            <w:tcW w:w="9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6.8 %</w:t>
            </w:r>
          </w:p>
        </w:tc>
        <w:tc>
          <w:tcPr>
            <w:tcW w:w="420" w:type="dxa"/>
            <w:vAlign w:val="bottom"/>
            <w:shd w:val="clear" w:color="auto" w:fill="E5E5E5"/>
          </w:tcPr>
          <w:p>
            <w:pPr>
              <w:spacing w:after="0"/>
              <w:rPr>
                <w:sz w:val="15"/>
                <w:szCs w:val="15"/>
                <w:color w:val="auto"/>
              </w:rPr>
            </w:pPr>
          </w:p>
        </w:tc>
        <w:tc>
          <w:tcPr>
            <w:tcW w:w="13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$660</w:t>
            </w:r>
          </w:p>
        </w:tc>
        <w:tc>
          <w:tcPr>
            <w:tcW w:w="1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$575</w:t>
            </w: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$85</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14.8 %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General</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19,530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19,048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482</w:t>
            </w:r>
          </w:p>
        </w:tc>
        <w:tc>
          <w:tcPr>
            <w:tcW w:w="760" w:type="dxa"/>
            <w:vAlign w:val="bottom"/>
          </w:tcPr>
          <w:p>
            <w:pPr>
              <w:jc w:val="right"/>
              <w:spacing w:after="0"/>
              <w:rPr>
                <w:sz w:val="20"/>
                <w:szCs w:val="20"/>
                <w:color w:val="auto"/>
              </w:rPr>
            </w:pPr>
            <w:r>
              <w:rPr>
                <w:rFonts w:ascii="Arial" w:cs="Arial" w:eastAsia="Arial" w:hAnsi="Arial"/>
                <w:sz w:val="14"/>
                <w:szCs w:val="14"/>
                <w:color w:val="auto"/>
              </w:rPr>
              <w:t>2.5</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254</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201</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Firm transportation</w:t>
            </w:r>
          </w:p>
        </w:tc>
        <w:tc>
          <w:tcPr>
            <w:tcW w:w="130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49,840</w:t>
            </w:r>
          </w:p>
        </w:tc>
        <w:tc>
          <w:tcPr>
            <w:tcW w:w="116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50,029</w:t>
            </w:r>
          </w:p>
        </w:tc>
        <w:tc>
          <w:tcPr>
            <w:tcW w:w="920" w:type="dxa"/>
            <w:vAlign w:val="bottom"/>
            <w:tcBorders>
              <w:bottom w:val="single" w:sz="8" w:color="8C8272"/>
            </w:tcBorders>
            <w:shd w:val="clear" w:color="auto" w:fill="E5E5E5"/>
          </w:tcPr>
          <w:p>
            <w:pPr>
              <w:jc w:val="right"/>
              <w:ind w:right="28"/>
              <w:spacing w:after="0"/>
              <w:rPr>
                <w:sz w:val="20"/>
                <w:szCs w:val="20"/>
                <w:color w:val="auto"/>
              </w:rPr>
            </w:pPr>
            <w:r>
              <w:rPr>
                <w:rFonts w:ascii="Arial" w:cs="Arial" w:eastAsia="Arial" w:hAnsi="Arial"/>
                <w:sz w:val="14"/>
                <w:szCs w:val="14"/>
                <w:color w:val="auto"/>
              </w:rPr>
              <w:t>(189)</w:t>
            </w:r>
          </w:p>
        </w:tc>
        <w:tc>
          <w:tcPr>
            <w:tcW w:w="940" w:type="dxa"/>
            <w:vAlign w:val="bottom"/>
            <w:tcBorders>
              <w:bottom w:val="single" w:sz="8" w:color="8C8272"/>
            </w:tcBorders>
            <w:gridSpan w:val="2"/>
            <w:shd w:val="clear" w:color="auto" w:fill="E5E5E5"/>
          </w:tcPr>
          <w:p>
            <w:pPr>
              <w:jc w:val="right"/>
              <w:ind w:right="88"/>
              <w:spacing w:after="0"/>
              <w:rPr>
                <w:sz w:val="20"/>
                <w:szCs w:val="20"/>
                <w:color w:val="auto"/>
              </w:rPr>
            </w:pPr>
            <w:r>
              <w:rPr>
                <w:rFonts w:ascii="Arial" w:cs="Arial" w:eastAsia="Arial" w:hAnsi="Arial"/>
                <w:sz w:val="14"/>
                <w:szCs w:val="14"/>
                <w:color w:val="auto"/>
              </w:rPr>
              <w:t>(0.4)</w:t>
            </w:r>
          </w:p>
        </w:tc>
        <w:tc>
          <w:tcPr>
            <w:tcW w:w="420" w:type="dxa"/>
            <w:vAlign w:val="bottom"/>
            <w:tcBorders>
              <w:bottom w:val="single" w:sz="8" w:color="828282"/>
            </w:tcBorders>
            <w:shd w:val="clear" w:color="auto" w:fill="E5E5E5"/>
          </w:tcPr>
          <w:p>
            <w:pPr>
              <w:spacing w:after="0"/>
              <w:rPr>
                <w:sz w:val="16"/>
                <w:szCs w:val="16"/>
                <w:color w:val="auto"/>
              </w:rPr>
            </w:pPr>
          </w:p>
        </w:tc>
        <w:tc>
          <w:tcPr>
            <w:tcW w:w="134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455</w:t>
            </w:r>
          </w:p>
        </w:tc>
        <w:tc>
          <w:tcPr>
            <w:tcW w:w="118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428</w:t>
            </w:r>
          </w:p>
        </w:tc>
        <w:tc>
          <w:tcPr>
            <w:tcW w:w="920" w:type="dxa"/>
            <w:vAlign w:val="bottom"/>
            <w:tcBorders>
              <w:bottom w:val="single" w:sz="8" w:color="8C8272"/>
            </w:tcBorders>
            <w:shd w:val="clear" w:color="auto" w:fill="E5E5E5"/>
          </w:tcPr>
          <w:p>
            <w:pPr>
              <w:jc w:val="right"/>
              <w:ind w:right="28"/>
              <w:spacing w:after="0"/>
              <w:rPr>
                <w:sz w:val="20"/>
                <w:szCs w:val="20"/>
                <w:color w:val="auto"/>
              </w:rPr>
            </w:pPr>
            <w:r>
              <w:rPr>
                <w:rFonts w:ascii="Arial" w:cs="Arial" w:eastAsia="Arial" w:hAnsi="Arial"/>
                <w:sz w:val="14"/>
                <w:szCs w:val="14"/>
                <w:color w:val="auto"/>
              </w:rPr>
              <w:t>27</w:t>
            </w:r>
          </w:p>
        </w:tc>
        <w:tc>
          <w:tcPr>
            <w:tcW w:w="940" w:type="dxa"/>
            <w:vAlign w:val="bottom"/>
            <w:tcBorders>
              <w:bottom w:val="single" w:sz="8" w:color="8C8272"/>
            </w:tcBorders>
            <w:shd w:val="clear" w:color="auto" w:fill="E5E5E5"/>
          </w:tcPr>
          <w:p>
            <w:pPr>
              <w:jc w:val="right"/>
              <w:ind w:right="10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2"/>
        </w:trPr>
        <w:tc>
          <w:tcPr>
            <w:tcW w:w="208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Total firm sales and</w:t>
            </w:r>
          </w:p>
        </w:tc>
        <w:tc>
          <w:tcPr>
            <w:tcW w:w="13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104,443</w:t>
            </w: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101,923</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2,520</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w:t>
            </w:r>
          </w:p>
        </w:tc>
        <w:tc>
          <w:tcPr>
            <w:tcW w:w="18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w:t>
            </w: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1,369</w:t>
            </w: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1,204</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165</w:t>
            </w: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13.7</w:t>
            </w: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rPr>
                <w:sz w:val="20"/>
                <w:szCs w:val="20"/>
                <w:color w:val="auto"/>
              </w:rPr>
            </w:pPr>
            <w:r>
              <w:rPr>
                <w:rFonts w:ascii="Arial" w:cs="Arial" w:eastAsia="Arial" w:hAnsi="Arial"/>
                <w:sz w:val="14"/>
                <w:szCs w:val="14"/>
                <w:b w:val="1"/>
                <w:bCs w:val="1"/>
                <w:color w:val="auto"/>
              </w:rPr>
              <w:t>transportation</w:t>
            </w:r>
          </w:p>
        </w:tc>
        <w:tc>
          <w:tcPr>
            <w:tcW w:w="13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E5E5E5"/>
          </w:tcPr>
          <w:p>
            <w:pPr>
              <w:ind w:left="20"/>
              <w:spacing w:after="0"/>
              <w:rPr>
                <w:sz w:val="20"/>
                <w:szCs w:val="20"/>
                <w:color w:val="auto"/>
              </w:rPr>
            </w:pPr>
            <w:r>
              <w:rPr>
                <w:rFonts w:ascii="Arial" w:cs="Arial" w:eastAsia="Arial" w:hAnsi="Arial"/>
                <w:sz w:val="14"/>
                <w:szCs w:val="14"/>
                <w:color w:val="auto"/>
              </w:rPr>
              <w:t>Interruptible sales (c)</w:t>
            </w:r>
          </w:p>
        </w:tc>
        <w:tc>
          <w:tcPr>
            <w:tcW w:w="130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3,549</w:t>
            </w:r>
          </w:p>
        </w:tc>
        <w:tc>
          <w:tcPr>
            <w:tcW w:w="11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4,987</w:t>
            </w: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(1,438)</w:t>
            </w:r>
          </w:p>
        </w:tc>
        <w:tc>
          <w:tcPr>
            <w:tcW w:w="940" w:type="dxa"/>
            <w:vAlign w:val="bottom"/>
            <w:gridSpan w:val="2"/>
            <w:shd w:val="clear" w:color="auto" w:fill="E5E5E5"/>
          </w:tcPr>
          <w:p>
            <w:pPr>
              <w:jc w:val="right"/>
              <w:ind w:right="88"/>
              <w:spacing w:after="0"/>
              <w:rPr>
                <w:sz w:val="20"/>
                <w:szCs w:val="20"/>
                <w:color w:val="auto"/>
              </w:rPr>
            </w:pPr>
            <w:r>
              <w:rPr>
                <w:rFonts w:ascii="Arial" w:cs="Arial" w:eastAsia="Arial" w:hAnsi="Arial"/>
                <w:sz w:val="14"/>
                <w:szCs w:val="14"/>
                <w:color w:val="auto"/>
              </w:rPr>
              <w:t>(28.8)</w:t>
            </w:r>
          </w:p>
        </w:tc>
        <w:tc>
          <w:tcPr>
            <w:tcW w:w="420" w:type="dxa"/>
            <w:vAlign w:val="bottom"/>
            <w:shd w:val="clear" w:color="auto" w:fill="E5E5E5"/>
          </w:tcPr>
          <w:p>
            <w:pPr>
              <w:spacing w:after="0"/>
              <w:rPr>
                <w:sz w:val="16"/>
                <w:szCs w:val="16"/>
                <w:color w:val="auto"/>
              </w:rPr>
            </w:pPr>
          </w:p>
        </w:tc>
        <w:tc>
          <w:tcPr>
            <w:tcW w:w="13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16</w:t>
            </w:r>
          </w:p>
        </w:tc>
        <w:tc>
          <w:tcPr>
            <w:tcW w:w="1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18</w:t>
            </w: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w:t>
            </w:r>
          </w:p>
        </w:tc>
        <w:tc>
          <w:tcPr>
            <w:tcW w:w="9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NYPA</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21,415</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15,744</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5,671</w:t>
            </w:r>
          </w:p>
        </w:tc>
        <w:tc>
          <w:tcPr>
            <w:tcW w:w="760" w:type="dxa"/>
            <w:vAlign w:val="bottom"/>
          </w:tcPr>
          <w:p>
            <w:pPr>
              <w:jc w:val="right"/>
              <w:spacing w:after="0"/>
              <w:rPr>
                <w:sz w:val="20"/>
                <w:szCs w:val="20"/>
                <w:color w:val="auto"/>
              </w:rPr>
            </w:pPr>
            <w:r>
              <w:rPr>
                <w:rFonts w:ascii="Arial" w:cs="Arial" w:eastAsia="Arial" w:hAnsi="Arial"/>
                <w:sz w:val="14"/>
                <w:szCs w:val="14"/>
                <w:color w:val="auto"/>
              </w:rPr>
              <w:t>36.0</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E5E5E5"/>
          </w:tcPr>
          <w:p>
            <w:pPr>
              <w:ind w:left="20"/>
              <w:spacing w:after="0"/>
              <w:rPr>
                <w:sz w:val="20"/>
                <w:szCs w:val="20"/>
                <w:color w:val="auto"/>
              </w:rPr>
            </w:pPr>
            <w:r>
              <w:rPr>
                <w:rFonts w:ascii="Arial" w:cs="Arial" w:eastAsia="Arial" w:hAnsi="Arial"/>
                <w:sz w:val="14"/>
                <w:szCs w:val="14"/>
                <w:color w:val="auto"/>
              </w:rPr>
              <w:t>Generation plants</w:t>
            </w:r>
          </w:p>
        </w:tc>
        <w:tc>
          <w:tcPr>
            <w:tcW w:w="130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17,698</w:t>
            </w:r>
          </w:p>
        </w:tc>
        <w:tc>
          <w:tcPr>
            <w:tcW w:w="11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20,414</w:t>
            </w: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(2,716)</w:t>
            </w:r>
          </w:p>
        </w:tc>
        <w:tc>
          <w:tcPr>
            <w:tcW w:w="940" w:type="dxa"/>
            <w:vAlign w:val="bottom"/>
            <w:gridSpan w:val="2"/>
            <w:shd w:val="clear" w:color="auto" w:fill="E5E5E5"/>
          </w:tcPr>
          <w:p>
            <w:pPr>
              <w:jc w:val="right"/>
              <w:ind w:right="88"/>
              <w:spacing w:after="0"/>
              <w:rPr>
                <w:sz w:val="20"/>
                <w:szCs w:val="20"/>
                <w:color w:val="auto"/>
              </w:rPr>
            </w:pPr>
            <w:r>
              <w:rPr>
                <w:rFonts w:ascii="Arial" w:cs="Arial" w:eastAsia="Arial" w:hAnsi="Arial"/>
                <w:sz w:val="14"/>
                <w:szCs w:val="14"/>
                <w:color w:val="auto"/>
              </w:rPr>
              <w:t>(13.3)</w:t>
            </w:r>
          </w:p>
        </w:tc>
        <w:tc>
          <w:tcPr>
            <w:tcW w:w="420" w:type="dxa"/>
            <w:vAlign w:val="bottom"/>
            <w:shd w:val="clear" w:color="auto" w:fill="E5E5E5"/>
          </w:tcPr>
          <w:p>
            <w:pPr>
              <w:spacing w:after="0"/>
              <w:rPr>
                <w:sz w:val="16"/>
                <w:szCs w:val="16"/>
                <w:color w:val="auto"/>
              </w:rPr>
            </w:pPr>
          </w:p>
        </w:tc>
        <w:tc>
          <w:tcPr>
            <w:tcW w:w="13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10</w:t>
            </w:r>
          </w:p>
        </w:tc>
        <w:tc>
          <w:tcPr>
            <w:tcW w:w="1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10</w:t>
            </w: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Other</w:t>
            </w:r>
          </w:p>
        </w:tc>
        <w:tc>
          <w:tcPr>
            <w:tcW w:w="130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color w:val="auto"/>
              </w:rPr>
              <w:t>11,679</w:t>
            </w:r>
          </w:p>
        </w:tc>
        <w:tc>
          <w:tcPr>
            <w:tcW w:w="116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12,024</w:t>
            </w:r>
          </w:p>
        </w:tc>
        <w:tc>
          <w:tcPr>
            <w:tcW w:w="920" w:type="dxa"/>
            <w:vAlign w:val="bottom"/>
            <w:tcBorders>
              <w:bottom w:val="single" w:sz="8" w:color="8C8272"/>
            </w:tcBorders>
          </w:tcPr>
          <w:p>
            <w:pPr>
              <w:jc w:val="right"/>
              <w:ind w:right="28"/>
              <w:spacing w:after="0"/>
              <w:rPr>
                <w:sz w:val="20"/>
                <w:szCs w:val="20"/>
                <w:color w:val="auto"/>
              </w:rPr>
            </w:pPr>
            <w:r>
              <w:rPr>
                <w:rFonts w:ascii="Arial" w:cs="Arial" w:eastAsia="Arial" w:hAnsi="Arial"/>
                <w:sz w:val="14"/>
                <w:szCs w:val="14"/>
                <w:color w:val="auto"/>
              </w:rPr>
              <w:t>(345)</w:t>
            </w:r>
          </w:p>
        </w:tc>
        <w:tc>
          <w:tcPr>
            <w:tcW w:w="940" w:type="dxa"/>
            <w:vAlign w:val="bottom"/>
            <w:tcBorders>
              <w:bottom w:val="single" w:sz="8" w:color="8C8272"/>
            </w:tcBorders>
            <w:gridSpan w:val="2"/>
          </w:tcPr>
          <w:p>
            <w:pPr>
              <w:jc w:val="right"/>
              <w:ind w:right="88"/>
              <w:spacing w:after="0"/>
              <w:rPr>
                <w:sz w:val="20"/>
                <w:szCs w:val="20"/>
                <w:color w:val="auto"/>
              </w:rPr>
            </w:pPr>
            <w:r>
              <w:rPr>
                <w:rFonts w:ascii="Arial" w:cs="Arial" w:eastAsia="Arial" w:hAnsi="Arial"/>
                <w:sz w:val="14"/>
                <w:szCs w:val="14"/>
                <w:color w:val="auto"/>
              </w:rPr>
              <w:t>(2.9)</w:t>
            </w:r>
          </w:p>
        </w:tc>
        <w:tc>
          <w:tcPr>
            <w:tcW w:w="420" w:type="dxa"/>
            <w:vAlign w:val="bottom"/>
            <w:tcBorders>
              <w:bottom w:val="single" w:sz="8" w:color="828282"/>
            </w:tcBorders>
          </w:tcPr>
          <w:p>
            <w:pPr>
              <w:spacing w:after="0"/>
              <w:rPr>
                <w:sz w:val="16"/>
                <w:szCs w:val="16"/>
                <w:color w:val="auto"/>
              </w:rPr>
            </w:pPr>
          </w:p>
        </w:tc>
        <w:tc>
          <w:tcPr>
            <w:tcW w:w="134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color w:val="auto"/>
              </w:rPr>
              <w:t>22</w:t>
            </w:r>
          </w:p>
        </w:tc>
        <w:tc>
          <w:tcPr>
            <w:tcW w:w="118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color w:val="auto"/>
              </w:rPr>
              <w:t>21</w:t>
            </w:r>
          </w:p>
        </w:tc>
        <w:tc>
          <w:tcPr>
            <w:tcW w:w="920" w:type="dxa"/>
            <w:vAlign w:val="bottom"/>
            <w:tcBorders>
              <w:bottom w:val="single" w:sz="8" w:color="8C8272"/>
            </w:tcBorders>
          </w:tcPr>
          <w:p>
            <w:pPr>
              <w:jc w:val="right"/>
              <w:ind w:right="28"/>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8C8272"/>
            </w:tcBorders>
          </w:tcPr>
          <w:p>
            <w:pPr>
              <w:jc w:val="right"/>
              <w:ind w:right="10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3"/>
        </w:trPr>
        <w:tc>
          <w:tcPr>
            <w:tcW w:w="208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 operating revenues (d)</w:t>
            </w:r>
          </w:p>
        </w:tc>
        <w:tc>
          <w:tcPr>
            <w:tcW w:w="130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spacing w:after="0"/>
              <w:rPr>
                <w:sz w:val="15"/>
                <w:szCs w:val="15"/>
                <w:color w:val="auto"/>
              </w:rPr>
            </w:pPr>
          </w:p>
        </w:tc>
        <w:tc>
          <w:tcPr>
            <w:tcW w:w="6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w:t>
            </w:r>
          </w:p>
        </w:tc>
        <w:tc>
          <w:tcPr>
            <w:tcW w:w="1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w:t>
            </w: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9</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Large</w:t>
            </w:r>
          </w:p>
        </w:tc>
        <w:tc>
          <w:tcPr>
            <w:tcW w:w="0" w:type="dxa"/>
            <w:vAlign w:val="bottom"/>
          </w:tcPr>
          <w:p>
            <w:pPr>
              <w:spacing w:after="0"/>
              <w:rPr>
                <w:sz w:val="1"/>
                <w:szCs w:val="1"/>
                <w:color w:val="auto"/>
              </w:rPr>
            </w:pPr>
          </w:p>
        </w:tc>
      </w:tr>
      <w:tr>
        <w:trPr>
          <w:trHeight w:val="183"/>
        </w:trPr>
        <w:tc>
          <w:tcPr>
            <w:tcW w:w="2080" w:type="dxa"/>
            <w:vAlign w:val="bottom"/>
            <w:tcBorders>
              <w:top w:val="single" w:sz="8" w:color="8C8272"/>
              <w:bottom w:val="single" w:sz="8" w:color="8C8272"/>
            </w:tcBorders>
          </w:tcPr>
          <w:p>
            <w:pPr>
              <w:ind w:left="360"/>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top w:val="single" w:sz="8" w:color="8C8272"/>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158,784</w:t>
            </w:r>
          </w:p>
        </w:tc>
        <w:tc>
          <w:tcPr>
            <w:tcW w:w="1160" w:type="dxa"/>
            <w:vAlign w:val="bottom"/>
            <w:tcBorders>
              <w:top w:val="single" w:sz="8" w:color="8C8272"/>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155,092</w:t>
            </w:r>
          </w:p>
        </w:tc>
        <w:tc>
          <w:tcPr>
            <w:tcW w:w="920" w:type="dxa"/>
            <w:vAlign w:val="bottom"/>
            <w:tcBorders>
              <w:top w:val="single" w:sz="8" w:color="8C8272"/>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3,692</w:t>
            </w:r>
          </w:p>
        </w:tc>
        <w:tc>
          <w:tcPr>
            <w:tcW w:w="940" w:type="dxa"/>
            <w:vAlign w:val="bottom"/>
            <w:tcBorders>
              <w:top w:val="single" w:sz="8" w:color="8C8272"/>
              <w:bottom w:val="single" w:sz="8" w:color="8C8272"/>
            </w:tcBorders>
            <w:gridSpan w:val="2"/>
          </w:tcPr>
          <w:p>
            <w:pPr>
              <w:jc w:val="right"/>
              <w:spacing w:after="0"/>
              <w:rPr>
                <w:sz w:val="20"/>
                <w:szCs w:val="20"/>
                <w:color w:val="auto"/>
              </w:rPr>
            </w:pPr>
            <w:r>
              <w:rPr>
                <w:rFonts w:ascii="Arial" w:cs="Arial" w:eastAsia="Arial" w:hAnsi="Arial"/>
                <w:sz w:val="14"/>
                <w:szCs w:val="14"/>
                <w:b w:val="1"/>
                <w:bCs w:val="1"/>
                <w:color w:val="auto"/>
              </w:rPr>
              <w:t>2.4 %</w:t>
            </w:r>
          </w:p>
        </w:tc>
        <w:tc>
          <w:tcPr>
            <w:tcW w:w="420" w:type="dxa"/>
            <w:vAlign w:val="bottom"/>
            <w:tcBorders>
              <w:top w:val="single" w:sz="8" w:color="828282"/>
              <w:bottom w:val="single" w:sz="8" w:color="828282"/>
            </w:tcBorders>
          </w:tcPr>
          <w:p>
            <w:pPr>
              <w:spacing w:after="0"/>
              <w:rPr>
                <w:sz w:val="15"/>
                <w:szCs w:val="15"/>
                <w:color w:val="auto"/>
              </w:rPr>
            </w:pPr>
          </w:p>
        </w:tc>
        <w:tc>
          <w:tcPr>
            <w:tcW w:w="1340" w:type="dxa"/>
            <w:vAlign w:val="bottom"/>
            <w:tcBorders>
              <w:top w:val="single" w:sz="8" w:color="8C8272"/>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$1,423</w:t>
            </w:r>
          </w:p>
        </w:tc>
        <w:tc>
          <w:tcPr>
            <w:tcW w:w="1180" w:type="dxa"/>
            <w:vAlign w:val="bottom"/>
            <w:tcBorders>
              <w:top w:val="single" w:sz="8" w:color="8C8272"/>
              <w:bottom w:val="single" w:sz="8" w:color="8C8272"/>
            </w:tcBorders>
          </w:tcPr>
          <w:p>
            <w:pPr>
              <w:jc w:val="right"/>
              <w:ind w:right="8"/>
              <w:spacing w:after="0"/>
              <w:rPr>
                <w:sz w:val="20"/>
                <w:szCs w:val="20"/>
                <w:color w:val="auto"/>
              </w:rPr>
            </w:pPr>
            <w:r>
              <w:rPr>
                <w:rFonts w:ascii="Arial" w:cs="Arial" w:eastAsia="Arial" w:hAnsi="Arial"/>
                <w:sz w:val="14"/>
                <w:szCs w:val="14"/>
                <w:b w:val="1"/>
                <w:bCs w:val="1"/>
                <w:color w:val="auto"/>
              </w:rPr>
              <w:t>$1,250</w:t>
            </w:r>
          </w:p>
        </w:tc>
        <w:tc>
          <w:tcPr>
            <w:tcW w:w="920" w:type="dxa"/>
            <w:vAlign w:val="bottom"/>
            <w:tcBorders>
              <w:top w:val="single" w:sz="8" w:color="8C8272"/>
              <w:bottom w:val="single" w:sz="8" w:color="8C8272"/>
            </w:tcBorders>
          </w:tcPr>
          <w:p>
            <w:pPr>
              <w:jc w:val="right"/>
              <w:ind w:right="28"/>
              <w:spacing w:after="0"/>
              <w:rPr>
                <w:sz w:val="20"/>
                <w:szCs w:val="20"/>
                <w:color w:val="auto"/>
              </w:rPr>
            </w:pPr>
            <w:r>
              <w:rPr>
                <w:rFonts w:ascii="Arial" w:cs="Arial" w:eastAsia="Arial" w:hAnsi="Arial"/>
                <w:sz w:val="14"/>
                <w:szCs w:val="14"/>
                <w:b w:val="1"/>
                <w:bCs w:val="1"/>
                <w:color w:val="auto"/>
              </w:rPr>
              <w:t>$173</w:t>
            </w:r>
          </w:p>
        </w:tc>
        <w:tc>
          <w:tcPr>
            <w:tcW w:w="940" w:type="dxa"/>
            <w:vAlign w:val="bottom"/>
            <w:tcBorders>
              <w:top w:val="single" w:sz="8" w:color="8C8272"/>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13.8 %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-128270</wp:posOffset>
            </wp:positionV>
            <wp:extent cx="8890" cy="17145"/>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-102235</wp:posOffset>
            </wp:positionV>
            <wp:extent cx="8890" cy="8890"/>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-85090</wp:posOffset>
            </wp:positionV>
            <wp:extent cx="8890" cy="8890"/>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-67945</wp:posOffset>
            </wp:positionV>
            <wp:extent cx="8890" cy="825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-50800</wp:posOffset>
            </wp:positionV>
            <wp:extent cx="8890" cy="825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-33655</wp:posOffset>
            </wp:positionV>
            <wp:extent cx="8890" cy="825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-16510</wp:posOffset>
            </wp:positionV>
            <wp:extent cx="8890" cy="8890"/>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-256540</wp:posOffset>
            </wp:positionV>
            <wp:extent cx="8890" cy="1714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-230505</wp:posOffset>
            </wp:positionV>
            <wp:extent cx="8890" cy="825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-213995</wp:posOffset>
            </wp:positionV>
            <wp:extent cx="8890" cy="8890"/>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-196215</wp:posOffset>
            </wp:positionV>
            <wp:extent cx="8890" cy="8890"/>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-179070</wp:posOffset>
            </wp:positionV>
            <wp:extent cx="8890" cy="8255"/>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-161925</wp:posOffset>
            </wp:positionV>
            <wp:extent cx="8890" cy="825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-144780</wp:posOffset>
            </wp:positionV>
            <wp:extent cx="8890" cy="825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-359410</wp:posOffset>
            </wp:positionV>
            <wp:extent cx="8890" cy="825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-342265</wp:posOffset>
            </wp:positionV>
            <wp:extent cx="8890" cy="8890"/>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-325120</wp:posOffset>
            </wp:positionV>
            <wp:extent cx="8890" cy="8890"/>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-307975</wp:posOffset>
            </wp:positionV>
            <wp:extent cx="8890" cy="825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-290830</wp:posOffset>
            </wp:positionV>
            <wp:extent cx="8890" cy="825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-273685</wp:posOffset>
            </wp:positionV>
            <wp:extent cx="8890" cy="825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-479425</wp:posOffset>
            </wp:positionV>
            <wp:extent cx="8890" cy="825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-462280</wp:posOffset>
            </wp:positionV>
            <wp:extent cx="8890" cy="8255"/>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-445135</wp:posOffset>
            </wp:positionV>
            <wp:extent cx="8890" cy="825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-427990</wp:posOffset>
            </wp:positionV>
            <wp:extent cx="8890" cy="8890"/>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-410845</wp:posOffset>
            </wp:positionV>
            <wp:extent cx="8890" cy="8890"/>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-393700</wp:posOffset>
            </wp:positionV>
            <wp:extent cx="8890" cy="25400"/>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-599440</wp:posOffset>
            </wp:positionV>
            <wp:extent cx="8890" cy="8890"/>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-582295</wp:posOffset>
            </wp:positionV>
            <wp:extent cx="8890" cy="8890"/>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-565150</wp:posOffset>
            </wp:positionV>
            <wp:extent cx="8890" cy="825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-548005</wp:posOffset>
            </wp:positionV>
            <wp:extent cx="8890" cy="825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-530860</wp:posOffset>
            </wp:positionV>
            <wp:extent cx="8890" cy="825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-513715</wp:posOffset>
            </wp:positionV>
            <wp:extent cx="8890" cy="2603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-719455</wp:posOffset>
            </wp:positionV>
            <wp:extent cx="8890" cy="825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-702310</wp:posOffset>
            </wp:positionV>
            <wp:extent cx="8890" cy="825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-685165</wp:posOffset>
            </wp:positionV>
            <wp:extent cx="8890" cy="8890"/>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-668020</wp:posOffset>
            </wp:positionV>
            <wp:extent cx="8890" cy="8890"/>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-650875</wp:posOffset>
            </wp:positionV>
            <wp:extent cx="8890" cy="825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-633730</wp:posOffset>
            </wp:positionV>
            <wp:extent cx="8890" cy="25400"/>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-950595</wp:posOffset>
            </wp:positionV>
            <wp:extent cx="8890" cy="1714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-925195</wp:posOffset>
            </wp:positionV>
            <wp:extent cx="8890" cy="8890"/>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-908050</wp:posOffset>
            </wp:positionV>
            <wp:extent cx="8890" cy="8890"/>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-890905</wp:posOffset>
            </wp:positionV>
            <wp:extent cx="8890" cy="825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-873760</wp:posOffset>
            </wp:positionV>
            <wp:extent cx="8890"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-856615</wp:posOffset>
            </wp:positionV>
            <wp:extent cx="8890" cy="825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-839470</wp:posOffset>
            </wp:positionV>
            <wp:extent cx="8890" cy="8890"/>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-822325</wp:posOffset>
            </wp:positionV>
            <wp:extent cx="8890" cy="8890"/>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-805180</wp:posOffset>
            </wp:positionV>
            <wp:extent cx="8890" cy="825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-788035</wp:posOffset>
            </wp:positionV>
            <wp:extent cx="8890" cy="825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-770890</wp:posOffset>
            </wp:positionV>
            <wp:extent cx="8890" cy="8890"/>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-753745</wp:posOffset>
            </wp:positionV>
            <wp:extent cx="8890" cy="25400"/>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-1053465</wp:posOffset>
            </wp:positionV>
            <wp:extent cx="8890" cy="8890"/>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-1036320</wp:posOffset>
            </wp:positionV>
            <wp:extent cx="8890" cy="8890"/>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-1019175</wp:posOffset>
            </wp:positionV>
            <wp:extent cx="8890" cy="825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-1002030</wp:posOffset>
            </wp:positionV>
            <wp:extent cx="8890" cy="825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-984885</wp:posOffset>
            </wp:positionV>
            <wp:extent cx="8890" cy="825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-967740</wp:posOffset>
            </wp:positionV>
            <wp:extent cx="8890" cy="8890"/>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-1173480</wp:posOffset>
            </wp:positionV>
            <wp:extent cx="8890" cy="825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-1156335</wp:posOffset>
            </wp:positionV>
            <wp:extent cx="8890" cy="825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-1139190</wp:posOffset>
            </wp:positionV>
            <wp:extent cx="8890" cy="8890"/>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-1122045</wp:posOffset>
            </wp:positionV>
            <wp:extent cx="8890" cy="8890"/>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-1104900</wp:posOffset>
            </wp:positionV>
            <wp:extent cx="8890" cy="825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-1087755</wp:posOffset>
            </wp:positionV>
            <wp:extent cx="8890" cy="25400"/>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-1319530</wp:posOffset>
            </wp:positionV>
            <wp:extent cx="8890" cy="1714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-1293495</wp:posOffset>
            </wp:positionV>
            <wp:extent cx="8890" cy="8890"/>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-1276350</wp:posOffset>
            </wp:positionV>
            <wp:extent cx="8890" cy="825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-1259205</wp:posOffset>
            </wp:positionV>
            <wp:extent cx="8890" cy="825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-1242060</wp:posOffset>
            </wp:positionV>
            <wp:extent cx="8890" cy="825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-1224915</wp:posOffset>
            </wp:positionV>
            <wp:extent cx="8890" cy="8890"/>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-1207770</wp:posOffset>
            </wp:positionV>
            <wp:extent cx="8890" cy="25400"/>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-1508125</wp:posOffset>
            </wp:positionV>
            <wp:extent cx="8890" cy="8890"/>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-1490980</wp:posOffset>
            </wp:positionV>
            <wp:extent cx="8890" cy="8890"/>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-1473835</wp:posOffset>
            </wp:positionV>
            <wp:extent cx="8890" cy="825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-1456690</wp:posOffset>
            </wp:positionV>
            <wp:extent cx="8890" cy="825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-1439545</wp:posOffset>
            </wp:positionV>
            <wp:extent cx="8890" cy="8890"/>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-1422400</wp:posOffset>
            </wp:positionV>
            <wp:extent cx="8890" cy="8890"/>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-1405255</wp:posOffset>
            </wp:positionV>
            <wp:extent cx="8890" cy="825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-1388110</wp:posOffset>
            </wp:positionV>
            <wp:extent cx="8890" cy="825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-1370965</wp:posOffset>
            </wp:positionV>
            <wp:extent cx="8890" cy="82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-1353820</wp:posOffset>
            </wp:positionV>
            <wp:extent cx="8890" cy="8890"/>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-1336675</wp:posOffset>
            </wp:positionV>
            <wp:extent cx="8890" cy="8890"/>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79" w:lineRule="exact"/>
        <w:rPr>
          <w:sz w:val="20"/>
          <w:szCs w:val="20"/>
          <w:color w:val="auto"/>
        </w:rPr>
      </w:pPr>
    </w:p>
    <w:p>
      <w:pPr>
        <w:ind w:left="340" w:right="340" w:hanging="332"/>
        <w:spacing w:after="0" w:line="241" w:lineRule="auto"/>
        <w:tabs>
          <w:tab w:leader="none" w:pos="327"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Revenues from gas sales are subject to a weather normalization clause and a revenue decoupling mechanism as a result of which delivery revenues are generally not affected by changes in delivery volumes from levels assumed when rates were approved.</w:t>
      </w:r>
    </w:p>
    <w:p>
      <w:pPr>
        <w:ind w:left="340" w:right="40" w:hanging="332"/>
        <w:spacing w:after="0" w:line="241" w:lineRule="auto"/>
        <w:tabs>
          <w:tab w:leader="none" w:pos="327" w:val="left"/>
        </w:tabs>
        <w:numPr>
          <w:ilvl w:val="0"/>
          <w:numId w:val="31"/>
        </w:numPr>
        <w:rPr>
          <w:rFonts w:ascii="Arial" w:cs="Arial" w:eastAsia="Arial" w:hAnsi="Arial"/>
          <w:sz w:val="14"/>
          <w:szCs w:val="14"/>
          <w:color w:val="auto"/>
        </w:rPr>
      </w:pPr>
      <w:r>
        <w:rPr>
          <w:rFonts w:ascii="Arial" w:cs="Arial" w:eastAsia="Arial" w:hAnsi="Arial"/>
          <w:sz w:val="14"/>
          <w:szCs w:val="14"/>
          <w:color w:val="auto"/>
        </w:rPr>
        <w:t>After adjusting for variations, primarily billing days, firm gas sales and transportation volumes in the company’s service area decreased 0.6 percent in the six months ended June 30, 2021 compared with the 2020 period. See “Coronavirus Disease 2019 (COVID-19) Impacts,” above.</w:t>
      </w:r>
    </w:p>
    <w:p>
      <w:pPr>
        <w:ind w:left="320" w:hanging="312"/>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1,128 thousand and 2,285 thousand of Dt for the 2021 and 2020 periods, respectively, which are also reflected in firm transportation and other.</w:t>
      </w:r>
    </w:p>
    <w:p>
      <w:pPr>
        <w:spacing w:after="0" w:line="1" w:lineRule="exact"/>
        <w:rPr>
          <w:rFonts w:ascii="Arial" w:cs="Arial" w:eastAsia="Arial" w:hAnsi="Arial"/>
          <w:sz w:val="14"/>
          <w:szCs w:val="14"/>
          <w:color w:val="auto"/>
        </w:rPr>
      </w:pPr>
    </w:p>
    <w:p>
      <w:pPr>
        <w:ind w:left="340" w:right="260" w:hanging="332"/>
        <w:spacing w:after="0" w:line="258" w:lineRule="auto"/>
        <w:tabs>
          <w:tab w:leader="none" w:pos="327" w:val="left"/>
        </w:tabs>
        <w:numPr>
          <w:ilvl w:val="0"/>
          <w:numId w:val="31"/>
        </w:numPr>
        <w:rPr>
          <w:rFonts w:ascii="Arial" w:cs="Arial" w:eastAsia="Arial" w:hAnsi="Arial"/>
          <w:sz w:val="14"/>
          <w:szCs w:val="14"/>
          <w:color w:val="auto"/>
        </w:rPr>
      </w:pPr>
      <w:r>
        <w:rPr>
          <w:rFonts w:ascii="Arial" w:cs="Arial" w:eastAsia="Arial" w:hAnsi="Arial"/>
          <w:sz w:val="14"/>
          <w:szCs w:val="14"/>
          <w:color w:val="auto"/>
        </w:rPr>
        <w:t>Other gas operating revenues generally reflect changes in the revenue decoupling mechanism and weather normalization clause current asset or regulatory liability and changes in regulatory assets and liabilities in accordance with other provisions of the company’s rate plans.</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71" w:name="page72"/>
    <w:bookmarkEnd w:id="71"/>
    <w:p>
      <w:pPr>
        <w:ind w:right="620"/>
        <w:spacing w:after="0" w:line="282"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increased $173 million in the six months ended June 30, 2021 compared with the 2020 period primarily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revenues from the gas rate plan ($131 million) and higher gas purchased for resale expense ($36 million).</w:t>
      </w:r>
    </w:p>
    <w:p>
      <w:pPr>
        <w:spacing w:after="0" w:line="189"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i w:val="1"/>
          <w:iCs w:val="1"/>
          <w:color w:val="auto"/>
        </w:rPr>
        <w:t xml:space="preserve">Gas purchased for resale </w:t>
      </w:r>
      <w:r>
        <w:rPr>
          <w:rFonts w:ascii="Arial" w:cs="Arial" w:eastAsia="Arial" w:hAnsi="Arial"/>
          <w:sz w:val="18"/>
          <w:szCs w:val="18"/>
          <w:color w:val="auto"/>
        </w:rPr>
        <w:t>increased $36 million in the six months ended June 30, 2021 compared with the 2020 period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volumes ($19 million) and higher unit costs ($17 million).</w:t>
      </w:r>
    </w:p>
    <w:p>
      <w:pPr>
        <w:spacing w:after="0" w:line="189"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i w:val="1"/>
          <w:iCs w:val="1"/>
          <w:color w:val="auto"/>
        </w:rPr>
        <w:t xml:space="preserve">Other operations and maintenance </w:t>
      </w:r>
      <w:r>
        <w:rPr>
          <w:rFonts w:ascii="Arial" w:cs="Arial" w:eastAsia="Arial" w:hAnsi="Arial"/>
          <w:sz w:val="18"/>
          <w:szCs w:val="18"/>
          <w:color w:val="auto"/>
        </w:rPr>
        <w:t>expenses increased $2 million in the six months ended June 30, 2021 compared with the 2020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costs for pension and other postretirement benefits ($7 million), higher healthcare costs ($3 million), offset in part by municipal infrastructure support ($8 million).</w:t>
      </w:r>
    </w:p>
    <w:p>
      <w:pPr>
        <w:spacing w:after="0" w:line="20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increased $14 million in the six months ended June 30, 2021 compared with the 2020 period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gas utility plant balances.</w:t>
      </w:r>
    </w:p>
    <w:p>
      <w:pPr>
        <w:spacing w:after="0" w:line="189" w:lineRule="exact"/>
        <w:rPr>
          <w:sz w:val="20"/>
          <w:szCs w:val="20"/>
          <w:color w:val="auto"/>
        </w:rPr>
      </w:pPr>
    </w:p>
    <w:p>
      <w:pPr>
        <w:jc w:val="both"/>
        <w:ind w:right="60"/>
        <w:spacing w:after="0" w:line="313" w:lineRule="auto"/>
        <w:rPr>
          <w:sz w:val="20"/>
          <w:szCs w:val="20"/>
          <w:color w:val="auto"/>
        </w:rPr>
      </w:pPr>
      <w:r>
        <w:rPr>
          <w:rFonts w:ascii="Arial" w:cs="Arial" w:eastAsia="Arial" w:hAnsi="Arial"/>
          <w:sz w:val="17"/>
          <w:szCs w:val="17"/>
          <w:i w:val="1"/>
          <w:iCs w:val="1"/>
          <w:color w:val="auto"/>
        </w:rPr>
        <w:t xml:space="preserve">Taxes, other than income taxes </w:t>
      </w:r>
      <w:r>
        <w:rPr>
          <w:rFonts w:ascii="Arial" w:cs="Arial" w:eastAsia="Arial" w:hAnsi="Arial"/>
          <w:sz w:val="17"/>
          <w:szCs w:val="17"/>
          <w:color w:val="auto"/>
        </w:rPr>
        <w:t>increased $57 million in the six months ended June 30, 2021 compared with the 2020 period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lower deferral of under-collected property taxes ($31 million), higher property taxes ($20 million) and higher state and local taxes ($5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Steam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CECONY’s results of steam operations for the six months ended June 30, 2021 compared with the 2020 period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Borders>
              <w:bottom w:val="single" w:sz="8" w:color="8C8272"/>
            </w:tcBorders>
          </w:tcPr>
          <w:p>
            <w:pPr>
              <w:spacing w:after="0"/>
              <w:rPr>
                <w:sz w:val="16"/>
                <w:szCs w:val="16"/>
                <w:color w:val="auto"/>
              </w:rPr>
            </w:pPr>
          </w:p>
        </w:tc>
        <w:tc>
          <w:tcPr>
            <w:tcW w:w="5360" w:type="dxa"/>
            <w:vAlign w:val="bottom"/>
            <w:tcBorders>
              <w:bottom w:val="single" w:sz="8" w:color="8C8272"/>
            </w:tcBorders>
            <w:gridSpan w:val="2"/>
          </w:tcPr>
          <w:p>
            <w:pPr>
              <w:jc w:val="right"/>
              <w:ind w:right="868"/>
              <w:spacing w:after="0"/>
              <w:rPr>
                <w:sz w:val="20"/>
                <w:szCs w:val="20"/>
                <w:color w:val="auto"/>
              </w:rPr>
            </w:pPr>
            <w:r>
              <w:rPr>
                <w:rFonts w:ascii="Arial" w:cs="Arial" w:eastAsia="Arial" w:hAnsi="Arial"/>
                <w:sz w:val="14"/>
                <w:szCs w:val="14"/>
                <w:b w:val="1"/>
                <w:bCs w:val="1"/>
                <w:color w:val="auto"/>
              </w:rPr>
              <w:t>For the Six Months Ended</w:t>
            </w:r>
          </w:p>
        </w:tc>
        <w:tc>
          <w:tcPr>
            <w:tcW w:w="1040" w:type="dxa"/>
            <w:vAlign w:val="bottom"/>
            <w:tcBorders>
              <w:bottom w:val="single" w:sz="8" w:color="8C8272"/>
            </w:tcBorders>
          </w:tcPr>
          <w:p>
            <w:pPr>
              <w:spacing w:after="0"/>
              <w:rPr>
                <w:sz w:val="16"/>
                <w:szCs w:val="16"/>
                <w:color w:val="auto"/>
              </w:rPr>
            </w:pPr>
          </w:p>
        </w:tc>
      </w:tr>
      <w:tr>
        <w:trPr>
          <w:trHeight w:val="183"/>
        </w:trPr>
        <w:tc>
          <w:tcPr>
            <w:tcW w:w="484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76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June 30, 2021</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June 30, 2020</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r>
      <w:tr>
        <w:trPr>
          <w:trHeight w:val="183"/>
        </w:trPr>
        <w:tc>
          <w:tcPr>
            <w:tcW w:w="484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revenues</w:t>
            </w:r>
          </w:p>
        </w:tc>
        <w:tc>
          <w:tcPr>
            <w:tcW w:w="37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$338</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$334</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4840" w:type="dxa"/>
            <w:vAlign w:val="bottom"/>
          </w:tcPr>
          <w:p>
            <w:pPr>
              <w:ind w:left="20"/>
              <w:spacing w:after="0"/>
              <w:rPr>
                <w:sz w:val="20"/>
                <w:szCs w:val="20"/>
                <w:color w:val="auto"/>
              </w:rPr>
            </w:pPr>
            <w:r>
              <w:rPr>
                <w:rFonts w:ascii="Arial" w:cs="Arial" w:eastAsia="Arial" w:hAnsi="Arial"/>
                <w:sz w:val="14"/>
                <w:szCs w:val="14"/>
                <w:color w:val="auto"/>
              </w:rPr>
              <w:t>Purchased power</w:t>
            </w:r>
          </w:p>
        </w:tc>
        <w:tc>
          <w:tcPr>
            <w:tcW w:w="3760" w:type="dxa"/>
            <w:vAlign w:val="bottom"/>
          </w:tcPr>
          <w:p>
            <w:pPr>
              <w:jc w:val="right"/>
              <w:ind w:right="168"/>
              <w:spacing w:after="0"/>
              <w:rPr>
                <w:sz w:val="20"/>
                <w:szCs w:val="20"/>
                <w:color w:val="auto"/>
              </w:rPr>
            </w:pPr>
            <w:r>
              <w:rPr>
                <w:rFonts w:ascii="Arial" w:cs="Arial" w:eastAsia="Arial" w:hAnsi="Arial"/>
                <w:sz w:val="14"/>
                <w:szCs w:val="14"/>
                <w:color w:val="auto"/>
              </w:rPr>
              <w:t>18</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14</w:t>
            </w: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4840" w:type="dxa"/>
            <w:vAlign w:val="bottom"/>
            <w:shd w:val="clear" w:color="auto" w:fill="E5E5E5"/>
          </w:tcPr>
          <w:p>
            <w:pPr>
              <w:ind w:left="20"/>
              <w:spacing w:after="0"/>
              <w:rPr>
                <w:sz w:val="20"/>
                <w:szCs w:val="20"/>
                <w:color w:val="auto"/>
              </w:rPr>
            </w:pPr>
            <w:r>
              <w:rPr>
                <w:rFonts w:ascii="Arial" w:cs="Arial" w:eastAsia="Arial" w:hAnsi="Arial"/>
                <w:sz w:val="14"/>
                <w:szCs w:val="14"/>
                <w:color w:val="auto"/>
              </w:rPr>
              <w:t>Fuel</w:t>
            </w:r>
          </w:p>
        </w:tc>
        <w:tc>
          <w:tcPr>
            <w:tcW w:w="37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53</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63</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4840" w:type="dxa"/>
            <w:vAlign w:val="bottom"/>
          </w:tcPr>
          <w:p>
            <w:pPr>
              <w:ind w:left="20"/>
              <w:spacing w:after="0"/>
              <w:rPr>
                <w:sz w:val="20"/>
                <w:szCs w:val="20"/>
                <w:color w:val="auto"/>
              </w:rPr>
            </w:pPr>
            <w:r>
              <w:rPr>
                <w:rFonts w:ascii="Arial" w:cs="Arial" w:eastAsia="Arial" w:hAnsi="Arial"/>
                <w:sz w:val="14"/>
                <w:szCs w:val="14"/>
                <w:color w:val="auto"/>
              </w:rPr>
              <w:t>Other operations and maintenance</w:t>
            </w:r>
          </w:p>
        </w:tc>
        <w:tc>
          <w:tcPr>
            <w:tcW w:w="3760" w:type="dxa"/>
            <w:vAlign w:val="bottom"/>
          </w:tcPr>
          <w:p>
            <w:pPr>
              <w:jc w:val="right"/>
              <w:ind w:right="168"/>
              <w:spacing w:after="0"/>
              <w:rPr>
                <w:sz w:val="20"/>
                <w:szCs w:val="20"/>
                <w:color w:val="auto"/>
              </w:rPr>
            </w:pPr>
            <w:r>
              <w:rPr>
                <w:rFonts w:ascii="Arial" w:cs="Arial" w:eastAsia="Arial" w:hAnsi="Arial"/>
                <w:sz w:val="14"/>
                <w:szCs w:val="14"/>
                <w:color w:val="auto"/>
              </w:rPr>
              <w:t>80</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82</w:t>
            </w: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4840" w:type="dxa"/>
            <w:vAlign w:val="bottom"/>
            <w:shd w:val="clear" w:color="auto" w:fill="E5E5E5"/>
          </w:tcPr>
          <w:p>
            <w:pPr>
              <w:ind w:left="20"/>
              <w:spacing w:after="0"/>
              <w:rPr>
                <w:sz w:val="20"/>
                <w:szCs w:val="20"/>
                <w:color w:val="auto"/>
              </w:rPr>
            </w:pPr>
            <w:r>
              <w:rPr>
                <w:rFonts w:ascii="Arial" w:cs="Arial" w:eastAsia="Arial" w:hAnsi="Arial"/>
                <w:sz w:val="14"/>
                <w:szCs w:val="14"/>
                <w:color w:val="auto"/>
              </w:rPr>
              <w:t>Depreciation and amortization</w:t>
            </w:r>
          </w:p>
        </w:tc>
        <w:tc>
          <w:tcPr>
            <w:tcW w:w="37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46</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45</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484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Taxes, other than income taxes</w:t>
            </w:r>
          </w:p>
        </w:tc>
        <w:tc>
          <w:tcPr>
            <w:tcW w:w="376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color w:val="auto"/>
              </w:rPr>
              <w:t>72</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color w:val="auto"/>
              </w:rPr>
              <w:t>72</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84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b w:val="1"/>
                <w:bCs w:val="1"/>
                <w:color w:val="auto"/>
              </w:rPr>
              <w:t>Steam operating income</w:t>
            </w:r>
          </w:p>
        </w:tc>
        <w:tc>
          <w:tcPr>
            <w:tcW w:w="3760" w:type="dxa"/>
            <w:vAlign w:val="bottom"/>
            <w:tcBorders>
              <w:bottom w:val="single" w:sz="8" w:color="8C8272"/>
            </w:tcBorders>
            <w:shd w:val="clear" w:color="auto" w:fill="E5E5E5"/>
          </w:tcPr>
          <w:p>
            <w:pPr>
              <w:jc w:val="right"/>
              <w:ind w:right="168"/>
              <w:spacing w:after="0"/>
              <w:rPr>
                <w:sz w:val="20"/>
                <w:szCs w:val="20"/>
                <w:color w:val="auto"/>
              </w:rPr>
            </w:pPr>
            <w:r>
              <w:rPr>
                <w:rFonts w:ascii="Arial" w:cs="Arial" w:eastAsia="Arial" w:hAnsi="Arial"/>
                <w:sz w:val="14"/>
                <w:szCs w:val="14"/>
                <w:b w:val="1"/>
                <w:bCs w:val="1"/>
                <w:color w:val="auto"/>
              </w:rPr>
              <w:t>$69</w:t>
            </w:r>
          </w:p>
        </w:tc>
        <w:tc>
          <w:tcPr>
            <w:tcW w:w="1600" w:type="dxa"/>
            <w:vAlign w:val="bottom"/>
            <w:tcBorders>
              <w:bottom w:val="single" w:sz="8" w:color="8C8272"/>
            </w:tcBorders>
            <w:shd w:val="clear" w:color="auto" w:fill="E5E5E5"/>
          </w:tcPr>
          <w:p>
            <w:pPr>
              <w:jc w:val="right"/>
              <w:ind w:right="328"/>
              <w:spacing w:after="0"/>
              <w:rPr>
                <w:sz w:val="20"/>
                <w:szCs w:val="20"/>
                <w:color w:val="auto"/>
              </w:rPr>
            </w:pPr>
            <w:r>
              <w:rPr>
                <w:rFonts w:ascii="Arial" w:cs="Arial" w:eastAsia="Arial" w:hAnsi="Arial"/>
                <w:sz w:val="14"/>
                <w:szCs w:val="14"/>
                <w:b w:val="1"/>
                <w:bCs w:val="1"/>
                <w:color w:val="auto"/>
              </w:rPr>
              <w:t>$58</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$11</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CECONY’s steam sales and deliveries for the six months ended June 30, 2021 compared with the 2020 period were:</w:t>
      </w:r>
    </w:p>
    <w:p>
      <w:pPr>
        <w:sectPr>
          <w:pgSz w:w="11900" w:h="16838" w:orient="portrait"/>
          <w:cols w:equalWidth="0" w:num="1">
            <w:col w:w="11240"/>
          </w:cols>
          <w:pgMar w:left="320" w:top="1187" w:right="339" w:bottom="1440" w:gutter="0" w:footer="0" w:header="0"/>
        </w:sectPr>
      </w:pP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00" w:type="dxa"/>
            <w:vAlign w:val="bottom"/>
            <w:tcBorders>
              <w:bottom w:val="single" w:sz="8" w:color="8C8272"/>
            </w:tcBorders>
          </w:tcPr>
          <w:p>
            <w:pPr>
              <w:spacing w:after="0"/>
              <w:rPr>
                <w:sz w:val="16"/>
                <w:szCs w:val="16"/>
                <w:color w:val="auto"/>
              </w:rPr>
            </w:pPr>
          </w:p>
        </w:tc>
        <w:tc>
          <w:tcPr>
            <w:tcW w:w="1500" w:type="dxa"/>
            <w:vAlign w:val="bottom"/>
            <w:tcBorders>
              <w:bottom w:val="single" w:sz="8" w:color="8C8272"/>
            </w:tcBorders>
          </w:tcPr>
          <w:p>
            <w:pPr>
              <w:spacing w:after="0"/>
              <w:rPr>
                <w:sz w:val="16"/>
                <w:szCs w:val="16"/>
                <w:color w:val="auto"/>
              </w:rPr>
            </w:pPr>
          </w:p>
        </w:tc>
        <w:tc>
          <w:tcPr>
            <w:tcW w:w="2240" w:type="dxa"/>
            <w:vAlign w:val="bottom"/>
            <w:tcBorders>
              <w:bottom w:val="single" w:sz="8" w:color="8C8272"/>
            </w:tcBorders>
            <w:gridSpan w:val="2"/>
          </w:tcPr>
          <w:p>
            <w:pPr>
              <w:jc w:val="right"/>
              <w:ind w:right="208"/>
              <w:spacing w:after="0"/>
              <w:rPr>
                <w:sz w:val="20"/>
                <w:szCs w:val="20"/>
                <w:color w:val="auto"/>
              </w:rPr>
            </w:pPr>
            <w:r>
              <w:rPr>
                <w:rFonts w:ascii="Arial" w:cs="Arial" w:eastAsia="Arial" w:hAnsi="Arial"/>
                <w:sz w:val="14"/>
                <w:szCs w:val="14"/>
                <w:b w:val="1"/>
                <w:bCs w:val="1"/>
                <w:color w:val="auto"/>
              </w:rPr>
              <w:t>Millions of Pounds Delivered</w:t>
            </w:r>
          </w:p>
        </w:tc>
        <w:tc>
          <w:tcPr>
            <w:tcW w:w="940" w:type="dxa"/>
            <w:vAlign w:val="bottom"/>
            <w:tcBorders>
              <w:bottom w:val="single" w:sz="8" w:color="8C8272"/>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00" w:type="dxa"/>
            <w:vAlign w:val="bottom"/>
            <w:tcBorders>
              <w:bottom w:val="single" w:sz="8" w:color="8C8272"/>
            </w:tcBorders>
          </w:tcPr>
          <w:p>
            <w:pPr>
              <w:spacing w:after="0"/>
              <w:rPr>
                <w:sz w:val="19"/>
                <w:szCs w:val="19"/>
                <w:color w:val="auto"/>
              </w:rPr>
            </w:pPr>
          </w:p>
        </w:tc>
        <w:tc>
          <w:tcPr>
            <w:tcW w:w="2820" w:type="dxa"/>
            <w:vAlign w:val="bottom"/>
            <w:tcBorders>
              <w:bottom w:val="single" w:sz="8" w:color="8C8272"/>
            </w:tcBorders>
            <w:gridSpan w:val="2"/>
          </w:tcPr>
          <w:p>
            <w:pPr>
              <w:jc w:val="right"/>
              <w:ind w:right="348"/>
              <w:spacing w:after="0"/>
              <w:rPr>
                <w:sz w:val="20"/>
                <w:szCs w:val="20"/>
                <w:color w:val="auto"/>
              </w:rPr>
            </w:pPr>
            <w:r>
              <w:rPr>
                <w:rFonts w:ascii="Arial" w:cs="Arial" w:eastAsia="Arial" w:hAnsi="Arial"/>
                <w:sz w:val="14"/>
                <w:szCs w:val="14"/>
                <w:b w:val="1"/>
                <w:bCs w:val="1"/>
                <w:color w:val="auto"/>
              </w:rPr>
              <w:t>For the Six Months Ended</w:t>
            </w:r>
          </w:p>
        </w:tc>
        <w:tc>
          <w:tcPr>
            <w:tcW w:w="920" w:type="dxa"/>
            <w:vAlign w:val="bottom"/>
            <w:tcBorders>
              <w:bottom w:val="single" w:sz="8" w:color="8C8272"/>
            </w:tcBorders>
          </w:tcPr>
          <w:p>
            <w:pPr>
              <w:spacing w:after="0"/>
              <w:rPr>
                <w:sz w:val="19"/>
                <w:szCs w:val="19"/>
                <w:color w:val="auto"/>
              </w:rPr>
            </w:pPr>
          </w:p>
        </w:tc>
        <w:tc>
          <w:tcPr>
            <w:tcW w:w="940" w:type="dxa"/>
            <w:vAlign w:val="bottom"/>
            <w:tcBorders>
              <w:bottom w:val="single" w:sz="8" w:color="8C8272"/>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2021</w:t>
            </w: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June 30, 2020</w:t>
            </w:r>
          </w:p>
        </w:tc>
        <w:tc>
          <w:tcPr>
            <w:tcW w:w="9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Variation</w:t>
            </w:r>
          </w:p>
        </w:tc>
        <w:tc>
          <w:tcPr>
            <w:tcW w:w="9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5"/>
        </w:trPr>
        <w:tc>
          <w:tcPr>
            <w:tcW w:w="1700" w:type="dxa"/>
            <w:vAlign w:val="bottom"/>
            <w:tcBorders>
              <w:bottom w:val="single" w:sz="8" w:color="8C8272"/>
            </w:tcBorders>
            <w:vMerge w:val="continue"/>
          </w:tcPr>
          <w:p>
            <w:pPr>
              <w:spacing w:after="0"/>
              <w:rPr>
                <w:sz w:val="15"/>
                <w:szCs w:val="15"/>
                <w:color w:val="auto"/>
              </w:rPr>
            </w:pPr>
          </w:p>
        </w:tc>
        <w:tc>
          <w:tcPr>
            <w:tcW w:w="1500" w:type="dxa"/>
            <w:vAlign w:val="bottom"/>
            <w:tcBorders>
              <w:bottom w:val="single" w:sz="8" w:color="8C8272"/>
            </w:tcBorders>
            <w:vMerge w:val="continue"/>
          </w:tcPr>
          <w:p>
            <w:pPr>
              <w:spacing w:after="0"/>
              <w:rPr>
                <w:sz w:val="15"/>
                <w:szCs w:val="15"/>
                <w:color w:val="auto"/>
              </w:rPr>
            </w:pPr>
          </w:p>
        </w:tc>
        <w:tc>
          <w:tcPr>
            <w:tcW w:w="1320" w:type="dxa"/>
            <w:vAlign w:val="bottom"/>
            <w:tcBorders>
              <w:bottom w:val="single" w:sz="8" w:color="8C8272"/>
            </w:tcBorders>
            <w:vMerge w:val="continue"/>
          </w:tcPr>
          <w:p>
            <w:pPr>
              <w:spacing w:after="0"/>
              <w:rPr>
                <w:sz w:val="15"/>
                <w:szCs w:val="15"/>
                <w:color w:val="auto"/>
              </w:rPr>
            </w:pPr>
          </w:p>
        </w:tc>
        <w:tc>
          <w:tcPr>
            <w:tcW w:w="920" w:type="dxa"/>
            <w:vAlign w:val="bottom"/>
            <w:tcBorders>
              <w:bottom w:val="single" w:sz="8" w:color="8C8272"/>
            </w:tcBorders>
            <w:vMerge w:val="continue"/>
          </w:tcPr>
          <w:p>
            <w:pPr>
              <w:spacing w:after="0"/>
              <w:rPr>
                <w:sz w:val="15"/>
                <w:szCs w:val="15"/>
                <w:color w:val="auto"/>
              </w:rPr>
            </w:pPr>
          </w:p>
        </w:tc>
        <w:tc>
          <w:tcPr>
            <w:tcW w:w="94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84"/>
        </w:trPr>
        <w:tc>
          <w:tcPr>
            <w:tcW w:w="1700" w:type="dxa"/>
            <w:vAlign w:val="bottom"/>
          </w:tcPr>
          <w:p>
            <w:pPr>
              <w:ind w:left="20"/>
              <w:spacing w:after="0"/>
              <w:rPr>
                <w:sz w:val="20"/>
                <w:szCs w:val="20"/>
                <w:color w:val="auto"/>
              </w:rPr>
            </w:pPr>
            <w:r>
              <w:rPr>
                <w:rFonts w:ascii="Arial" w:cs="Arial" w:eastAsia="Arial" w:hAnsi="Arial"/>
                <w:sz w:val="14"/>
                <w:szCs w:val="14"/>
                <w:color w:val="auto"/>
              </w:rPr>
              <w:t>General</w:t>
            </w:r>
          </w:p>
        </w:tc>
        <w:tc>
          <w:tcPr>
            <w:tcW w:w="1500" w:type="dxa"/>
            <w:vAlign w:val="bottom"/>
          </w:tcPr>
          <w:p>
            <w:pPr>
              <w:jc w:val="right"/>
              <w:spacing w:after="0"/>
              <w:rPr>
                <w:sz w:val="20"/>
                <w:szCs w:val="20"/>
                <w:color w:val="auto"/>
              </w:rPr>
            </w:pPr>
            <w:r>
              <w:rPr>
                <w:rFonts w:ascii="Arial" w:cs="Arial" w:eastAsia="Arial" w:hAnsi="Arial"/>
                <w:sz w:val="14"/>
                <w:szCs w:val="14"/>
                <w:color w:val="auto"/>
              </w:rPr>
              <w:t>392</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327</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65</w:t>
            </w:r>
          </w:p>
        </w:tc>
        <w:tc>
          <w:tcPr>
            <w:tcW w:w="940" w:type="dxa"/>
            <w:vAlign w:val="bottom"/>
          </w:tcPr>
          <w:p>
            <w:pPr>
              <w:jc w:val="right"/>
              <w:spacing w:after="0"/>
              <w:rPr>
                <w:sz w:val="20"/>
                <w:szCs w:val="20"/>
                <w:color w:val="auto"/>
              </w:rPr>
            </w:pPr>
            <w:r>
              <w:rPr>
                <w:rFonts w:ascii="Arial" w:cs="Arial" w:eastAsia="Arial" w:hAnsi="Arial"/>
                <w:sz w:val="14"/>
                <w:szCs w:val="14"/>
                <w:color w:val="auto"/>
              </w:rPr>
              <w:t>19.9 %</w:t>
            </w: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rPr>
                <w:sz w:val="20"/>
                <w:szCs w:val="20"/>
                <w:color w:val="auto"/>
              </w:rPr>
            </w:pPr>
            <w:r>
              <w:rPr>
                <w:rFonts w:ascii="Arial" w:cs="Arial" w:eastAsia="Arial" w:hAnsi="Arial"/>
                <w:sz w:val="14"/>
                <w:szCs w:val="14"/>
                <w:color w:val="auto"/>
              </w:rPr>
              <w:t>Apartment house</w:t>
            </w:r>
          </w:p>
        </w:tc>
        <w:tc>
          <w:tcPr>
            <w:tcW w:w="1500" w:type="dxa"/>
            <w:vAlign w:val="bottom"/>
          </w:tcPr>
          <w:p>
            <w:pPr>
              <w:jc w:val="right"/>
              <w:spacing w:after="0"/>
              <w:rPr>
                <w:sz w:val="20"/>
                <w:szCs w:val="20"/>
                <w:color w:val="auto"/>
              </w:rPr>
            </w:pPr>
            <w:r>
              <w:rPr>
                <w:rFonts w:ascii="Arial" w:cs="Arial" w:eastAsia="Arial" w:hAnsi="Arial"/>
                <w:sz w:val="14"/>
                <w:szCs w:val="14"/>
                <w:color w:val="auto"/>
              </w:rPr>
              <w:t>3,180</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3,213</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rPr>
                <w:sz w:val="20"/>
                <w:szCs w:val="20"/>
                <w:color w:val="auto"/>
              </w:rPr>
            </w:pPr>
            <w:r>
              <w:rPr>
                <w:rFonts w:ascii="Arial" w:cs="Arial" w:eastAsia="Arial" w:hAnsi="Arial"/>
                <w:sz w:val="14"/>
                <w:szCs w:val="14"/>
                <w:color w:val="auto"/>
              </w:rPr>
              <w:t>Annual power</w:t>
            </w:r>
          </w:p>
        </w:tc>
        <w:tc>
          <w:tcPr>
            <w:tcW w:w="1500" w:type="dxa"/>
            <w:vAlign w:val="bottom"/>
          </w:tcPr>
          <w:p>
            <w:pPr>
              <w:jc w:val="right"/>
              <w:spacing w:after="0"/>
              <w:rPr>
                <w:sz w:val="20"/>
                <w:szCs w:val="20"/>
                <w:color w:val="auto"/>
              </w:rPr>
            </w:pPr>
            <w:r>
              <w:rPr>
                <w:rFonts w:ascii="Arial" w:cs="Arial" w:eastAsia="Arial" w:hAnsi="Arial"/>
                <w:sz w:val="14"/>
                <w:szCs w:val="14"/>
                <w:color w:val="auto"/>
              </w:rPr>
              <w:t>6,984</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6,438</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546</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06285" cy="12890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106285" cy="146050"/>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Revenues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3060065" cy="34290"/>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3060065" cy="34290"/>
                    </a:xfrm>
                    <a:prstGeom prst="rect">
                      <a:avLst/>
                    </a:prstGeom>
                    <a:noFill/>
                  </pic:spPr>
                </pic:pic>
              </a:graphicData>
            </a:graphic>
          </wp:anchor>
        </w:drawing>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For the 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26035</wp:posOffset>
            </wp:positionV>
            <wp:extent cx="8255" cy="1714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-93345</wp:posOffset>
            </wp:positionV>
            <wp:extent cx="8255" cy="825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-76200</wp:posOffset>
            </wp:positionV>
            <wp:extent cx="8255" cy="825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-59055</wp:posOffset>
            </wp:positionV>
            <wp:extent cx="8255" cy="8890"/>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-41910</wp:posOffset>
            </wp:positionV>
            <wp:extent cx="8255" cy="8890"/>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-24765</wp:posOffset>
            </wp:positionV>
            <wp:extent cx="8255" cy="825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-7620</wp:posOffset>
            </wp:positionV>
            <wp:extent cx="8255" cy="825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8890</wp:posOffset>
            </wp:positionV>
            <wp:extent cx="8255" cy="825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40" w:type="dxa"/>
            <w:vAlign w:val="bottom"/>
            <w:tcBorders>
              <w:top w:val="single" w:sz="8" w:color="828282"/>
            </w:tcBorders>
          </w:tcPr>
          <w:p>
            <w:pPr>
              <w:spacing w:after="0"/>
              <w:rPr>
                <w:sz w:val="12"/>
                <w:szCs w:val="12"/>
                <w:color w:val="auto"/>
              </w:rPr>
            </w:pPr>
          </w:p>
        </w:tc>
        <w:tc>
          <w:tcPr>
            <w:tcW w:w="1340" w:type="dxa"/>
            <w:vAlign w:val="bottom"/>
            <w:tcBorders>
              <w:top w:val="single" w:sz="8" w:color="8C8272"/>
            </w:tcBorders>
            <w:vMerge w:val="restart"/>
          </w:tcPr>
          <w:p>
            <w:pPr>
              <w:jc w:val="right"/>
              <w:ind w:right="88"/>
              <w:spacing w:after="0"/>
              <w:rPr>
                <w:sz w:val="20"/>
                <w:szCs w:val="20"/>
                <w:color w:val="auto"/>
              </w:rPr>
            </w:pPr>
            <w:r>
              <w:rPr>
                <w:rFonts w:ascii="Arial" w:cs="Arial" w:eastAsia="Arial" w:hAnsi="Arial"/>
                <w:sz w:val="14"/>
                <w:szCs w:val="14"/>
                <w:b w:val="1"/>
                <w:bCs w:val="1"/>
                <w:color w:val="auto"/>
              </w:rPr>
              <w:t>June 30, 2021</w:t>
            </w:r>
          </w:p>
        </w:tc>
        <w:tc>
          <w:tcPr>
            <w:tcW w:w="1160" w:type="dxa"/>
            <w:vAlign w:val="bottom"/>
            <w:tcBorders>
              <w:top w:val="single" w:sz="8" w:color="8C8272"/>
            </w:tcBorders>
            <w:vMerge w:val="restart"/>
          </w:tcPr>
          <w:p>
            <w:pPr>
              <w:jc w:val="right"/>
              <w:ind w:right="8"/>
              <w:spacing w:after="0"/>
              <w:rPr>
                <w:sz w:val="20"/>
                <w:szCs w:val="20"/>
                <w:color w:val="auto"/>
              </w:rPr>
            </w:pPr>
            <w:r>
              <w:rPr>
                <w:rFonts w:ascii="Arial" w:cs="Arial" w:eastAsia="Arial" w:hAnsi="Arial"/>
                <w:sz w:val="14"/>
                <w:szCs w:val="14"/>
                <w:b w:val="1"/>
                <w:bCs w:val="1"/>
                <w:color w:val="auto"/>
              </w:rPr>
              <w:t>June 30, 2020</w:t>
            </w:r>
          </w:p>
        </w:tc>
        <w:tc>
          <w:tcPr>
            <w:tcW w:w="940" w:type="dxa"/>
            <w:vAlign w:val="bottom"/>
            <w:tcBorders>
              <w:top w:val="single" w:sz="8" w:color="8C8272"/>
            </w:tcBorders>
            <w:vMerge w:val="restart"/>
          </w:tcPr>
          <w:p>
            <w:pPr>
              <w:jc w:val="right"/>
              <w:ind w:right="168"/>
              <w:spacing w:after="0"/>
              <w:rPr>
                <w:sz w:val="20"/>
                <w:szCs w:val="20"/>
                <w:color w:val="auto"/>
              </w:rPr>
            </w:pPr>
            <w:r>
              <w:rPr>
                <w:rFonts w:ascii="Arial" w:cs="Arial" w:eastAsia="Arial" w:hAnsi="Arial"/>
                <w:sz w:val="14"/>
                <w:szCs w:val="14"/>
                <w:b w:val="1"/>
                <w:bCs w:val="1"/>
                <w:color w:val="auto"/>
              </w:rPr>
              <w:t>Variation</w:t>
            </w:r>
          </w:p>
        </w:tc>
        <w:tc>
          <w:tcPr>
            <w:tcW w:w="940" w:type="dxa"/>
            <w:vAlign w:val="bottom"/>
            <w:tcBorders>
              <w:top w:val="single" w:sz="8" w:color="8C8272"/>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5"/>
        </w:trPr>
        <w:tc>
          <w:tcPr>
            <w:tcW w:w="440" w:type="dxa"/>
            <w:vAlign w:val="bottom"/>
            <w:tcBorders>
              <w:bottom w:val="single" w:sz="8" w:color="828282"/>
            </w:tcBorders>
          </w:tcPr>
          <w:p>
            <w:pPr>
              <w:spacing w:after="0"/>
              <w:rPr>
                <w:sz w:val="15"/>
                <w:szCs w:val="15"/>
                <w:color w:val="auto"/>
              </w:rPr>
            </w:pPr>
          </w:p>
        </w:tc>
        <w:tc>
          <w:tcPr>
            <w:tcW w:w="1340" w:type="dxa"/>
            <w:vAlign w:val="bottom"/>
            <w:tcBorders>
              <w:bottom w:val="single" w:sz="8" w:color="8C8272"/>
            </w:tcBorders>
            <w:vMerge w:val="continue"/>
          </w:tcPr>
          <w:p>
            <w:pPr>
              <w:spacing w:after="0"/>
              <w:rPr>
                <w:sz w:val="15"/>
                <w:szCs w:val="15"/>
                <w:color w:val="auto"/>
              </w:rPr>
            </w:pPr>
          </w:p>
        </w:tc>
        <w:tc>
          <w:tcPr>
            <w:tcW w:w="1160" w:type="dxa"/>
            <w:vAlign w:val="bottom"/>
            <w:tcBorders>
              <w:bottom w:val="single" w:sz="8" w:color="8C8272"/>
            </w:tcBorders>
            <w:vMerge w:val="continue"/>
          </w:tcPr>
          <w:p>
            <w:pPr>
              <w:spacing w:after="0"/>
              <w:rPr>
                <w:sz w:val="15"/>
                <w:szCs w:val="15"/>
                <w:color w:val="auto"/>
              </w:rPr>
            </w:pPr>
          </w:p>
        </w:tc>
        <w:tc>
          <w:tcPr>
            <w:tcW w:w="940" w:type="dxa"/>
            <w:vAlign w:val="bottom"/>
            <w:tcBorders>
              <w:bottom w:val="single" w:sz="8" w:color="8C8272"/>
            </w:tcBorders>
            <w:vMerge w:val="continue"/>
          </w:tcPr>
          <w:p>
            <w:pPr>
              <w:spacing w:after="0"/>
              <w:rPr>
                <w:sz w:val="15"/>
                <w:szCs w:val="15"/>
                <w:color w:val="auto"/>
              </w:rPr>
            </w:pPr>
          </w:p>
        </w:tc>
        <w:tc>
          <w:tcPr>
            <w:tcW w:w="94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84"/>
        </w:trPr>
        <w:tc>
          <w:tcPr>
            <w:tcW w:w="1780" w:type="dxa"/>
            <w:vAlign w:val="bottom"/>
            <w:gridSpan w:val="2"/>
          </w:tcPr>
          <w:p>
            <w:pPr>
              <w:jc w:val="right"/>
              <w:ind w:right="88"/>
              <w:spacing w:after="0"/>
              <w:rPr>
                <w:sz w:val="20"/>
                <w:szCs w:val="20"/>
                <w:color w:val="auto"/>
              </w:rPr>
            </w:pPr>
            <w:r>
              <w:rPr>
                <w:rFonts w:ascii="Arial" w:cs="Arial" w:eastAsia="Arial" w:hAnsi="Arial"/>
                <w:sz w:val="14"/>
                <w:szCs w:val="14"/>
                <w:color w:val="auto"/>
              </w:rPr>
              <w:t>$18</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940" w:type="dxa"/>
            <w:vAlign w:val="bottom"/>
          </w:tcPr>
          <w:p>
            <w:pPr>
              <w:jc w:val="right"/>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189"/>
        </w:trPr>
        <w:tc>
          <w:tcPr>
            <w:tcW w:w="1780" w:type="dxa"/>
            <w:vAlign w:val="bottom"/>
            <w:gridSpan w:val="2"/>
          </w:tcPr>
          <w:p>
            <w:pPr>
              <w:jc w:val="right"/>
              <w:ind w:right="88"/>
              <w:spacing w:after="0"/>
              <w:rPr>
                <w:sz w:val="20"/>
                <w:szCs w:val="20"/>
                <w:color w:val="auto"/>
              </w:rPr>
            </w:pPr>
            <w:r>
              <w:rPr>
                <w:rFonts w:ascii="Arial" w:cs="Arial" w:eastAsia="Arial" w:hAnsi="Arial"/>
                <w:sz w:val="14"/>
                <w:szCs w:val="14"/>
                <w:color w:val="auto"/>
              </w:rPr>
              <w:t>87</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91</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8"/>
        </w:trPr>
        <w:tc>
          <w:tcPr>
            <w:tcW w:w="1780" w:type="dxa"/>
            <w:vAlign w:val="bottom"/>
            <w:gridSpan w:val="2"/>
          </w:tcPr>
          <w:p>
            <w:pPr>
              <w:jc w:val="right"/>
              <w:ind w:right="88"/>
              <w:spacing w:after="0"/>
              <w:rPr>
                <w:sz w:val="20"/>
                <w:szCs w:val="20"/>
                <w:color w:val="auto"/>
              </w:rPr>
            </w:pPr>
            <w:r>
              <w:rPr>
                <w:rFonts w:ascii="Arial" w:cs="Arial" w:eastAsia="Arial" w:hAnsi="Arial"/>
                <w:sz w:val="14"/>
                <w:szCs w:val="14"/>
                <w:color w:val="auto"/>
              </w:rPr>
              <w:t>222</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213</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8255</wp:posOffset>
            </wp:positionV>
            <wp:extent cx="8255" cy="1714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-213995</wp:posOffset>
            </wp:positionV>
            <wp:extent cx="8255" cy="825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-196215</wp:posOffset>
            </wp:positionV>
            <wp:extent cx="8255" cy="825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-179070</wp:posOffset>
            </wp:positionV>
            <wp:extent cx="8255" cy="825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-162560</wp:posOffset>
            </wp:positionV>
            <wp:extent cx="8255" cy="8890"/>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-145415</wp:posOffset>
            </wp:positionV>
            <wp:extent cx="8255" cy="8890"/>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-548005</wp:posOffset>
            </wp:positionV>
            <wp:extent cx="8255" cy="825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-530860</wp:posOffset>
            </wp:positionV>
            <wp:extent cx="8255" cy="8890"/>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-513715</wp:posOffset>
            </wp:positionV>
            <wp:extent cx="8255" cy="8890"/>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-496570</wp:posOffset>
            </wp:positionV>
            <wp:extent cx="8255" cy="825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-479425</wp:posOffset>
            </wp:positionV>
            <wp:extent cx="8255" cy="825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-462280</wp:posOffset>
            </wp:positionV>
            <wp:extent cx="8255" cy="825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-445135</wp:posOffset>
            </wp:positionV>
            <wp:extent cx="8255" cy="8890"/>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-427990</wp:posOffset>
            </wp:positionV>
            <wp:extent cx="8255" cy="8890"/>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-410845</wp:posOffset>
            </wp:positionV>
            <wp:extent cx="8255" cy="825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-393700</wp:posOffset>
            </wp:positionV>
            <wp:extent cx="8255" cy="825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-376555</wp:posOffset>
            </wp:positionV>
            <wp:extent cx="8255" cy="825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380" w:space="0"/>
            <w:col w:w="4860"/>
          </w:cols>
          <w:pgMar w:left="320" w:top="1187"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2300" w:type="dxa"/>
            <w:vAlign w:val="bottom"/>
            <w:tcBorders>
              <w:top w:val="single" w:sz="8" w:color="8C8272"/>
              <w:bottom w:val="single" w:sz="8" w:color="8C8272"/>
            </w:tcBorders>
          </w:tcPr>
          <w:p>
            <w:pPr>
              <w:ind w:left="20"/>
              <w:spacing w:after="0"/>
              <w:rPr>
                <w:sz w:val="20"/>
                <w:szCs w:val="20"/>
                <w:color w:val="auto"/>
              </w:rPr>
            </w:pPr>
            <w:r>
              <w:rPr>
                <w:rFonts w:ascii="Arial" w:cs="Arial" w:eastAsia="Arial" w:hAnsi="Arial"/>
                <w:sz w:val="14"/>
                <w:szCs w:val="14"/>
                <w:color w:val="auto"/>
              </w:rPr>
              <w:t>Other operating revenues (a)</w:t>
            </w:r>
          </w:p>
        </w:tc>
        <w:tc>
          <w:tcPr>
            <w:tcW w:w="1280" w:type="dxa"/>
            <w:vAlign w:val="bottom"/>
            <w:tcBorders>
              <w:top w:val="single" w:sz="8" w:color="8C8272"/>
              <w:bottom w:val="single" w:sz="8" w:color="8C8272"/>
            </w:tcBorders>
          </w:tcPr>
          <w:p>
            <w:pPr>
              <w:jc w:val="right"/>
              <w:ind w:right="3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8C8272"/>
              <w:bottom w:val="single" w:sz="8" w:color="8C8272"/>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8C8272"/>
              <w:bottom w:val="single" w:sz="8" w:color="8C8272"/>
            </w:tcBorders>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8C8272"/>
              <w:bottom w:val="single" w:sz="8" w:color="8C8272"/>
            </w:tcBorders>
          </w:tcPr>
          <w:p>
            <w:pPr>
              <w:jc w:val="center"/>
              <w:ind w:left="488"/>
              <w:spacing w:after="0"/>
              <w:rPr>
                <w:sz w:val="20"/>
                <w:szCs w:val="20"/>
                <w:color w:val="auto"/>
              </w:rPr>
            </w:pPr>
            <w:r>
              <w:rPr>
                <w:rFonts w:ascii="Arial" w:cs="Arial" w:eastAsia="Arial" w:hAnsi="Arial"/>
                <w:sz w:val="14"/>
                <w:szCs w:val="14"/>
                <w:color w:val="auto"/>
                <w:w w:val="99"/>
              </w:rPr>
              <w:t>—</w:t>
            </w:r>
          </w:p>
        </w:tc>
        <w:tc>
          <w:tcPr>
            <w:tcW w:w="440" w:type="dxa"/>
            <w:vAlign w:val="bottom"/>
            <w:tcBorders>
              <w:top w:val="single" w:sz="8" w:color="828282"/>
              <w:bottom w:val="single" w:sz="8" w:color="828282"/>
            </w:tcBorders>
          </w:tcPr>
          <w:p>
            <w:pPr>
              <w:spacing w:after="0"/>
              <w:rPr>
                <w:sz w:val="15"/>
                <w:szCs w:val="15"/>
                <w:color w:val="auto"/>
              </w:rPr>
            </w:pPr>
          </w:p>
        </w:tc>
        <w:tc>
          <w:tcPr>
            <w:tcW w:w="1640" w:type="dxa"/>
            <w:vAlign w:val="bottom"/>
            <w:tcBorders>
              <w:top w:val="single" w:sz="8" w:color="8C8272"/>
              <w:bottom w:val="single" w:sz="8" w:color="8C8272"/>
            </w:tcBorders>
          </w:tcPr>
          <w:p>
            <w:pPr>
              <w:jc w:val="right"/>
              <w:ind w:right="388"/>
              <w:spacing w:after="0"/>
              <w:rPr>
                <w:sz w:val="20"/>
                <w:szCs w:val="20"/>
                <w:color w:val="auto"/>
              </w:rPr>
            </w:pPr>
            <w:r>
              <w:rPr>
                <w:rFonts w:ascii="Arial" w:cs="Arial" w:eastAsia="Arial" w:hAnsi="Arial"/>
                <w:sz w:val="14"/>
                <w:szCs w:val="14"/>
                <w:color w:val="auto"/>
              </w:rPr>
              <w:t>11</w:t>
            </w:r>
          </w:p>
        </w:tc>
        <w:tc>
          <w:tcPr>
            <w:tcW w:w="1140" w:type="dxa"/>
            <w:vAlign w:val="bottom"/>
            <w:tcBorders>
              <w:top w:val="single" w:sz="8" w:color="8C8272"/>
              <w:bottom w:val="single" w:sz="8" w:color="8C8272"/>
            </w:tcBorders>
          </w:tcPr>
          <w:p>
            <w:pPr>
              <w:jc w:val="right"/>
              <w:ind w:right="288"/>
              <w:spacing w:after="0"/>
              <w:rPr>
                <w:sz w:val="20"/>
                <w:szCs w:val="20"/>
                <w:color w:val="auto"/>
              </w:rPr>
            </w:pPr>
            <w:r>
              <w:rPr>
                <w:rFonts w:ascii="Arial" w:cs="Arial" w:eastAsia="Arial" w:hAnsi="Arial"/>
                <w:sz w:val="14"/>
                <w:szCs w:val="14"/>
                <w:color w:val="auto"/>
              </w:rPr>
              <w:t>14</w:t>
            </w:r>
          </w:p>
        </w:tc>
        <w:tc>
          <w:tcPr>
            <w:tcW w:w="820" w:type="dxa"/>
            <w:vAlign w:val="bottom"/>
            <w:tcBorders>
              <w:top w:val="single" w:sz="8" w:color="8C8272"/>
              <w:bottom w:val="single" w:sz="8" w:color="8C8272"/>
            </w:tcBorders>
          </w:tcPr>
          <w:p>
            <w:pPr>
              <w:jc w:val="right"/>
              <w:ind w:right="188"/>
              <w:spacing w:after="0"/>
              <w:rPr>
                <w:sz w:val="20"/>
                <w:szCs w:val="20"/>
                <w:color w:val="auto"/>
              </w:rPr>
            </w:pPr>
            <w:r>
              <w:rPr>
                <w:rFonts w:ascii="Arial" w:cs="Arial" w:eastAsia="Arial" w:hAnsi="Arial"/>
                <w:sz w:val="14"/>
                <w:szCs w:val="14"/>
                <w:color w:val="auto"/>
              </w:rPr>
              <w:t>(3)</w:t>
            </w:r>
          </w:p>
        </w:tc>
        <w:tc>
          <w:tcPr>
            <w:tcW w:w="780" w:type="dxa"/>
            <w:vAlign w:val="bottom"/>
            <w:tcBorders>
              <w:top w:val="single" w:sz="8" w:color="8C8272"/>
              <w:bottom w:val="single" w:sz="8" w:color="8C8272"/>
            </w:tcBorders>
          </w:tcPr>
          <w:p>
            <w:pPr>
              <w:jc w:val="right"/>
              <w:ind w:right="68"/>
              <w:spacing w:after="0"/>
              <w:rPr>
                <w:sz w:val="20"/>
                <w:szCs w:val="20"/>
                <w:color w:val="auto"/>
              </w:rPr>
            </w:pPr>
            <w:r>
              <w:rPr>
                <w:rFonts w:ascii="Arial" w:cs="Arial" w:eastAsia="Arial" w:hAnsi="Arial"/>
                <w:sz w:val="14"/>
                <w:szCs w:val="14"/>
                <w:color w:val="auto"/>
              </w:rPr>
              <w:t>(21.4)</w:t>
            </w:r>
          </w:p>
        </w:tc>
      </w:tr>
      <w:tr>
        <w:trPr>
          <w:trHeight w:val="183"/>
        </w:trPr>
        <w:tc>
          <w:tcPr>
            <w:tcW w:w="2300" w:type="dxa"/>
            <w:vAlign w:val="bottom"/>
            <w:shd w:val="clear" w:color="auto" w:fill="E5E5E5"/>
          </w:tcPr>
          <w:p>
            <w:pPr>
              <w:ind w:left="140"/>
              <w:spacing w:after="0"/>
              <w:rPr>
                <w:sz w:val="20"/>
                <w:szCs w:val="20"/>
                <w:color w:val="auto"/>
              </w:rPr>
            </w:pPr>
            <w:r>
              <w:rPr>
                <w:rFonts w:ascii="Arial" w:cs="Arial" w:eastAsia="Arial" w:hAnsi="Arial"/>
                <w:sz w:val="14"/>
                <w:szCs w:val="14"/>
                <w:b w:val="1"/>
                <w:bCs w:val="1"/>
                <w:color w:val="auto"/>
              </w:rPr>
              <w:t>Total</w:t>
            </w:r>
          </w:p>
        </w:tc>
        <w:tc>
          <w:tcPr>
            <w:tcW w:w="1280" w:type="dxa"/>
            <w:vAlign w:val="bottom"/>
            <w:shd w:val="clear" w:color="auto" w:fill="E5E5E5"/>
          </w:tcPr>
          <w:p>
            <w:pPr>
              <w:jc w:val="right"/>
              <w:ind w:right="348"/>
              <w:spacing w:after="0"/>
              <w:rPr>
                <w:sz w:val="20"/>
                <w:szCs w:val="20"/>
                <w:color w:val="auto"/>
              </w:rPr>
            </w:pPr>
            <w:r>
              <w:rPr>
                <w:rFonts w:ascii="Arial" w:cs="Arial" w:eastAsia="Arial" w:hAnsi="Arial"/>
                <w:sz w:val="14"/>
                <w:szCs w:val="14"/>
                <w:b w:val="1"/>
                <w:bCs w:val="1"/>
                <w:color w:val="auto"/>
              </w:rPr>
              <w:t>10,556</w:t>
            </w:r>
          </w:p>
        </w:tc>
        <w:tc>
          <w:tcPr>
            <w:tcW w:w="1140" w:type="dxa"/>
            <w:vAlign w:val="bottom"/>
            <w:shd w:val="clear" w:color="auto" w:fill="E5E5E5"/>
          </w:tcPr>
          <w:p>
            <w:pPr>
              <w:jc w:val="right"/>
              <w:ind w:right="268"/>
              <w:spacing w:after="0"/>
              <w:rPr>
                <w:sz w:val="20"/>
                <w:szCs w:val="20"/>
                <w:color w:val="auto"/>
              </w:rPr>
            </w:pPr>
            <w:r>
              <w:rPr>
                <w:rFonts w:ascii="Arial" w:cs="Arial" w:eastAsia="Arial" w:hAnsi="Arial"/>
                <w:sz w:val="14"/>
                <w:szCs w:val="14"/>
                <w:b w:val="1"/>
                <w:bCs w:val="1"/>
                <w:color w:val="auto"/>
              </w:rPr>
              <w:t>9,978</w:t>
            </w:r>
          </w:p>
        </w:tc>
        <w:tc>
          <w:tcPr>
            <w:tcW w:w="920" w:type="dxa"/>
            <w:vAlign w:val="bottom"/>
            <w:shd w:val="clear" w:color="auto" w:fill="E5E5E5"/>
          </w:tcPr>
          <w:p>
            <w:pPr>
              <w:jc w:val="right"/>
              <w:ind w:right="288"/>
              <w:spacing w:after="0"/>
              <w:rPr>
                <w:sz w:val="20"/>
                <w:szCs w:val="20"/>
                <w:color w:val="auto"/>
              </w:rPr>
            </w:pPr>
            <w:r>
              <w:rPr>
                <w:rFonts w:ascii="Arial" w:cs="Arial" w:eastAsia="Arial" w:hAnsi="Arial"/>
                <w:sz w:val="14"/>
                <w:szCs w:val="14"/>
                <w:b w:val="1"/>
                <w:bCs w:val="1"/>
                <w:color w:val="auto"/>
              </w:rPr>
              <w:t>578</w:t>
            </w:r>
          </w:p>
        </w:tc>
        <w:tc>
          <w:tcPr>
            <w:tcW w:w="1180" w:type="dxa"/>
            <w:vAlign w:val="bottom"/>
            <w:tcBorders>
              <w:right w:val="single" w:sz="8" w:color="E5E5E5"/>
            </w:tcBorders>
            <w:gridSpan w:val="2"/>
            <w:shd w:val="clear" w:color="auto" w:fill="E5E5E5"/>
          </w:tcPr>
          <w:p>
            <w:pPr>
              <w:jc w:val="center"/>
              <w:ind w:left="48"/>
              <w:spacing w:after="0"/>
              <w:rPr>
                <w:sz w:val="20"/>
                <w:szCs w:val="20"/>
                <w:color w:val="auto"/>
              </w:rPr>
            </w:pPr>
            <w:r>
              <w:rPr>
                <w:rFonts w:ascii="Arial" w:cs="Arial" w:eastAsia="Arial" w:hAnsi="Arial"/>
                <w:sz w:val="14"/>
                <w:szCs w:val="14"/>
                <w:b w:val="1"/>
                <w:bCs w:val="1"/>
                <w:color w:val="auto"/>
              </w:rPr>
              <w:t>5.8 % (b)</w:t>
            </w:r>
          </w:p>
        </w:tc>
        <w:tc>
          <w:tcPr>
            <w:tcW w:w="1640" w:type="dxa"/>
            <w:vAlign w:val="bottom"/>
            <w:shd w:val="clear" w:color="auto" w:fill="E5E5E5"/>
          </w:tcPr>
          <w:p>
            <w:pPr>
              <w:jc w:val="right"/>
              <w:ind w:right="388"/>
              <w:spacing w:after="0"/>
              <w:rPr>
                <w:sz w:val="20"/>
                <w:szCs w:val="20"/>
                <w:color w:val="auto"/>
              </w:rPr>
            </w:pPr>
            <w:r>
              <w:rPr>
                <w:rFonts w:ascii="Arial" w:cs="Arial" w:eastAsia="Arial" w:hAnsi="Arial"/>
                <w:sz w:val="14"/>
                <w:szCs w:val="14"/>
                <w:b w:val="1"/>
                <w:bCs w:val="1"/>
                <w:color w:val="auto"/>
              </w:rPr>
              <w:t>$338</w:t>
            </w:r>
          </w:p>
        </w:tc>
        <w:tc>
          <w:tcPr>
            <w:tcW w:w="1140" w:type="dxa"/>
            <w:vAlign w:val="bottom"/>
            <w:shd w:val="clear" w:color="auto" w:fill="E5E5E5"/>
          </w:tcPr>
          <w:p>
            <w:pPr>
              <w:jc w:val="right"/>
              <w:ind w:right="288"/>
              <w:spacing w:after="0"/>
              <w:rPr>
                <w:sz w:val="20"/>
                <w:szCs w:val="20"/>
                <w:color w:val="auto"/>
              </w:rPr>
            </w:pPr>
            <w:r>
              <w:rPr>
                <w:rFonts w:ascii="Arial" w:cs="Arial" w:eastAsia="Arial" w:hAnsi="Arial"/>
                <w:sz w:val="14"/>
                <w:szCs w:val="14"/>
                <w:b w:val="1"/>
                <w:bCs w:val="1"/>
                <w:color w:val="auto"/>
              </w:rPr>
              <w:t>$334</w:t>
            </w:r>
          </w:p>
        </w:tc>
        <w:tc>
          <w:tcPr>
            <w:tcW w:w="820" w:type="dxa"/>
            <w:vAlign w:val="bottom"/>
            <w:shd w:val="clear" w:color="auto" w:fill="E5E5E5"/>
          </w:tcPr>
          <w:p>
            <w:pPr>
              <w:jc w:val="right"/>
              <w:ind w:right="188"/>
              <w:spacing w:after="0"/>
              <w:rPr>
                <w:sz w:val="20"/>
                <w:szCs w:val="20"/>
                <w:color w:val="auto"/>
              </w:rPr>
            </w:pPr>
            <w:r>
              <w:rPr>
                <w:rFonts w:ascii="Arial" w:cs="Arial" w:eastAsia="Arial" w:hAnsi="Arial"/>
                <w:sz w:val="14"/>
                <w:szCs w:val="14"/>
                <w:b w:val="1"/>
                <w:bCs w:val="1"/>
                <w:color w:val="auto"/>
              </w:rPr>
              <w:t>$4</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1.2 %</w:t>
            </w:r>
          </w:p>
        </w:tc>
      </w:tr>
      <w:tr>
        <w:trPr>
          <w:trHeight w:val="20"/>
        </w:trPr>
        <w:tc>
          <w:tcPr>
            <w:tcW w:w="2300" w:type="dxa"/>
            <w:vAlign w:val="bottom"/>
            <w:shd w:val="clear" w:color="auto" w:fill="8C8272"/>
          </w:tcPr>
          <w:p>
            <w:pPr>
              <w:spacing w:after="0" w:line="20" w:lineRule="exact"/>
              <w:rPr>
                <w:sz w:val="1"/>
                <w:szCs w:val="1"/>
                <w:color w:val="auto"/>
              </w:rPr>
            </w:pPr>
          </w:p>
        </w:tc>
        <w:tc>
          <w:tcPr>
            <w:tcW w:w="1280" w:type="dxa"/>
            <w:vAlign w:val="bottom"/>
            <w:shd w:val="clear" w:color="auto" w:fill="8C8272"/>
          </w:tcPr>
          <w:p>
            <w:pPr>
              <w:spacing w:after="0" w:line="20" w:lineRule="exact"/>
              <w:rPr>
                <w:sz w:val="1"/>
                <w:szCs w:val="1"/>
                <w:color w:val="auto"/>
              </w:rPr>
            </w:pPr>
          </w:p>
        </w:tc>
        <w:tc>
          <w:tcPr>
            <w:tcW w:w="1140" w:type="dxa"/>
            <w:vAlign w:val="bottom"/>
            <w:shd w:val="clear" w:color="auto" w:fill="8C8272"/>
          </w:tcPr>
          <w:p>
            <w:pPr>
              <w:spacing w:after="0" w:line="20" w:lineRule="exact"/>
              <w:rPr>
                <w:sz w:val="1"/>
                <w:szCs w:val="1"/>
                <w:color w:val="auto"/>
              </w:rPr>
            </w:pPr>
          </w:p>
        </w:tc>
        <w:tc>
          <w:tcPr>
            <w:tcW w:w="920" w:type="dxa"/>
            <w:vAlign w:val="bottom"/>
            <w:shd w:val="clear" w:color="auto" w:fill="8C8272"/>
          </w:tcPr>
          <w:p>
            <w:pPr>
              <w:spacing w:after="0" w:line="20" w:lineRule="exact"/>
              <w:rPr>
                <w:sz w:val="1"/>
                <w:szCs w:val="1"/>
                <w:color w:val="auto"/>
              </w:rPr>
            </w:pPr>
          </w:p>
        </w:tc>
        <w:tc>
          <w:tcPr>
            <w:tcW w:w="740" w:type="dxa"/>
            <w:vAlign w:val="bottom"/>
            <w:shd w:val="clear" w:color="auto" w:fill="8C8272"/>
          </w:tcPr>
          <w:p>
            <w:pPr>
              <w:spacing w:after="0" w:line="20" w:lineRule="exact"/>
              <w:rPr>
                <w:sz w:val="1"/>
                <w:szCs w:val="1"/>
                <w:color w:val="auto"/>
              </w:rPr>
            </w:pPr>
          </w:p>
        </w:tc>
        <w:tc>
          <w:tcPr>
            <w:tcW w:w="440" w:type="dxa"/>
            <w:vAlign w:val="bottom"/>
            <w:tcBorders>
              <w:right w:val="single" w:sz="8" w:color="828282"/>
            </w:tcBorders>
            <w:shd w:val="clear" w:color="auto" w:fill="828282"/>
          </w:tcPr>
          <w:p>
            <w:pPr>
              <w:spacing w:after="0" w:line="20" w:lineRule="exact"/>
              <w:rPr>
                <w:sz w:val="1"/>
                <w:szCs w:val="1"/>
                <w:color w:val="auto"/>
              </w:rPr>
            </w:pPr>
          </w:p>
        </w:tc>
        <w:tc>
          <w:tcPr>
            <w:tcW w:w="1640" w:type="dxa"/>
            <w:vAlign w:val="bottom"/>
            <w:shd w:val="clear" w:color="auto" w:fill="8C8272"/>
          </w:tcPr>
          <w:p>
            <w:pPr>
              <w:spacing w:after="0" w:line="20" w:lineRule="exact"/>
              <w:rPr>
                <w:sz w:val="1"/>
                <w:szCs w:val="1"/>
                <w:color w:val="auto"/>
              </w:rPr>
            </w:pPr>
          </w:p>
        </w:tc>
        <w:tc>
          <w:tcPr>
            <w:tcW w:w="1140" w:type="dxa"/>
            <w:vAlign w:val="bottom"/>
            <w:shd w:val="clear" w:color="auto" w:fill="8C8272"/>
          </w:tcPr>
          <w:p>
            <w:pPr>
              <w:spacing w:after="0" w:line="20" w:lineRule="exact"/>
              <w:rPr>
                <w:sz w:val="1"/>
                <w:szCs w:val="1"/>
                <w:color w:val="auto"/>
              </w:rPr>
            </w:pPr>
          </w:p>
        </w:tc>
        <w:tc>
          <w:tcPr>
            <w:tcW w:w="820" w:type="dxa"/>
            <w:vAlign w:val="bottom"/>
            <w:shd w:val="clear" w:color="auto" w:fill="8C8272"/>
          </w:tcPr>
          <w:p>
            <w:pPr>
              <w:spacing w:after="0" w:line="20" w:lineRule="exact"/>
              <w:rPr>
                <w:sz w:val="1"/>
                <w:szCs w:val="1"/>
                <w:color w:val="auto"/>
              </w:rPr>
            </w:pPr>
          </w:p>
        </w:tc>
        <w:tc>
          <w:tcPr>
            <w:tcW w:w="780" w:type="dxa"/>
            <w:vAlign w:val="bottom"/>
            <w:shd w:val="clear" w:color="auto" w:fill="8C827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-128270</wp:posOffset>
            </wp:positionV>
            <wp:extent cx="8255" cy="1714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-102235</wp:posOffset>
            </wp:positionV>
            <wp:extent cx="8255" cy="825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-85090</wp:posOffset>
            </wp:positionV>
            <wp:extent cx="8255" cy="8890"/>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-67945</wp:posOffset>
            </wp:positionV>
            <wp:extent cx="8255" cy="8890"/>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-50800</wp:posOffset>
            </wp:positionV>
            <wp:extent cx="8255" cy="825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-33655</wp:posOffset>
            </wp:positionV>
            <wp:extent cx="8255" cy="825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-16510</wp:posOffset>
            </wp:positionV>
            <wp:extent cx="8255" cy="825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-230505</wp:posOffset>
            </wp:positionV>
            <wp:extent cx="8255" cy="825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-213995</wp:posOffset>
            </wp:positionV>
            <wp:extent cx="8255" cy="8890"/>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-196215</wp:posOffset>
            </wp:positionV>
            <wp:extent cx="8255" cy="8890"/>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-179070</wp:posOffset>
            </wp:positionV>
            <wp:extent cx="8255" cy="825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-161925</wp:posOffset>
            </wp:positionV>
            <wp:extent cx="8255" cy="825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-144780</wp:posOffset>
            </wp:positionV>
            <wp:extent cx="8255" cy="825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79"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Other steam operating revenues generally reflect changes in regulatory assets and liabilities in accordance with the company’s rate plan.</w:t>
      </w:r>
    </w:p>
    <w:p>
      <w:pPr>
        <w:spacing w:after="0" w:line="1" w:lineRule="exact"/>
        <w:rPr>
          <w:rFonts w:ascii="Arial" w:cs="Arial" w:eastAsia="Arial" w:hAnsi="Arial"/>
          <w:sz w:val="14"/>
          <w:szCs w:val="14"/>
          <w:color w:val="auto"/>
        </w:rPr>
      </w:pPr>
    </w:p>
    <w:p>
      <w:pPr>
        <w:ind w:left="340" w:right="200" w:hanging="332"/>
        <w:spacing w:after="0" w:line="258"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After adjusting for variations, primarily weather and billing days, steam sales and deliveries decreased 3.1 percent in the six months ended June 30, 2021 compared with the 2020 period. See “Coronavirus Disease 2019 (COVID-19) Impacts,” above.</w:t>
      </w:r>
    </w:p>
    <w:p>
      <w:pPr>
        <w:spacing w:after="0" w:line="19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increased $4 million in the six months ended June 30, 2021 compared with the 2020 period primarily due to the impact</w:t>
      </w:r>
      <w:r>
        <w:rPr>
          <w:rFonts w:ascii="Arial" w:cs="Arial" w:eastAsia="Arial" w:hAnsi="Arial"/>
          <w:sz w:val="18"/>
          <w:szCs w:val="18"/>
          <w:i w:val="1"/>
          <w:iCs w:val="1"/>
          <w:color w:val="auto"/>
        </w:rPr>
        <w:t xml:space="preserve"> </w:t>
      </w:r>
      <w:r>
        <w:rPr>
          <w:rFonts w:ascii="Arial" w:cs="Arial" w:eastAsia="Arial" w:hAnsi="Arial"/>
          <w:sz w:val="18"/>
          <w:szCs w:val="18"/>
          <w:color w:val="auto"/>
        </w:rPr>
        <w:t>of colder weather ($21 million), higher purchased power expenses ($4 million), offset in part by lower fuel expenses ($10 million), lower usage by customers due to COVID-19 pandemic ($4 million) and by a tax law surcharge ($6 million).</w:t>
      </w:r>
    </w:p>
    <w:p>
      <w:pPr>
        <w:spacing w:after="0" w:line="20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color w:val="auto"/>
        </w:rPr>
        <w:t xml:space="preserve">Purchased power </w:t>
      </w:r>
      <w:r>
        <w:rPr>
          <w:rFonts w:ascii="Arial" w:cs="Arial" w:eastAsia="Arial" w:hAnsi="Arial"/>
          <w:sz w:val="18"/>
          <w:szCs w:val="18"/>
          <w:color w:val="auto"/>
        </w:rPr>
        <w:t>expenses increased $4 million in the six months ended June 30, 2021 compared with the 2020 period due to higher unit</w:t>
      </w:r>
      <w:r>
        <w:rPr>
          <w:rFonts w:ascii="Arial" w:cs="Arial" w:eastAsia="Arial" w:hAnsi="Arial"/>
          <w:sz w:val="18"/>
          <w:szCs w:val="18"/>
          <w:i w:val="1"/>
          <w:iCs w:val="1"/>
          <w:color w:val="auto"/>
        </w:rPr>
        <w:t xml:space="preserve"> </w:t>
      </w:r>
      <w:r>
        <w:rPr>
          <w:rFonts w:ascii="Arial" w:cs="Arial" w:eastAsia="Arial" w:hAnsi="Arial"/>
          <w:sz w:val="18"/>
          <w:szCs w:val="18"/>
          <w:color w:val="auto"/>
        </w:rPr>
        <w:t>costs ($4 million).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type w:val="continuous"/>
        </w:sectPr>
      </w:pPr>
    </w:p>
    <w:bookmarkStart w:id="72" w:name="page73"/>
    <w:bookmarkEnd w:id="72"/>
    <w:p>
      <w:pPr>
        <w:ind w:right="340"/>
        <w:spacing w:after="0" w:line="282"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expenses decreased $10 million in the six months ended June 30, 2021 compared with the 2020 period due to lower unit costs ($14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offset in part by higher purchased volumes from the company’s steam generating facilities ($4 million).</w:t>
      </w:r>
    </w:p>
    <w:p>
      <w:pPr>
        <w:spacing w:after="0" w:line="18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i w:val="1"/>
          <w:iCs w:val="1"/>
          <w:color w:val="auto"/>
        </w:rPr>
        <w:t xml:space="preserve">Other operations and maintenance </w:t>
      </w:r>
      <w:r>
        <w:rPr>
          <w:rFonts w:ascii="Arial" w:cs="Arial" w:eastAsia="Arial" w:hAnsi="Arial"/>
          <w:sz w:val="18"/>
          <w:szCs w:val="18"/>
          <w:color w:val="auto"/>
        </w:rPr>
        <w:t>expenses decreased $2 million in the six months ended June 30, 2021 compared with the 2020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lower municipal infrastructure support.</w:t>
      </w:r>
    </w:p>
    <w:p>
      <w:pPr>
        <w:spacing w:after="0" w:line="20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Depreciation and amortization increased $1 million in the six months ended June 30, 2021 compared with the 2020 period due to higher steam utility balances.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(Deductions)</w:t>
      </w:r>
    </w:p>
    <w:p>
      <w:pPr>
        <w:spacing w:after="0" w:line="5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Other income (deductions) increased $54 million in the six months ended June 30, 2021 compared with the 2020 period primarily due to lower costs associated with components of pension and other postretirement benefits other than service cost ($46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Expense</w:t>
      </w:r>
    </w:p>
    <w:p>
      <w:pPr>
        <w:spacing w:after="0" w:line="5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Net interest expense decreased $1 million in the six months ended June 30, 2021 compared with the 2020 period primarily due to lower interest expense for short-term debt ($5 million), lower interest accrued on the system benefit charge liability ($3 million), lower interest accrued on deferred storm costs ($1 million), lower interest on deposits ($1 million), offset in part by higher interest on long-term debt ($13 million).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8"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Income taxes decreased $4 million in the six months ended June 30, 2021 compared with the 2020 period primarily due to an increase in the amortization of excess deferred federal income taxes due to CECONY’s electric and gas rate plans that went into effect in January 2020 ($8 million), lower allowance for uncollectible accounts ($4 million), higher settlement payments related to injuries and damages ($1 million), an increase in the research and development credit ($1 million), offset in part by higher income before income tax expense ($7 million), higher state income taxes ($2 million), and higher plant related items ($2 million).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O&amp;R</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20" w:type="dxa"/>
            <w:vAlign w:val="bottom"/>
            <w:tcBorders>
              <w:bottom w:val="single" w:sz="8" w:color="8C8272"/>
            </w:tcBorders>
          </w:tcPr>
          <w:p>
            <w:pPr>
              <w:spacing w:after="0"/>
              <w:rPr>
                <w:sz w:val="15"/>
                <w:szCs w:val="15"/>
                <w:color w:val="auto"/>
              </w:rPr>
            </w:pPr>
          </w:p>
        </w:tc>
        <w:tc>
          <w:tcPr>
            <w:tcW w:w="2400" w:type="dxa"/>
            <w:vAlign w:val="bottom"/>
            <w:tcBorders>
              <w:bottom w:val="single" w:sz="8" w:color="8C8272"/>
            </w:tcBorders>
          </w:tcPr>
          <w:p>
            <w:pPr>
              <w:jc w:val="right"/>
              <w:ind w:right="388"/>
              <w:spacing w:after="0"/>
              <w:rPr>
                <w:sz w:val="20"/>
                <w:szCs w:val="20"/>
                <w:color w:val="auto"/>
              </w:rPr>
            </w:pPr>
            <w:r>
              <w:rPr>
                <w:rFonts w:ascii="Arial" w:cs="Arial" w:eastAsia="Arial" w:hAnsi="Arial"/>
                <w:sz w:val="14"/>
                <w:szCs w:val="14"/>
                <w:b w:val="1"/>
                <w:bCs w:val="1"/>
                <w:color w:val="auto"/>
              </w:rPr>
              <w:t>June 30, 2021</w:t>
            </w:r>
          </w:p>
        </w:tc>
        <w:tc>
          <w:tcPr>
            <w:tcW w:w="360" w:type="dxa"/>
            <w:vAlign w:val="bottom"/>
            <w:tcBorders>
              <w:bottom w:val="single" w:sz="8" w:color="8C8272"/>
            </w:tcBorders>
          </w:tcPr>
          <w:p>
            <w:pPr>
              <w:spacing w:after="0"/>
              <w:rPr>
                <w:sz w:val="15"/>
                <w:szCs w:val="15"/>
                <w:color w:val="auto"/>
              </w:rPr>
            </w:pPr>
          </w:p>
        </w:tc>
        <w:tc>
          <w:tcPr>
            <w:tcW w:w="940" w:type="dxa"/>
            <w:vAlign w:val="bottom"/>
            <w:tcBorders>
              <w:bottom w:val="single" w:sz="8" w:color="828282"/>
            </w:tcBorders>
          </w:tcPr>
          <w:p>
            <w:pPr>
              <w:spacing w:after="0"/>
              <w:rPr>
                <w:sz w:val="15"/>
                <w:szCs w:val="15"/>
                <w:color w:val="auto"/>
              </w:rPr>
            </w:pPr>
          </w:p>
        </w:tc>
        <w:tc>
          <w:tcPr>
            <w:tcW w:w="2220" w:type="dxa"/>
            <w:vAlign w:val="bottom"/>
            <w:tcBorders>
              <w:bottom w:val="single" w:sz="8" w:color="8C8272"/>
            </w:tcBorders>
          </w:tcPr>
          <w:p>
            <w:pPr>
              <w:jc w:val="right"/>
              <w:ind w:right="368"/>
              <w:spacing w:after="0"/>
              <w:rPr>
                <w:sz w:val="20"/>
                <w:szCs w:val="20"/>
                <w:color w:val="auto"/>
              </w:rPr>
            </w:pPr>
            <w:r>
              <w:rPr>
                <w:rFonts w:ascii="Arial" w:cs="Arial" w:eastAsia="Arial" w:hAnsi="Arial"/>
                <w:sz w:val="14"/>
                <w:szCs w:val="14"/>
                <w:b w:val="1"/>
                <w:bCs w:val="1"/>
                <w:color w:val="auto"/>
              </w:rPr>
              <w:t>June 30, 2020</w:t>
            </w:r>
          </w:p>
        </w:tc>
        <w:tc>
          <w:tcPr>
            <w:tcW w:w="480" w:type="dxa"/>
            <w:vAlign w:val="bottom"/>
            <w:tcBorders>
              <w:bottom w:val="single" w:sz="8" w:color="8C8272"/>
            </w:tcBorders>
          </w:tcPr>
          <w:p>
            <w:pPr>
              <w:spacing w:after="0"/>
              <w:rPr>
                <w:sz w:val="15"/>
                <w:szCs w:val="15"/>
                <w:color w:val="auto"/>
              </w:rPr>
            </w:pPr>
          </w:p>
        </w:tc>
        <w:tc>
          <w:tcPr>
            <w:tcW w:w="1080" w:type="dxa"/>
            <w:vAlign w:val="bottom"/>
            <w:tcBorders>
              <w:bottom w:val="single" w:sz="8" w:color="8C8272"/>
            </w:tcBorders>
          </w:tcPr>
          <w:p>
            <w:pPr>
              <w:spacing w:after="0"/>
              <w:rPr>
                <w:sz w:val="15"/>
                <w:szCs w:val="15"/>
                <w:color w:val="auto"/>
              </w:rPr>
            </w:pPr>
          </w:p>
        </w:tc>
        <w:tc>
          <w:tcPr>
            <w:tcW w:w="940" w:type="dxa"/>
            <w:vAlign w:val="bottom"/>
            <w:tcBorders>
              <w:bottom w:val="single" w:sz="8" w:color="8C8272"/>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2400" w:type="dxa"/>
            <w:vAlign w:val="bottom"/>
            <w:vMerge w:val="restart"/>
          </w:tcPr>
          <w:p>
            <w:pPr>
              <w:jc w:val="right"/>
              <w:ind w:right="888"/>
              <w:spacing w:after="0"/>
              <w:rPr>
                <w:sz w:val="20"/>
                <w:szCs w:val="20"/>
                <w:color w:val="auto"/>
              </w:rPr>
            </w:pPr>
            <w:r>
              <w:rPr>
                <w:rFonts w:ascii="Arial" w:cs="Arial" w:eastAsia="Arial" w:hAnsi="Arial"/>
                <w:sz w:val="14"/>
                <w:szCs w:val="14"/>
                <w:b w:val="1"/>
                <w:bCs w:val="1"/>
                <w:color w:val="auto"/>
              </w:rPr>
              <w:t>Electric</w:t>
            </w: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Gas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 Total</w:t>
            </w:r>
          </w:p>
        </w:tc>
        <w:tc>
          <w:tcPr>
            <w:tcW w:w="2220" w:type="dxa"/>
            <w:vAlign w:val="bottom"/>
            <w:vMerge w:val="restart"/>
          </w:tcPr>
          <w:p>
            <w:pPr>
              <w:jc w:val="right"/>
              <w:ind w:right="868"/>
              <w:spacing w:after="0"/>
              <w:rPr>
                <w:sz w:val="20"/>
                <w:szCs w:val="20"/>
                <w:color w:val="auto"/>
              </w:rPr>
            </w:pPr>
            <w:r>
              <w:rPr>
                <w:rFonts w:ascii="Arial" w:cs="Arial" w:eastAsia="Arial" w:hAnsi="Arial"/>
                <w:sz w:val="14"/>
                <w:szCs w:val="14"/>
                <w:b w:val="1"/>
                <w:bCs w:val="1"/>
                <w:color w:val="auto"/>
              </w:rPr>
              <w:t>Electric</w:t>
            </w:r>
          </w:p>
        </w:tc>
        <w:tc>
          <w:tcPr>
            <w:tcW w:w="4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Gas</w:t>
            </w: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2020 Total</w:t>
            </w:r>
          </w:p>
        </w:tc>
        <w:tc>
          <w:tcPr>
            <w:tcW w:w="9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2021-2020</w:t>
            </w:r>
          </w:p>
        </w:tc>
        <w:tc>
          <w:tcPr>
            <w:tcW w:w="0" w:type="dxa"/>
            <w:vAlign w:val="bottom"/>
          </w:tcPr>
          <w:p>
            <w:pPr>
              <w:spacing w:after="0"/>
              <w:rPr>
                <w:sz w:val="1"/>
                <w:szCs w:val="1"/>
                <w:color w:val="auto"/>
              </w:rPr>
            </w:pPr>
          </w:p>
        </w:tc>
      </w:tr>
      <w:tr>
        <w:trPr>
          <w:trHeight w:val="175"/>
        </w:trPr>
        <w:tc>
          <w:tcPr>
            <w:tcW w:w="2820" w:type="dxa"/>
            <w:vAlign w:val="bottom"/>
            <w:tcBorders>
              <w:bottom w:val="single" w:sz="8" w:color="8C8272"/>
            </w:tcBorders>
            <w:vMerge w:val="continue"/>
          </w:tcPr>
          <w:p>
            <w:pPr>
              <w:spacing w:after="0"/>
              <w:rPr>
                <w:sz w:val="15"/>
                <w:szCs w:val="15"/>
                <w:color w:val="auto"/>
              </w:rPr>
            </w:pPr>
          </w:p>
        </w:tc>
        <w:tc>
          <w:tcPr>
            <w:tcW w:w="2400" w:type="dxa"/>
            <w:vAlign w:val="bottom"/>
            <w:tcBorders>
              <w:bottom w:val="single" w:sz="8" w:color="8C8272"/>
            </w:tcBorders>
            <w:vMerge w:val="continue"/>
          </w:tcPr>
          <w:p>
            <w:pPr>
              <w:spacing w:after="0"/>
              <w:rPr>
                <w:sz w:val="15"/>
                <w:szCs w:val="15"/>
                <w:color w:val="auto"/>
              </w:rPr>
            </w:pPr>
          </w:p>
        </w:tc>
        <w:tc>
          <w:tcPr>
            <w:tcW w:w="360" w:type="dxa"/>
            <w:vAlign w:val="bottom"/>
            <w:tcBorders>
              <w:bottom w:val="single" w:sz="8" w:color="8C8272"/>
            </w:tcBorders>
            <w:vMerge w:val="continue"/>
          </w:tcPr>
          <w:p>
            <w:pPr>
              <w:spacing w:after="0"/>
              <w:rPr>
                <w:sz w:val="15"/>
                <w:szCs w:val="15"/>
                <w:color w:val="auto"/>
              </w:rPr>
            </w:pPr>
          </w:p>
        </w:tc>
        <w:tc>
          <w:tcPr>
            <w:tcW w:w="940" w:type="dxa"/>
            <w:vAlign w:val="bottom"/>
            <w:tcBorders>
              <w:bottom w:val="single" w:sz="8" w:color="8C8272"/>
            </w:tcBorders>
            <w:vMerge w:val="continue"/>
          </w:tcPr>
          <w:p>
            <w:pPr>
              <w:spacing w:after="0"/>
              <w:rPr>
                <w:sz w:val="15"/>
                <w:szCs w:val="15"/>
                <w:color w:val="auto"/>
              </w:rPr>
            </w:pPr>
          </w:p>
        </w:tc>
        <w:tc>
          <w:tcPr>
            <w:tcW w:w="2220" w:type="dxa"/>
            <w:vAlign w:val="bottom"/>
            <w:tcBorders>
              <w:bottom w:val="single" w:sz="8" w:color="8C8272"/>
            </w:tcBorders>
            <w:vMerge w:val="continue"/>
          </w:tcPr>
          <w:p>
            <w:pPr>
              <w:spacing w:after="0"/>
              <w:rPr>
                <w:sz w:val="15"/>
                <w:szCs w:val="15"/>
                <w:color w:val="auto"/>
              </w:rPr>
            </w:pPr>
          </w:p>
        </w:tc>
        <w:tc>
          <w:tcPr>
            <w:tcW w:w="480" w:type="dxa"/>
            <w:vAlign w:val="bottom"/>
            <w:tcBorders>
              <w:bottom w:val="single" w:sz="8" w:color="8C8272"/>
            </w:tcBorders>
            <w:vMerge w:val="continue"/>
          </w:tcPr>
          <w:p>
            <w:pPr>
              <w:spacing w:after="0"/>
              <w:rPr>
                <w:sz w:val="15"/>
                <w:szCs w:val="15"/>
                <w:color w:val="auto"/>
              </w:rPr>
            </w:pPr>
          </w:p>
        </w:tc>
        <w:tc>
          <w:tcPr>
            <w:tcW w:w="1080" w:type="dxa"/>
            <w:vAlign w:val="bottom"/>
            <w:tcBorders>
              <w:bottom w:val="single" w:sz="8" w:color="8C8272"/>
            </w:tcBorders>
            <w:vMerge w:val="continue"/>
          </w:tcPr>
          <w:p>
            <w:pPr>
              <w:spacing w:after="0"/>
              <w:rPr>
                <w:sz w:val="15"/>
                <w:szCs w:val="15"/>
                <w:color w:val="auto"/>
              </w:rPr>
            </w:pPr>
          </w:p>
        </w:tc>
        <w:tc>
          <w:tcPr>
            <w:tcW w:w="9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83"/>
        </w:trPr>
        <w:tc>
          <w:tcPr>
            <w:tcW w:w="2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revenues</w:t>
            </w:r>
          </w:p>
        </w:tc>
        <w:tc>
          <w:tcPr>
            <w:tcW w:w="2400" w:type="dxa"/>
            <w:vAlign w:val="bottom"/>
            <w:shd w:val="clear" w:color="auto" w:fill="E5E5E5"/>
          </w:tcPr>
          <w:p>
            <w:pPr>
              <w:jc w:val="right"/>
              <w:ind w:right="888"/>
              <w:spacing w:after="0"/>
              <w:rPr>
                <w:sz w:val="20"/>
                <w:szCs w:val="20"/>
                <w:color w:val="auto"/>
              </w:rPr>
            </w:pPr>
            <w:r>
              <w:rPr>
                <w:rFonts w:ascii="Arial" w:cs="Arial" w:eastAsia="Arial" w:hAnsi="Arial"/>
                <w:sz w:val="14"/>
                <w:szCs w:val="14"/>
                <w:color w:val="auto"/>
              </w:rPr>
              <w:t>$299</w:t>
            </w: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$143</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$442</w:t>
            </w:r>
          </w:p>
        </w:tc>
        <w:tc>
          <w:tcPr>
            <w:tcW w:w="2220" w:type="dxa"/>
            <w:vAlign w:val="bottom"/>
            <w:shd w:val="clear" w:color="auto" w:fill="E5E5E5"/>
          </w:tcPr>
          <w:p>
            <w:pPr>
              <w:jc w:val="right"/>
              <w:ind w:right="868"/>
              <w:spacing w:after="0"/>
              <w:rPr>
                <w:sz w:val="20"/>
                <w:szCs w:val="20"/>
                <w:color w:val="auto"/>
              </w:rPr>
            </w:pPr>
            <w:r>
              <w:rPr>
                <w:rFonts w:ascii="Arial" w:cs="Arial" w:eastAsia="Arial" w:hAnsi="Arial"/>
                <w:sz w:val="14"/>
                <w:szCs w:val="14"/>
                <w:color w:val="auto"/>
              </w:rPr>
              <w:t>$274</w:t>
            </w:r>
          </w:p>
        </w:tc>
        <w:tc>
          <w:tcPr>
            <w:tcW w:w="4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$134</w:t>
            </w:r>
          </w:p>
        </w:tc>
        <w:tc>
          <w:tcPr>
            <w:tcW w:w="10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$408</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Purchased power</w:t>
            </w:r>
          </w:p>
        </w:tc>
        <w:tc>
          <w:tcPr>
            <w:tcW w:w="2400" w:type="dxa"/>
            <w:vAlign w:val="bottom"/>
          </w:tcPr>
          <w:p>
            <w:pPr>
              <w:jc w:val="right"/>
              <w:ind w:right="888"/>
              <w:spacing w:after="0"/>
              <w:rPr>
                <w:sz w:val="20"/>
                <w:szCs w:val="20"/>
                <w:color w:val="auto"/>
              </w:rPr>
            </w:pPr>
            <w:r>
              <w:rPr>
                <w:rFonts w:ascii="Arial" w:cs="Arial" w:eastAsia="Arial" w:hAnsi="Arial"/>
                <w:sz w:val="14"/>
                <w:szCs w:val="14"/>
                <w:color w:val="auto"/>
              </w:rPr>
              <w:t>88</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88</w:t>
            </w:r>
          </w:p>
        </w:tc>
        <w:tc>
          <w:tcPr>
            <w:tcW w:w="2220" w:type="dxa"/>
            <w:vAlign w:val="bottom"/>
          </w:tcPr>
          <w:p>
            <w:pPr>
              <w:jc w:val="right"/>
              <w:ind w:right="868"/>
              <w:spacing w:after="0"/>
              <w:rPr>
                <w:sz w:val="20"/>
                <w:szCs w:val="20"/>
                <w:color w:val="auto"/>
              </w:rPr>
            </w:pPr>
            <w:r>
              <w:rPr>
                <w:rFonts w:ascii="Arial" w:cs="Arial" w:eastAsia="Arial" w:hAnsi="Arial"/>
                <w:sz w:val="14"/>
                <w:szCs w:val="14"/>
                <w:color w:val="auto"/>
              </w:rPr>
              <w:t>71</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71</w:t>
            </w:r>
          </w:p>
        </w:tc>
        <w:tc>
          <w:tcPr>
            <w:tcW w:w="9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9"/>
        </w:trPr>
        <w:tc>
          <w:tcPr>
            <w:tcW w:w="2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Gas purchased for resale</w:t>
            </w:r>
          </w:p>
        </w:tc>
        <w:tc>
          <w:tcPr>
            <w:tcW w:w="2400" w:type="dxa"/>
            <w:vAlign w:val="bottom"/>
            <w:shd w:val="clear" w:color="auto" w:fill="E5E5E5"/>
          </w:tcPr>
          <w:p>
            <w:pPr>
              <w:jc w:val="right"/>
              <w:ind w:right="928"/>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44</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44</w:t>
            </w:r>
          </w:p>
        </w:tc>
        <w:tc>
          <w:tcPr>
            <w:tcW w:w="2220" w:type="dxa"/>
            <w:vAlign w:val="bottom"/>
            <w:shd w:val="clear" w:color="auto" w:fill="E5E5E5"/>
          </w:tcPr>
          <w:p>
            <w:pPr>
              <w:jc w:val="right"/>
              <w:ind w:right="908"/>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33</w:t>
            </w:r>
          </w:p>
        </w:tc>
        <w:tc>
          <w:tcPr>
            <w:tcW w:w="10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33</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Other operations and maintenance</w:t>
            </w:r>
          </w:p>
        </w:tc>
        <w:tc>
          <w:tcPr>
            <w:tcW w:w="2400" w:type="dxa"/>
            <w:vAlign w:val="bottom"/>
          </w:tcPr>
          <w:p>
            <w:pPr>
              <w:jc w:val="right"/>
              <w:ind w:right="888"/>
              <w:spacing w:after="0"/>
              <w:rPr>
                <w:sz w:val="20"/>
                <w:szCs w:val="20"/>
                <w:color w:val="auto"/>
              </w:rPr>
            </w:pPr>
            <w:r>
              <w:rPr>
                <w:rFonts w:ascii="Arial" w:cs="Arial" w:eastAsia="Arial" w:hAnsi="Arial"/>
                <w:sz w:val="14"/>
                <w:szCs w:val="14"/>
                <w:color w:val="auto"/>
              </w:rPr>
              <w:t>126</w:t>
            </w:r>
          </w:p>
        </w:tc>
        <w:tc>
          <w:tcPr>
            <w:tcW w:w="360" w:type="dxa"/>
            <w:vAlign w:val="bottom"/>
          </w:tcPr>
          <w:p>
            <w:pPr>
              <w:jc w:val="right"/>
              <w:spacing w:after="0"/>
              <w:rPr>
                <w:sz w:val="20"/>
                <w:szCs w:val="20"/>
                <w:color w:val="auto"/>
              </w:rPr>
            </w:pPr>
            <w:r>
              <w:rPr>
                <w:rFonts w:ascii="Arial" w:cs="Arial" w:eastAsia="Arial" w:hAnsi="Arial"/>
                <w:sz w:val="14"/>
                <w:szCs w:val="14"/>
                <w:color w:val="auto"/>
              </w:rPr>
              <w:t>31</w:t>
            </w:r>
          </w:p>
        </w:tc>
        <w:tc>
          <w:tcPr>
            <w:tcW w:w="940" w:type="dxa"/>
            <w:vAlign w:val="bottom"/>
          </w:tcPr>
          <w:p>
            <w:pPr>
              <w:jc w:val="right"/>
              <w:spacing w:after="0"/>
              <w:rPr>
                <w:sz w:val="20"/>
                <w:szCs w:val="20"/>
                <w:color w:val="auto"/>
              </w:rPr>
            </w:pPr>
            <w:r>
              <w:rPr>
                <w:rFonts w:ascii="Arial" w:cs="Arial" w:eastAsia="Arial" w:hAnsi="Arial"/>
                <w:sz w:val="14"/>
                <w:szCs w:val="14"/>
                <w:color w:val="auto"/>
              </w:rPr>
              <w:t>157</w:t>
            </w:r>
          </w:p>
        </w:tc>
        <w:tc>
          <w:tcPr>
            <w:tcW w:w="2220" w:type="dxa"/>
            <w:vAlign w:val="bottom"/>
          </w:tcPr>
          <w:p>
            <w:pPr>
              <w:jc w:val="right"/>
              <w:ind w:right="868"/>
              <w:spacing w:after="0"/>
              <w:rPr>
                <w:sz w:val="20"/>
                <w:szCs w:val="20"/>
                <w:color w:val="auto"/>
              </w:rPr>
            </w:pPr>
            <w:r>
              <w:rPr>
                <w:rFonts w:ascii="Arial" w:cs="Arial" w:eastAsia="Arial" w:hAnsi="Arial"/>
                <w:sz w:val="14"/>
                <w:szCs w:val="14"/>
                <w:color w:val="auto"/>
              </w:rPr>
              <w:t>118</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152</w:t>
            </w: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Depreciation and amortization</w:t>
            </w:r>
          </w:p>
        </w:tc>
        <w:tc>
          <w:tcPr>
            <w:tcW w:w="2400" w:type="dxa"/>
            <w:vAlign w:val="bottom"/>
            <w:shd w:val="clear" w:color="auto" w:fill="E5E5E5"/>
          </w:tcPr>
          <w:p>
            <w:pPr>
              <w:jc w:val="right"/>
              <w:ind w:right="888"/>
              <w:spacing w:after="0"/>
              <w:rPr>
                <w:sz w:val="20"/>
                <w:szCs w:val="20"/>
                <w:color w:val="auto"/>
              </w:rPr>
            </w:pPr>
            <w:r>
              <w:rPr>
                <w:rFonts w:ascii="Arial" w:cs="Arial" w:eastAsia="Arial" w:hAnsi="Arial"/>
                <w:sz w:val="14"/>
                <w:szCs w:val="14"/>
                <w:color w:val="auto"/>
              </w:rPr>
              <w:t>34</w:t>
            </w: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47</w:t>
            </w:r>
          </w:p>
        </w:tc>
        <w:tc>
          <w:tcPr>
            <w:tcW w:w="2220" w:type="dxa"/>
            <w:vAlign w:val="bottom"/>
            <w:shd w:val="clear" w:color="auto" w:fill="E5E5E5"/>
          </w:tcPr>
          <w:p>
            <w:pPr>
              <w:jc w:val="right"/>
              <w:ind w:right="868"/>
              <w:spacing w:after="0"/>
              <w:rPr>
                <w:sz w:val="20"/>
                <w:szCs w:val="20"/>
                <w:color w:val="auto"/>
              </w:rPr>
            </w:pPr>
            <w:r>
              <w:rPr>
                <w:rFonts w:ascii="Arial" w:cs="Arial" w:eastAsia="Arial" w:hAnsi="Arial"/>
                <w:sz w:val="14"/>
                <w:szCs w:val="14"/>
                <w:color w:val="auto"/>
              </w:rPr>
              <w:t>32</w:t>
            </w:r>
          </w:p>
        </w:tc>
        <w:tc>
          <w:tcPr>
            <w:tcW w:w="4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13</w:t>
            </w:r>
          </w:p>
        </w:tc>
        <w:tc>
          <w:tcPr>
            <w:tcW w:w="10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45</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Taxes, other than income taxes</w:t>
            </w:r>
          </w:p>
        </w:tc>
        <w:tc>
          <w:tcPr>
            <w:tcW w:w="2400" w:type="dxa"/>
            <w:vAlign w:val="bottom"/>
            <w:tcBorders>
              <w:bottom w:val="single" w:sz="8" w:color="8C8272"/>
            </w:tcBorders>
          </w:tcPr>
          <w:p>
            <w:pPr>
              <w:jc w:val="right"/>
              <w:ind w:right="888"/>
              <w:spacing w:after="0"/>
              <w:rPr>
                <w:sz w:val="20"/>
                <w:szCs w:val="20"/>
                <w:color w:val="auto"/>
              </w:rPr>
            </w:pPr>
            <w:r>
              <w:rPr>
                <w:rFonts w:ascii="Arial" w:cs="Arial" w:eastAsia="Arial" w:hAnsi="Arial"/>
                <w:sz w:val="14"/>
                <w:szCs w:val="14"/>
                <w:color w:val="auto"/>
              </w:rPr>
              <w:t>29</w:t>
            </w:r>
          </w:p>
        </w:tc>
        <w:tc>
          <w:tcPr>
            <w:tcW w:w="36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16</w:t>
            </w:r>
          </w:p>
        </w:tc>
        <w:tc>
          <w:tcPr>
            <w:tcW w:w="9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45</w:t>
            </w:r>
          </w:p>
        </w:tc>
        <w:tc>
          <w:tcPr>
            <w:tcW w:w="2220" w:type="dxa"/>
            <w:vAlign w:val="bottom"/>
            <w:tcBorders>
              <w:bottom w:val="single" w:sz="8" w:color="8C8272"/>
            </w:tcBorders>
          </w:tcPr>
          <w:p>
            <w:pPr>
              <w:jc w:val="right"/>
              <w:ind w:right="868"/>
              <w:spacing w:after="0"/>
              <w:rPr>
                <w:sz w:val="20"/>
                <w:szCs w:val="20"/>
                <w:color w:val="auto"/>
              </w:rPr>
            </w:pPr>
            <w:r>
              <w:rPr>
                <w:rFonts w:ascii="Arial" w:cs="Arial" w:eastAsia="Arial" w:hAnsi="Arial"/>
                <w:sz w:val="14"/>
                <w:szCs w:val="14"/>
                <w:color w:val="auto"/>
              </w:rPr>
              <w:t>26</w:t>
            </w:r>
          </w:p>
        </w:tc>
        <w:tc>
          <w:tcPr>
            <w:tcW w:w="48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16</w:t>
            </w:r>
          </w:p>
        </w:tc>
        <w:tc>
          <w:tcPr>
            <w:tcW w:w="1080" w:type="dxa"/>
            <w:vAlign w:val="bottom"/>
            <w:tcBorders>
              <w:bottom w:val="single" w:sz="8" w:color="8C8272"/>
            </w:tcBorders>
          </w:tcPr>
          <w:p>
            <w:pPr>
              <w:jc w:val="right"/>
              <w:ind w:right="188"/>
              <w:spacing w:after="0"/>
              <w:rPr>
                <w:sz w:val="20"/>
                <w:szCs w:val="20"/>
                <w:color w:val="auto"/>
              </w:rPr>
            </w:pPr>
            <w:r>
              <w:rPr>
                <w:rFonts w:ascii="Arial" w:cs="Arial" w:eastAsia="Arial" w:hAnsi="Arial"/>
                <w:sz w:val="14"/>
                <w:szCs w:val="14"/>
                <w:color w:val="auto"/>
              </w:rPr>
              <w:t>42</w:t>
            </w:r>
          </w:p>
        </w:tc>
        <w:tc>
          <w:tcPr>
            <w:tcW w:w="9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8C8272"/>
            </w:tcBorders>
            <w:shd w:val="clear" w:color="auto" w:fill="E5E5E5"/>
          </w:tcPr>
          <w:p>
            <w:pPr>
              <w:ind w:left="140"/>
              <w:spacing w:after="0"/>
              <w:rPr>
                <w:sz w:val="20"/>
                <w:szCs w:val="20"/>
                <w:color w:val="auto"/>
              </w:rPr>
            </w:pPr>
            <w:r>
              <w:rPr>
                <w:rFonts w:ascii="Arial" w:cs="Arial" w:eastAsia="Arial" w:hAnsi="Arial"/>
                <w:sz w:val="14"/>
                <w:szCs w:val="14"/>
                <w:b w:val="1"/>
                <w:bCs w:val="1"/>
                <w:color w:val="auto"/>
              </w:rPr>
              <w:t>Operating income</w:t>
            </w:r>
          </w:p>
        </w:tc>
        <w:tc>
          <w:tcPr>
            <w:tcW w:w="2400" w:type="dxa"/>
            <w:vAlign w:val="bottom"/>
            <w:tcBorders>
              <w:bottom w:val="single" w:sz="8" w:color="8C8272"/>
            </w:tcBorders>
            <w:shd w:val="clear" w:color="auto" w:fill="E5E5E5"/>
          </w:tcPr>
          <w:p>
            <w:pPr>
              <w:jc w:val="right"/>
              <w:ind w:right="888"/>
              <w:spacing w:after="0"/>
              <w:rPr>
                <w:sz w:val="20"/>
                <w:szCs w:val="20"/>
                <w:color w:val="auto"/>
              </w:rPr>
            </w:pPr>
            <w:r>
              <w:rPr>
                <w:rFonts w:ascii="Arial" w:cs="Arial" w:eastAsia="Arial" w:hAnsi="Arial"/>
                <w:sz w:val="14"/>
                <w:szCs w:val="14"/>
                <w:b w:val="1"/>
                <w:bCs w:val="1"/>
                <w:color w:val="auto"/>
              </w:rPr>
              <w:t>$22</w:t>
            </w:r>
          </w:p>
        </w:tc>
        <w:tc>
          <w:tcPr>
            <w:tcW w:w="3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$39</w:t>
            </w:r>
          </w:p>
        </w:tc>
        <w:tc>
          <w:tcPr>
            <w:tcW w:w="9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$61</w:t>
            </w:r>
          </w:p>
        </w:tc>
        <w:tc>
          <w:tcPr>
            <w:tcW w:w="2220" w:type="dxa"/>
            <w:vAlign w:val="bottom"/>
            <w:tcBorders>
              <w:bottom w:val="single" w:sz="8" w:color="8C8272"/>
            </w:tcBorders>
            <w:shd w:val="clear" w:color="auto" w:fill="E5E5E5"/>
          </w:tcPr>
          <w:p>
            <w:pPr>
              <w:jc w:val="right"/>
              <w:ind w:right="868"/>
              <w:spacing w:after="0"/>
              <w:rPr>
                <w:sz w:val="20"/>
                <w:szCs w:val="20"/>
                <w:color w:val="auto"/>
              </w:rPr>
            </w:pPr>
            <w:r>
              <w:rPr>
                <w:rFonts w:ascii="Arial" w:cs="Arial" w:eastAsia="Arial" w:hAnsi="Arial"/>
                <w:sz w:val="14"/>
                <w:szCs w:val="14"/>
                <w:b w:val="1"/>
                <w:bCs w:val="1"/>
                <w:color w:val="auto"/>
              </w:rPr>
              <w:t>$27</w:t>
            </w:r>
          </w:p>
        </w:tc>
        <w:tc>
          <w:tcPr>
            <w:tcW w:w="48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$38</w:t>
            </w:r>
          </w:p>
        </w:tc>
        <w:tc>
          <w:tcPr>
            <w:tcW w:w="1080" w:type="dxa"/>
            <w:vAlign w:val="bottom"/>
            <w:tcBorders>
              <w:bottom w:val="single" w:sz="8" w:color="8C8272"/>
            </w:tcBorders>
            <w:shd w:val="clear" w:color="auto" w:fill="E5E5E5"/>
          </w:tcPr>
          <w:p>
            <w:pPr>
              <w:jc w:val="right"/>
              <w:ind w:right="188"/>
              <w:spacing w:after="0"/>
              <w:rPr>
                <w:sz w:val="20"/>
                <w:szCs w:val="20"/>
                <w:color w:val="auto"/>
              </w:rPr>
            </w:pPr>
            <w:r>
              <w:rPr>
                <w:rFonts w:ascii="Arial" w:cs="Arial" w:eastAsia="Arial" w:hAnsi="Arial"/>
                <w:sz w:val="14"/>
                <w:szCs w:val="14"/>
                <w:b w:val="1"/>
                <w:bCs w:val="1"/>
                <w:color w:val="auto"/>
              </w:rPr>
              <w:t>$65</w:t>
            </w:r>
          </w:p>
        </w:tc>
        <w:tc>
          <w:tcPr>
            <w:tcW w:w="9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O&amp;R’s results of electric operations for the six months ended June 30, 2021 compared with the 2020 period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Borders>
              <w:bottom w:val="single" w:sz="8" w:color="8C8272"/>
            </w:tcBorders>
          </w:tcPr>
          <w:p>
            <w:pPr>
              <w:spacing w:after="0"/>
              <w:rPr>
                <w:sz w:val="16"/>
                <w:szCs w:val="16"/>
                <w:color w:val="auto"/>
              </w:rPr>
            </w:pPr>
          </w:p>
        </w:tc>
        <w:tc>
          <w:tcPr>
            <w:tcW w:w="5360" w:type="dxa"/>
            <w:vAlign w:val="bottom"/>
            <w:tcBorders>
              <w:bottom w:val="single" w:sz="8" w:color="8C8272"/>
            </w:tcBorders>
            <w:gridSpan w:val="2"/>
          </w:tcPr>
          <w:p>
            <w:pPr>
              <w:jc w:val="right"/>
              <w:ind w:right="868"/>
              <w:spacing w:after="0"/>
              <w:rPr>
                <w:sz w:val="20"/>
                <w:szCs w:val="20"/>
                <w:color w:val="auto"/>
              </w:rPr>
            </w:pPr>
            <w:r>
              <w:rPr>
                <w:rFonts w:ascii="Arial" w:cs="Arial" w:eastAsia="Arial" w:hAnsi="Arial"/>
                <w:sz w:val="14"/>
                <w:szCs w:val="14"/>
                <w:b w:val="1"/>
                <w:bCs w:val="1"/>
                <w:color w:val="auto"/>
              </w:rPr>
              <w:t>For the Six Months Ended</w:t>
            </w:r>
          </w:p>
        </w:tc>
        <w:tc>
          <w:tcPr>
            <w:tcW w:w="1040" w:type="dxa"/>
            <w:vAlign w:val="bottom"/>
            <w:tcBorders>
              <w:bottom w:val="single" w:sz="8" w:color="8C8272"/>
            </w:tcBorders>
          </w:tcPr>
          <w:p>
            <w:pPr>
              <w:spacing w:after="0"/>
              <w:rPr>
                <w:sz w:val="16"/>
                <w:szCs w:val="16"/>
                <w:color w:val="auto"/>
              </w:rPr>
            </w:pPr>
          </w:p>
        </w:tc>
      </w:tr>
      <w:tr>
        <w:trPr>
          <w:trHeight w:val="183"/>
        </w:trPr>
        <w:tc>
          <w:tcPr>
            <w:tcW w:w="484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76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June 30, 2021</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June 30, 2020</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r>
      <w:tr>
        <w:trPr>
          <w:trHeight w:val="183"/>
        </w:trPr>
        <w:tc>
          <w:tcPr>
            <w:tcW w:w="484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revenues</w:t>
            </w:r>
          </w:p>
        </w:tc>
        <w:tc>
          <w:tcPr>
            <w:tcW w:w="37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$299</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$274</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w:t>
            </w:r>
          </w:p>
        </w:tc>
      </w:tr>
      <w:tr>
        <w:trPr>
          <w:trHeight w:val="189"/>
        </w:trPr>
        <w:tc>
          <w:tcPr>
            <w:tcW w:w="4840" w:type="dxa"/>
            <w:vAlign w:val="bottom"/>
          </w:tcPr>
          <w:p>
            <w:pPr>
              <w:ind w:left="20"/>
              <w:spacing w:after="0"/>
              <w:rPr>
                <w:sz w:val="20"/>
                <w:szCs w:val="20"/>
                <w:color w:val="auto"/>
              </w:rPr>
            </w:pPr>
            <w:r>
              <w:rPr>
                <w:rFonts w:ascii="Arial" w:cs="Arial" w:eastAsia="Arial" w:hAnsi="Arial"/>
                <w:sz w:val="14"/>
                <w:szCs w:val="14"/>
                <w:color w:val="auto"/>
              </w:rPr>
              <w:t>Purchased power</w:t>
            </w:r>
          </w:p>
        </w:tc>
        <w:tc>
          <w:tcPr>
            <w:tcW w:w="3760" w:type="dxa"/>
            <w:vAlign w:val="bottom"/>
          </w:tcPr>
          <w:p>
            <w:pPr>
              <w:jc w:val="right"/>
              <w:ind w:right="168"/>
              <w:spacing w:after="0"/>
              <w:rPr>
                <w:sz w:val="20"/>
                <w:szCs w:val="20"/>
                <w:color w:val="auto"/>
              </w:rPr>
            </w:pPr>
            <w:r>
              <w:rPr>
                <w:rFonts w:ascii="Arial" w:cs="Arial" w:eastAsia="Arial" w:hAnsi="Arial"/>
                <w:sz w:val="14"/>
                <w:szCs w:val="14"/>
                <w:color w:val="auto"/>
              </w:rPr>
              <w:t>88</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71</w:t>
            </w: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9"/>
        </w:trPr>
        <w:tc>
          <w:tcPr>
            <w:tcW w:w="484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 operations and maintenance</w:t>
            </w:r>
          </w:p>
        </w:tc>
        <w:tc>
          <w:tcPr>
            <w:tcW w:w="37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126</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118</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w:t>
            </w:r>
          </w:p>
        </w:tc>
      </w:tr>
      <w:tr>
        <w:trPr>
          <w:trHeight w:val="189"/>
        </w:trPr>
        <w:tc>
          <w:tcPr>
            <w:tcW w:w="48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760" w:type="dxa"/>
            <w:vAlign w:val="bottom"/>
          </w:tcPr>
          <w:p>
            <w:pPr>
              <w:jc w:val="right"/>
              <w:ind w:right="168"/>
              <w:spacing w:after="0"/>
              <w:rPr>
                <w:sz w:val="20"/>
                <w:szCs w:val="20"/>
                <w:color w:val="auto"/>
              </w:rPr>
            </w:pPr>
            <w:r>
              <w:rPr>
                <w:rFonts w:ascii="Arial" w:cs="Arial" w:eastAsia="Arial" w:hAnsi="Arial"/>
                <w:sz w:val="14"/>
                <w:szCs w:val="14"/>
                <w:color w:val="auto"/>
              </w:rPr>
              <w:t>34</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32</w:t>
            </w: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484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Taxes, other than income taxes</w:t>
            </w:r>
          </w:p>
        </w:tc>
        <w:tc>
          <w:tcPr>
            <w:tcW w:w="3760" w:type="dxa"/>
            <w:vAlign w:val="bottom"/>
            <w:tcBorders>
              <w:bottom w:val="single" w:sz="8" w:color="8C8272"/>
            </w:tcBorders>
            <w:shd w:val="clear" w:color="auto" w:fill="E5E5E5"/>
          </w:tcPr>
          <w:p>
            <w:pPr>
              <w:jc w:val="right"/>
              <w:ind w:right="168"/>
              <w:spacing w:after="0"/>
              <w:rPr>
                <w:sz w:val="20"/>
                <w:szCs w:val="20"/>
                <w:color w:val="auto"/>
              </w:rPr>
            </w:pPr>
            <w:r>
              <w:rPr>
                <w:rFonts w:ascii="Arial" w:cs="Arial" w:eastAsia="Arial" w:hAnsi="Arial"/>
                <w:sz w:val="14"/>
                <w:szCs w:val="14"/>
                <w:color w:val="auto"/>
              </w:rPr>
              <w:t>29</w:t>
            </w:r>
          </w:p>
        </w:tc>
        <w:tc>
          <w:tcPr>
            <w:tcW w:w="1600" w:type="dxa"/>
            <w:vAlign w:val="bottom"/>
            <w:tcBorders>
              <w:bottom w:val="single" w:sz="8" w:color="8C8272"/>
            </w:tcBorders>
            <w:shd w:val="clear" w:color="auto" w:fill="E5E5E5"/>
          </w:tcPr>
          <w:p>
            <w:pPr>
              <w:jc w:val="right"/>
              <w:ind w:right="328"/>
              <w:spacing w:after="0"/>
              <w:rPr>
                <w:sz w:val="20"/>
                <w:szCs w:val="20"/>
                <w:color w:val="auto"/>
              </w:rPr>
            </w:pPr>
            <w:r>
              <w:rPr>
                <w:rFonts w:ascii="Arial" w:cs="Arial" w:eastAsia="Arial" w:hAnsi="Arial"/>
                <w:sz w:val="14"/>
                <w:szCs w:val="14"/>
                <w:color w:val="auto"/>
              </w:rPr>
              <w:t>26</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3</w:t>
            </w:r>
          </w:p>
        </w:tc>
      </w:tr>
      <w:tr>
        <w:trPr>
          <w:trHeight w:val="183"/>
        </w:trPr>
        <w:tc>
          <w:tcPr>
            <w:tcW w:w="4840" w:type="dxa"/>
            <w:vAlign w:val="bottom"/>
            <w:tcBorders>
              <w:bottom w:val="single" w:sz="8" w:color="8C8272"/>
            </w:tcBorders>
          </w:tcPr>
          <w:p>
            <w:pPr>
              <w:ind w:left="140"/>
              <w:spacing w:after="0"/>
              <w:rPr>
                <w:sz w:val="20"/>
                <w:szCs w:val="20"/>
                <w:color w:val="auto"/>
              </w:rPr>
            </w:pPr>
            <w:r>
              <w:rPr>
                <w:rFonts w:ascii="Arial" w:cs="Arial" w:eastAsia="Arial" w:hAnsi="Arial"/>
                <w:sz w:val="14"/>
                <w:szCs w:val="14"/>
                <w:b w:val="1"/>
                <w:bCs w:val="1"/>
                <w:color w:val="auto"/>
              </w:rPr>
              <w:t>Electric operating income</w:t>
            </w:r>
          </w:p>
        </w:tc>
        <w:tc>
          <w:tcPr>
            <w:tcW w:w="376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$22</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$27</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O&amp;R’s electric sales and deliveries for the six months ended June 30, 2021 compared with the 2020 period were:</w:t>
      </w:r>
    </w:p>
    <w:p>
      <w:pPr>
        <w:sectPr>
          <w:pgSz w:w="11900" w:h="16838" w:orient="portrait"/>
          <w:cols w:equalWidth="0" w:num="1">
            <w:col w:w="11240"/>
          </w:cols>
          <w:pgMar w:left="320" w:top="962" w:right="339" w:bottom="1440" w:gutter="0" w:footer="0" w:header="0"/>
        </w:sectPr>
      </w:pP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40" w:type="dxa"/>
            <w:vAlign w:val="bottom"/>
            <w:tcBorders>
              <w:bottom w:val="single" w:sz="8" w:color="8C8272"/>
            </w:tcBorders>
          </w:tcPr>
          <w:p>
            <w:pPr>
              <w:spacing w:after="0"/>
              <w:rPr>
                <w:sz w:val="16"/>
                <w:szCs w:val="16"/>
                <w:color w:val="auto"/>
              </w:rPr>
            </w:pPr>
          </w:p>
        </w:tc>
        <w:tc>
          <w:tcPr>
            <w:tcW w:w="1340" w:type="dxa"/>
            <w:vAlign w:val="bottom"/>
            <w:tcBorders>
              <w:bottom w:val="single" w:sz="8" w:color="8C8272"/>
            </w:tcBorders>
          </w:tcPr>
          <w:p>
            <w:pPr>
              <w:spacing w:after="0"/>
              <w:rPr>
                <w:sz w:val="16"/>
                <w:szCs w:val="16"/>
                <w:color w:val="auto"/>
              </w:rPr>
            </w:pPr>
          </w:p>
        </w:tc>
        <w:tc>
          <w:tcPr>
            <w:tcW w:w="2180" w:type="dxa"/>
            <w:vAlign w:val="bottom"/>
            <w:tcBorders>
              <w:bottom w:val="single" w:sz="8" w:color="8C8272"/>
            </w:tcBorders>
            <w:gridSpan w:val="2"/>
          </w:tcPr>
          <w:p>
            <w:pPr>
              <w:jc w:val="right"/>
              <w:ind w:right="308"/>
              <w:spacing w:after="0"/>
              <w:rPr>
                <w:sz w:val="20"/>
                <w:szCs w:val="20"/>
                <w:color w:val="auto"/>
              </w:rPr>
            </w:pPr>
            <w:r>
              <w:rPr>
                <w:rFonts w:ascii="Arial" w:cs="Arial" w:eastAsia="Arial" w:hAnsi="Arial"/>
                <w:sz w:val="14"/>
                <w:szCs w:val="14"/>
                <w:b w:val="1"/>
                <w:bCs w:val="1"/>
                <w:color w:val="auto"/>
              </w:rPr>
              <w:t>Millions of kWh Delivered</w:t>
            </w:r>
          </w:p>
        </w:tc>
        <w:tc>
          <w:tcPr>
            <w:tcW w:w="920" w:type="dxa"/>
            <w:vAlign w:val="bottom"/>
            <w:tcBorders>
              <w:bottom w:val="single" w:sz="8" w:color="8C8272"/>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40" w:type="dxa"/>
            <w:vAlign w:val="bottom"/>
            <w:tcBorders>
              <w:bottom w:val="single" w:sz="8" w:color="8C8272"/>
            </w:tcBorders>
          </w:tcPr>
          <w:p>
            <w:pPr>
              <w:spacing w:after="0"/>
              <w:rPr>
                <w:sz w:val="19"/>
                <w:szCs w:val="19"/>
                <w:color w:val="auto"/>
              </w:rPr>
            </w:pPr>
          </w:p>
        </w:tc>
        <w:tc>
          <w:tcPr>
            <w:tcW w:w="2660" w:type="dxa"/>
            <w:vAlign w:val="bottom"/>
            <w:tcBorders>
              <w:bottom w:val="single" w:sz="8" w:color="8C8272"/>
            </w:tcBorders>
            <w:gridSpan w:val="2"/>
          </w:tcPr>
          <w:p>
            <w:pPr>
              <w:jc w:val="right"/>
              <w:ind w:right="388"/>
              <w:spacing w:after="0"/>
              <w:rPr>
                <w:sz w:val="20"/>
                <w:szCs w:val="20"/>
                <w:color w:val="auto"/>
              </w:rPr>
            </w:pPr>
            <w:r>
              <w:rPr>
                <w:rFonts w:ascii="Arial" w:cs="Arial" w:eastAsia="Arial" w:hAnsi="Arial"/>
                <w:sz w:val="14"/>
                <w:szCs w:val="14"/>
                <w:b w:val="1"/>
                <w:bCs w:val="1"/>
                <w:color w:val="auto"/>
              </w:rPr>
              <w:t>For the Six Months Ended</w:t>
            </w:r>
          </w:p>
        </w:tc>
        <w:tc>
          <w:tcPr>
            <w:tcW w:w="860" w:type="dxa"/>
            <w:vAlign w:val="bottom"/>
            <w:tcBorders>
              <w:bottom w:val="single" w:sz="8" w:color="8C8272"/>
            </w:tcBorders>
          </w:tcPr>
          <w:p>
            <w:pPr>
              <w:spacing w:after="0"/>
              <w:rPr>
                <w:sz w:val="19"/>
                <w:szCs w:val="19"/>
                <w:color w:val="auto"/>
              </w:rPr>
            </w:pPr>
          </w:p>
        </w:tc>
        <w:tc>
          <w:tcPr>
            <w:tcW w:w="920" w:type="dxa"/>
            <w:vAlign w:val="bottom"/>
            <w:tcBorders>
              <w:bottom w:val="single" w:sz="8" w:color="8C8272"/>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2021</w:t>
            </w: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June 30, 2020</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Variation</w:t>
            </w:r>
          </w:p>
        </w:tc>
        <w:tc>
          <w:tcPr>
            <w:tcW w:w="92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6"/>
        </w:trPr>
        <w:tc>
          <w:tcPr>
            <w:tcW w:w="1940" w:type="dxa"/>
            <w:vAlign w:val="bottom"/>
            <w:tcBorders>
              <w:bottom w:val="single" w:sz="8" w:color="8C8272"/>
            </w:tcBorders>
            <w:vMerge w:val="continue"/>
          </w:tcPr>
          <w:p>
            <w:pPr>
              <w:spacing w:after="0"/>
              <w:rPr>
                <w:sz w:val="15"/>
                <w:szCs w:val="15"/>
                <w:color w:val="auto"/>
              </w:rPr>
            </w:pPr>
          </w:p>
        </w:tc>
        <w:tc>
          <w:tcPr>
            <w:tcW w:w="1340" w:type="dxa"/>
            <w:vAlign w:val="bottom"/>
            <w:tcBorders>
              <w:bottom w:val="single" w:sz="8" w:color="8C8272"/>
            </w:tcBorders>
            <w:vMerge w:val="continue"/>
          </w:tcPr>
          <w:p>
            <w:pPr>
              <w:spacing w:after="0"/>
              <w:rPr>
                <w:sz w:val="15"/>
                <w:szCs w:val="15"/>
                <w:color w:val="auto"/>
              </w:rPr>
            </w:pPr>
          </w:p>
        </w:tc>
        <w:tc>
          <w:tcPr>
            <w:tcW w:w="1320" w:type="dxa"/>
            <w:vAlign w:val="bottom"/>
            <w:tcBorders>
              <w:bottom w:val="single" w:sz="8" w:color="8C8272"/>
            </w:tcBorders>
            <w:vMerge w:val="continue"/>
          </w:tcPr>
          <w:p>
            <w:pPr>
              <w:spacing w:after="0"/>
              <w:rPr>
                <w:sz w:val="15"/>
                <w:szCs w:val="15"/>
                <w:color w:val="auto"/>
              </w:rPr>
            </w:pPr>
          </w:p>
        </w:tc>
        <w:tc>
          <w:tcPr>
            <w:tcW w:w="860" w:type="dxa"/>
            <w:vAlign w:val="bottom"/>
            <w:tcBorders>
              <w:bottom w:val="single" w:sz="8" w:color="8C8272"/>
            </w:tcBorders>
            <w:vMerge w:val="continue"/>
          </w:tcPr>
          <w:p>
            <w:pPr>
              <w:spacing w:after="0"/>
              <w:rPr>
                <w:sz w:val="15"/>
                <w:szCs w:val="15"/>
                <w:color w:val="auto"/>
              </w:rPr>
            </w:pPr>
          </w:p>
        </w:tc>
        <w:tc>
          <w:tcPr>
            <w:tcW w:w="92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84"/>
        </w:trPr>
        <w:tc>
          <w:tcPr>
            <w:tcW w:w="1940" w:type="dxa"/>
            <w:vAlign w:val="bottom"/>
          </w:tcPr>
          <w:p>
            <w:pPr>
              <w:ind w:left="20"/>
              <w:spacing w:after="0"/>
              <w:rPr>
                <w:sz w:val="20"/>
                <w:szCs w:val="20"/>
                <w:color w:val="auto"/>
              </w:rPr>
            </w:pPr>
            <w:r>
              <w:rPr>
                <w:rFonts w:ascii="Arial" w:cs="Arial" w:eastAsia="Arial" w:hAnsi="Arial"/>
                <w:sz w:val="14"/>
                <w:szCs w:val="14"/>
                <w:color w:val="auto"/>
              </w:rPr>
              <w:t>Residential/Religious (b)</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786</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767</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920" w:type="dxa"/>
            <w:vAlign w:val="bottom"/>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89"/>
        </w:trPr>
        <w:tc>
          <w:tcPr>
            <w:tcW w:w="1940" w:type="dxa"/>
            <w:vAlign w:val="bottom"/>
          </w:tcPr>
          <w:p>
            <w:pPr>
              <w:ind w:left="20"/>
              <w:spacing w:after="0"/>
              <w:rPr>
                <w:sz w:val="20"/>
                <w:szCs w:val="20"/>
                <w:color w:val="auto"/>
              </w:rPr>
            </w:pPr>
            <w:r>
              <w:rPr>
                <w:rFonts w:ascii="Arial" w:cs="Arial" w:eastAsia="Arial" w:hAnsi="Arial"/>
                <w:sz w:val="14"/>
                <w:szCs w:val="14"/>
                <w:color w:val="auto"/>
              </w:rPr>
              <w:t>Commercial/Industrial</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382</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9"/>
        </w:trPr>
        <w:tc>
          <w:tcPr>
            <w:tcW w:w="1940" w:type="dxa"/>
            <w:vAlign w:val="bottom"/>
          </w:tcPr>
          <w:p>
            <w:pPr>
              <w:ind w:left="20"/>
              <w:spacing w:after="0"/>
              <w:rPr>
                <w:sz w:val="20"/>
                <w:szCs w:val="20"/>
                <w:color w:val="auto"/>
              </w:rPr>
            </w:pPr>
            <w:r>
              <w:rPr>
                <w:rFonts w:ascii="Arial" w:cs="Arial" w:eastAsia="Arial" w:hAnsi="Arial"/>
                <w:sz w:val="14"/>
                <w:szCs w:val="14"/>
                <w:color w:val="auto"/>
              </w:rPr>
              <w:t>Retail choice customers</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1,380</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1,254</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126</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6"/>
        </w:trPr>
        <w:tc>
          <w:tcPr>
            <w:tcW w:w="1940" w:type="dxa"/>
            <w:vAlign w:val="bottom"/>
          </w:tcPr>
          <w:p>
            <w:pPr>
              <w:ind w:left="20"/>
              <w:spacing w:after="0"/>
              <w:rPr>
                <w:sz w:val="20"/>
                <w:szCs w:val="20"/>
                <w:color w:val="auto"/>
              </w:rPr>
            </w:pPr>
            <w:r>
              <w:rPr>
                <w:rFonts w:ascii="Arial" w:cs="Arial" w:eastAsia="Arial" w:hAnsi="Arial"/>
                <w:sz w:val="14"/>
                <w:szCs w:val="14"/>
                <w:color w:val="auto"/>
              </w:rPr>
              <w:t>Public authorities</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50</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06285" cy="146050"/>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-487045</wp:posOffset>
            </wp:positionV>
            <wp:extent cx="7106285" cy="14541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Revenues in Millions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3060065" cy="34290"/>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3060065" cy="34290"/>
                    </a:xfrm>
                    <a:prstGeom prst="rect">
                      <a:avLst/>
                    </a:prstGeom>
                    <a:noFill/>
                  </pic:spPr>
                </pic:pic>
              </a:graphicData>
            </a:graphic>
          </wp:anchor>
        </w:drawing>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For the 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26035</wp:posOffset>
            </wp:positionV>
            <wp:extent cx="8255" cy="1714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-93345</wp:posOffset>
            </wp:positionV>
            <wp:extent cx="8255" cy="8890"/>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-76200</wp:posOffset>
            </wp:positionV>
            <wp:extent cx="8255" cy="8255"/>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-59055</wp:posOffset>
            </wp:positionV>
            <wp:extent cx="8255" cy="825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-41910</wp:posOffset>
            </wp:positionV>
            <wp:extent cx="8255" cy="825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-24765</wp:posOffset>
            </wp:positionV>
            <wp:extent cx="8255" cy="825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-7620</wp:posOffset>
            </wp:positionV>
            <wp:extent cx="8255" cy="8890"/>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8890</wp:posOffset>
            </wp:positionV>
            <wp:extent cx="8255" cy="8255"/>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40" w:type="dxa"/>
            <w:vAlign w:val="bottom"/>
            <w:tcBorders>
              <w:top w:val="single" w:sz="8" w:color="828282"/>
            </w:tcBorders>
          </w:tcPr>
          <w:p>
            <w:pPr>
              <w:spacing w:after="0"/>
              <w:rPr>
                <w:sz w:val="12"/>
                <w:szCs w:val="12"/>
                <w:color w:val="auto"/>
              </w:rPr>
            </w:pPr>
          </w:p>
        </w:tc>
        <w:tc>
          <w:tcPr>
            <w:tcW w:w="1340" w:type="dxa"/>
            <w:vAlign w:val="bottom"/>
            <w:tcBorders>
              <w:top w:val="single" w:sz="8" w:color="8C8272"/>
            </w:tcBorders>
            <w:vMerge w:val="restart"/>
          </w:tcPr>
          <w:p>
            <w:pPr>
              <w:jc w:val="right"/>
              <w:ind w:right="88"/>
              <w:spacing w:after="0"/>
              <w:rPr>
                <w:sz w:val="20"/>
                <w:szCs w:val="20"/>
                <w:color w:val="auto"/>
              </w:rPr>
            </w:pPr>
            <w:r>
              <w:rPr>
                <w:rFonts w:ascii="Arial" w:cs="Arial" w:eastAsia="Arial" w:hAnsi="Arial"/>
                <w:sz w:val="14"/>
                <w:szCs w:val="14"/>
                <w:b w:val="1"/>
                <w:bCs w:val="1"/>
                <w:color w:val="auto"/>
              </w:rPr>
              <w:t>June 30, 2021</w:t>
            </w:r>
          </w:p>
        </w:tc>
        <w:tc>
          <w:tcPr>
            <w:tcW w:w="1240" w:type="dxa"/>
            <w:vAlign w:val="bottom"/>
            <w:tcBorders>
              <w:top w:val="single" w:sz="8" w:color="8C8272"/>
            </w:tcBorders>
            <w:vMerge w:val="restart"/>
          </w:tcPr>
          <w:p>
            <w:pPr>
              <w:jc w:val="right"/>
              <w:ind w:right="88"/>
              <w:spacing w:after="0"/>
              <w:rPr>
                <w:sz w:val="20"/>
                <w:szCs w:val="20"/>
                <w:color w:val="auto"/>
              </w:rPr>
            </w:pPr>
            <w:r>
              <w:rPr>
                <w:rFonts w:ascii="Arial" w:cs="Arial" w:eastAsia="Arial" w:hAnsi="Arial"/>
                <w:sz w:val="14"/>
                <w:szCs w:val="14"/>
                <w:b w:val="1"/>
                <w:bCs w:val="1"/>
                <w:color w:val="auto"/>
              </w:rPr>
              <w:t>June 30, 2020</w:t>
            </w:r>
          </w:p>
        </w:tc>
        <w:tc>
          <w:tcPr>
            <w:tcW w:w="860" w:type="dxa"/>
            <w:vAlign w:val="bottom"/>
            <w:tcBorders>
              <w:top w:val="single" w:sz="8" w:color="8C8272"/>
            </w:tcBorders>
            <w:vMerge w:val="restart"/>
          </w:tcPr>
          <w:p>
            <w:pPr>
              <w:jc w:val="right"/>
              <w:ind w:right="28"/>
              <w:spacing w:after="0"/>
              <w:rPr>
                <w:sz w:val="20"/>
                <w:szCs w:val="20"/>
                <w:color w:val="auto"/>
              </w:rPr>
            </w:pPr>
            <w:r>
              <w:rPr>
                <w:rFonts w:ascii="Arial" w:cs="Arial" w:eastAsia="Arial" w:hAnsi="Arial"/>
                <w:sz w:val="14"/>
                <w:szCs w:val="14"/>
                <w:b w:val="1"/>
                <w:bCs w:val="1"/>
                <w:color w:val="auto"/>
              </w:rPr>
              <w:t>Variation</w:t>
            </w:r>
          </w:p>
        </w:tc>
        <w:tc>
          <w:tcPr>
            <w:tcW w:w="940" w:type="dxa"/>
            <w:vAlign w:val="bottom"/>
            <w:tcBorders>
              <w:top w:val="single" w:sz="8" w:color="8C8272"/>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6"/>
        </w:trPr>
        <w:tc>
          <w:tcPr>
            <w:tcW w:w="440" w:type="dxa"/>
            <w:vAlign w:val="bottom"/>
            <w:tcBorders>
              <w:bottom w:val="single" w:sz="8" w:color="828282"/>
            </w:tcBorders>
          </w:tcPr>
          <w:p>
            <w:pPr>
              <w:spacing w:after="0"/>
              <w:rPr>
                <w:sz w:val="15"/>
                <w:szCs w:val="15"/>
                <w:color w:val="auto"/>
              </w:rPr>
            </w:pPr>
          </w:p>
        </w:tc>
        <w:tc>
          <w:tcPr>
            <w:tcW w:w="1340" w:type="dxa"/>
            <w:vAlign w:val="bottom"/>
            <w:tcBorders>
              <w:bottom w:val="single" w:sz="8" w:color="8C8272"/>
            </w:tcBorders>
            <w:vMerge w:val="continue"/>
          </w:tcPr>
          <w:p>
            <w:pPr>
              <w:spacing w:after="0"/>
              <w:rPr>
                <w:sz w:val="15"/>
                <w:szCs w:val="15"/>
                <w:color w:val="auto"/>
              </w:rPr>
            </w:pPr>
          </w:p>
        </w:tc>
        <w:tc>
          <w:tcPr>
            <w:tcW w:w="1240" w:type="dxa"/>
            <w:vAlign w:val="bottom"/>
            <w:tcBorders>
              <w:bottom w:val="single" w:sz="8" w:color="8C8272"/>
            </w:tcBorders>
            <w:vMerge w:val="continue"/>
          </w:tcPr>
          <w:p>
            <w:pPr>
              <w:spacing w:after="0"/>
              <w:rPr>
                <w:sz w:val="15"/>
                <w:szCs w:val="15"/>
                <w:color w:val="auto"/>
              </w:rPr>
            </w:pPr>
          </w:p>
        </w:tc>
        <w:tc>
          <w:tcPr>
            <w:tcW w:w="860" w:type="dxa"/>
            <w:vAlign w:val="bottom"/>
            <w:tcBorders>
              <w:bottom w:val="single" w:sz="8" w:color="8C8272"/>
            </w:tcBorders>
            <w:vMerge w:val="continue"/>
          </w:tcPr>
          <w:p>
            <w:pPr>
              <w:spacing w:after="0"/>
              <w:rPr>
                <w:sz w:val="15"/>
                <w:szCs w:val="15"/>
                <w:color w:val="auto"/>
              </w:rPr>
            </w:pPr>
          </w:p>
        </w:tc>
        <w:tc>
          <w:tcPr>
            <w:tcW w:w="94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84"/>
        </w:trPr>
        <w:tc>
          <w:tcPr>
            <w:tcW w:w="1780" w:type="dxa"/>
            <w:vAlign w:val="bottom"/>
            <w:gridSpan w:val="2"/>
          </w:tcPr>
          <w:p>
            <w:pPr>
              <w:jc w:val="right"/>
              <w:ind w:right="88"/>
              <w:spacing w:after="0"/>
              <w:rPr>
                <w:sz w:val="20"/>
                <w:szCs w:val="20"/>
                <w:color w:val="auto"/>
              </w:rPr>
            </w:pPr>
            <w:r>
              <w:rPr>
                <w:rFonts w:ascii="Arial" w:cs="Arial" w:eastAsia="Arial" w:hAnsi="Arial"/>
                <w:sz w:val="14"/>
                <w:szCs w:val="14"/>
                <w:color w:val="auto"/>
              </w:rPr>
              <w:t>$143</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$137</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940" w:type="dxa"/>
            <w:vAlign w:val="bottom"/>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189"/>
        </w:trPr>
        <w:tc>
          <w:tcPr>
            <w:tcW w:w="1780" w:type="dxa"/>
            <w:vAlign w:val="bottom"/>
            <w:gridSpan w:val="2"/>
          </w:tcPr>
          <w:p>
            <w:pPr>
              <w:jc w:val="right"/>
              <w:ind w:right="88"/>
              <w:spacing w:after="0"/>
              <w:rPr>
                <w:sz w:val="20"/>
                <w:szCs w:val="20"/>
                <w:color w:val="auto"/>
              </w:rPr>
            </w:pPr>
            <w:r>
              <w:rPr>
                <w:rFonts w:ascii="Arial" w:cs="Arial" w:eastAsia="Arial" w:hAnsi="Arial"/>
                <w:sz w:val="14"/>
                <w:szCs w:val="14"/>
                <w:color w:val="auto"/>
              </w:rPr>
              <w:t>51</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53</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9"/>
        </w:trPr>
        <w:tc>
          <w:tcPr>
            <w:tcW w:w="1780" w:type="dxa"/>
            <w:vAlign w:val="bottom"/>
            <w:gridSpan w:val="2"/>
          </w:tcPr>
          <w:p>
            <w:pPr>
              <w:jc w:val="right"/>
              <w:ind w:right="88"/>
              <w:spacing w:after="0"/>
              <w:rPr>
                <w:sz w:val="20"/>
                <w:szCs w:val="20"/>
                <w:color w:val="auto"/>
              </w:rPr>
            </w:pPr>
            <w:r>
              <w:rPr>
                <w:rFonts w:ascii="Arial" w:cs="Arial" w:eastAsia="Arial" w:hAnsi="Arial"/>
                <w:sz w:val="14"/>
                <w:szCs w:val="14"/>
                <w:color w:val="auto"/>
              </w:rPr>
              <w:t>101</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82</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86"/>
        </w:trPr>
        <w:tc>
          <w:tcPr>
            <w:tcW w:w="1780" w:type="dxa"/>
            <w:vAlign w:val="bottom"/>
            <w:gridSpan w:val="2"/>
          </w:tcPr>
          <w:p>
            <w:pPr>
              <w:jc w:val="right"/>
              <w:ind w:right="88"/>
              <w:spacing w:after="0"/>
              <w:rPr>
                <w:sz w:val="20"/>
                <w:szCs w:val="20"/>
                <w:color w:val="auto"/>
              </w:rPr>
            </w:pPr>
            <w:r>
              <w:rPr>
                <w:rFonts w:ascii="Arial" w:cs="Arial" w:eastAsia="Arial" w:hAnsi="Arial"/>
                <w:sz w:val="14"/>
                <w:szCs w:val="14"/>
                <w:color w:val="auto"/>
              </w:rPr>
              <w:t>4</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9525</wp:posOffset>
            </wp:positionV>
            <wp:extent cx="8255" cy="1714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-92710</wp:posOffset>
            </wp:positionV>
            <wp:extent cx="8255" cy="825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-75565</wp:posOffset>
            </wp:positionV>
            <wp:extent cx="8255" cy="8890"/>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-58420</wp:posOffset>
            </wp:positionV>
            <wp:extent cx="8255" cy="8255"/>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-41275</wp:posOffset>
            </wp:positionV>
            <wp:extent cx="8255" cy="8255"/>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-23495</wp:posOffset>
            </wp:positionV>
            <wp:extent cx="8255" cy="825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-6985</wp:posOffset>
            </wp:positionV>
            <wp:extent cx="8255" cy="825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-332740</wp:posOffset>
            </wp:positionV>
            <wp:extent cx="8255" cy="8890"/>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-315595</wp:posOffset>
            </wp:positionV>
            <wp:extent cx="8255" cy="8255"/>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-298450</wp:posOffset>
            </wp:positionV>
            <wp:extent cx="8255" cy="8255"/>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-280670</wp:posOffset>
            </wp:positionV>
            <wp:extent cx="8255" cy="825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-264160</wp:posOffset>
            </wp:positionV>
            <wp:extent cx="8255" cy="825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-666750</wp:posOffset>
            </wp:positionV>
            <wp:extent cx="8255" cy="8255"/>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-649605</wp:posOffset>
            </wp:positionV>
            <wp:extent cx="8255" cy="825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-632460</wp:posOffset>
            </wp:positionV>
            <wp:extent cx="8255" cy="825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-615315</wp:posOffset>
            </wp:positionV>
            <wp:extent cx="8255" cy="825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-598170</wp:posOffset>
            </wp:positionV>
            <wp:extent cx="8255" cy="8890"/>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-581025</wp:posOffset>
            </wp:positionV>
            <wp:extent cx="8255" cy="8255"/>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-563880</wp:posOffset>
            </wp:positionV>
            <wp:extent cx="8255" cy="8255"/>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-546735</wp:posOffset>
            </wp:positionV>
            <wp:extent cx="8255" cy="8255"/>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-529590</wp:posOffset>
            </wp:positionV>
            <wp:extent cx="8255" cy="825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-512445</wp:posOffset>
            </wp:positionV>
            <wp:extent cx="8255" cy="8890"/>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-495300</wp:posOffset>
            </wp:positionV>
            <wp:extent cx="8255" cy="825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380" w:space="0"/>
            <w:col w:w="4860"/>
          </w:cols>
          <w:pgMar w:left="320" w:top="962"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340" w:type="dxa"/>
            <w:vAlign w:val="bottom"/>
            <w:tcBorders>
              <w:top w:val="single" w:sz="8" w:color="8C8272"/>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Other operating revenues (c)</w:t>
            </w:r>
          </w:p>
        </w:tc>
        <w:tc>
          <w:tcPr>
            <w:tcW w:w="1260" w:type="dxa"/>
            <w:vAlign w:val="bottom"/>
            <w:tcBorders>
              <w:top w:val="single" w:sz="8" w:color="8C8272"/>
              <w:bottom w:val="single" w:sz="8" w:color="8C8272"/>
            </w:tcBorders>
            <w:shd w:val="clear" w:color="auto" w:fill="E5E5E5"/>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8C8272"/>
              <w:bottom w:val="single" w:sz="8" w:color="8C8272"/>
            </w:tcBorders>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8C8272"/>
              <w:bottom w:val="single" w:sz="8" w:color="8C8272"/>
            </w:tcBorders>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8C8272"/>
              <w:bottom w:val="single" w:sz="8" w:color="8C8272"/>
            </w:tcBorders>
            <w:shd w:val="clear" w:color="auto" w:fill="E5E5E5"/>
          </w:tcPr>
          <w:p>
            <w:pPr>
              <w:jc w:val="center"/>
              <w:ind w:left="488"/>
              <w:spacing w:after="0"/>
              <w:rPr>
                <w:sz w:val="20"/>
                <w:szCs w:val="20"/>
                <w:color w:val="auto"/>
              </w:rPr>
            </w:pPr>
            <w:r>
              <w:rPr>
                <w:rFonts w:ascii="Arial" w:cs="Arial" w:eastAsia="Arial" w:hAnsi="Arial"/>
                <w:sz w:val="14"/>
                <w:szCs w:val="14"/>
                <w:color w:val="auto"/>
                <w:w w:val="99"/>
              </w:rPr>
              <w:t>—</w:t>
            </w:r>
          </w:p>
        </w:tc>
        <w:tc>
          <w:tcPr>
            <w:tcW w:w="440" w:type="dxa"/>
            <w:vAlign w:val="bottom"/>
            <w:tcBorders>
              <w:top w:val="single" w:sz="8" w:color="828282"/>
              <w:bottom w:val="single" w:sz="8" w:color="828282"/>
              <w:right w:val="single" w:sz="8" w:color="E5E5E5"/>
            </w:tcBorders>
            <w:shd w:val="clear" w:color="auto" w:fill="E5E5E5"/>
          </w:tcPr>
          <w:p>
            <w:pPr>
              <w:spacing w:after="0"/>
              <w:rPr>
                <w:sz w:val="16"/>
                <w:szCs w:val="16"/>
                <w:color w:val="auto"/>
              </w:rPr>
            </w:pPr>
          </w:p>
        </w:tc>
        <w:tc>
          <w:tcPr>
            <w:tcW w:w="1640" w:type="dxa"/>
            <w:vAlign w:val="bottom"/>
            <w:tcBorders>
              <w:top w:val="single" w:sz="8" w:color="8C8272"/>
              <w:bottom w:val="single" w:sz="8" w:color="8C8272"/>
            </w:tcBorders>
            <w:shd w:val="clear" w:color="auto" w:fill="E5E5E5"/>
          </w:tcPr>
          <w:p>
            <w:pPr>
              <w:jc w:val="right"/>
              <w:ind w:right="3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8C8272"/>
              <w:bottom w:val="single" w:sz="8" w:color="8C8272"/>
            </w:tcBorders>
            <w:shd w:val="clear" w:color="auto" w:fill="E5E5E5"/>
          </w:tcPr>
          <w:p>
            <w:pPr>
              <w:jc w:val="right"/>
              <w:ind w:right="268"/>
              <w:spacing w:after="0"/>
              <w:rPr>
                <w:sz w:val="20"/>
                <w:szCs w:val="20"/>
                <w:color w:val="auto"/>
              </w:rPr>
            </w:pPr>
            <w:r>
              <w:rPr>
                <w:rFonts w:ascii="Arial" w:cs="Arial" w:eastAsia="Arial" w:hAnsi="Arial"/>
                <w:sz w:val="14"/>
                <w:szCs w:val="14"/>
                <w:color w:val="auto"/>
              </w:rPr>
              <w:t>(1)</w:t>
            </w:r>
          </w:p>
        </w:tc>
        <w:tc>
          <w:tcPr>
            <w:tcW w:w="900" w:type="dxa"/>
            <w:vAlign w:val="bottom"/>
            <w:tcBorders>
              <w:top w:val="single" w:sz="8" w:color="8C8272"/>
              <w:bottom w:val="single" w:sz="8" w:color="8C8272"/>
            </w:tcBorders>
            <w:shd w:val="clear" w:color="auto" w:fill="E5E5E5"/>
          </w:tcPr>
          <w:p>
            <w:pPr>
              <w:jc w:val="right"/>
              <w:ind w:right="248"/>
              <w:spacing w:after="0"/>
              <w:rPr>
                <w:sz w:val="20"/>
                <w:szCs w:val="20"/>
                <w:color w:val="auto"/>
              </w:rPr>
            </w:pPr>
            <w:r>
              <w:rPr>
                <w:rFonts w:ascii="Arial" w:cs="Arial" w:eastAsia="Arial" w:hAnsi="Arial"/>
                <w:sz w:val="14"/>
                <w:szCs w:val="14"/>
                <w:color w:val="auto"/>
              </w:rPr>
              <w:t>1</w:t>
            </w:r>
          </w:p>
        </w:tc>
        <w:tc>
          <w:tcPr>
            <w:tcW w:w="720" w:type="dxa"/>
            <w:vAlign w:val="bottom"/>
            <w:tcBorders>
              <w:top w:val="single" w:sz="8" w:color="8C8272"/>
              <w:bottom w:val="single" w:sz="8" w:color="8C8272"/>
            </w:tcBorders>
            <w:shd w:val="clear" w:color="auto" w:fill="E5E5E5"/>
          </w:tcPr>
          <w:p>
            <w:pPr>
              <w:ind w:left="340"/>
              <w:spacing w:after="0"/>
              <w:rPr>
                <w:sz w:val="20"/>
                <w:szCs w:val="20"/>
                <w:color w:val="auto"/>
              </w:rPr>
            </w:pPr>
            <w:r>
              <w:rPr>
                <w:rFonts w:ascii="Arial" w:cs="Arial" w:eastAsia="Arial" w:hAnsi="Arial"/>
                <w:sz w:val="14"/>
                <w:szCs w:val="14"/>
                <w:color w:val="auto"/>
              </w:rPr>
              <w:t>Large</w:t>
            </w:r>
          </w:p>
        </w:tc>
      </w:tr>
      <w:tr>
        <w:trPr>
          <w:trHeight w:val="183"/>
        </w:trPr>
        <w:tc>
          <w:tcPr>
            <w:tcW w:w="234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jc w:val="right"/>
              <w:ind w:right="348"/>
              <w:spacing w:after="0"/>
              <w:rPr>
                <w:sz w:val="20"/>
                <w:szCs w:val="20"/>
                <w:color w:val="auto"/>
              </w:rPr>
            </w:pPr>
            <w:r>
              <w:rPr>
                <w:rFonts w:ascii="Arial" w:cs="Arial" w:eastAsia="Arial" w:hAnsi="Arial"/>
                <w:sz w:val="14"/>
                <w:szCs w:val="14"/>
                <w:b w:val="1"/>
                <w:bCs w:val="1"/>
                <w:color w:val="auto"/>
              </w:rPr>
              <w:t>2,621</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2,453</w:t>
            </w:r>
          </w:p>
        </w:tc>
        <w:tc>
          <w:tcPr>
            <w:tcW w:w="920" w:type="dxa"/>
            <w:vAlign w:val="bottom"/>
          </w:tcPr>
          <w:p>
            <w:pPr>
              <w:jc w:val="right"/>
              <w:ind w:right="268"/>
              <w:spacing w:after="0"/>
              <w:rPr>
                <w:sz w:val="20"/>
                <w:szCs w:val="20"/>
                <w:color w:val="auto"/>
              </w:rPr>
            </w:pPr>
            <w:r>
              <w:rPr>
                <w:rFonts w:ascii="Arial" w:cs="Arial" w:eastAsia="Arial" w:hAnsi="Arial"/>
                <w:sz w:val="14"/>
                <w:szCs w:val="14"/>
                <w:b w:val="1"/>
                <w:bCs w:val="1"/>
                <w:color w:val="auto"/>
              </w:rPr>
              <w:t>168</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6.8 % (d)</w:t>
            </w:r>
          </w:p>
        </w:tc>
        <w:tc>
          <w:tcPr>
            <w:tcW w:w="1640" w:type="dxa"/>
            <w:vAlign w:val="bottom"/>
          </w:tcPr>
          <w:p>
            <w:pPr>
              <w:jc w:val="right"/>
              <w:ind w:right="388"/>
              <w:spacing w:after="0"/>
              <w:rPr>
                <w:sz w:val="20"/>
                <w:szCs w:val="20"/>
                <w:color w:val="auto"/>
              </w:rPr>
            </w:pPr>
            <w:r>
              <w:rPr>
                <w:rFonts w:ascii="Arial" w:cs="Arial" w:eastAsia="Arial" w:hAnsi="Arial"/>
                <w:sz w:val="14"/>
                <w:szCs w:val="14"/>
                <w:b w:val="1"/>
                <w:bCs w:val="1"/>
                <w:color w:val="auto"/>
              </w:rPr>
              <w:t>$299</w:t>
            </w: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$274</w:t>
            </w:r>
          </w:p>
        </w:tc>
        <w:tc>
          <w:tcPr>
            <w:tcW w:w="900" w:type="dxa"/>
            <w:vAlign w:val="bottom"/>
          </w:tcPr>
          <w:p>
            <w:pPr>
              <w:jc w:val="right"/>
              <w:ind w:right="248"/>
              <w:spacing w:after="0"/>
              <w:rPr>
                <w:sz w:val="20"/>
                <w:szCs w:val="20"/>
                <w:color w:val="auto"/>
              </w:rPr>
            </w:pPr>
            <w:r>
              <w:rPr>
                <w:rFonts w:ascii="Arial" w:cs="Arial" w:eastAsia="Arial" w:hAnsi="Arial"/>
                <w:sz w:val="14"/>
                <w:szCs w:val="14"/>
                <w:b w:val="1"/>
                <w:bCs w:val="1"/>
                <w:color w:val="auto"/>
              </w:rPr>
              <w:t>$25</w:t>
            </w:r>
          </w:p>
        </w:tc>
        <w:tc>
          <w:tcPr>
            <w:tcW w:w="720" w:type="dxa"/>
            <w:vAlign w:val="bottom"/>
          </w:tcPr>
          <w:p>
            <w:pPr>
              <w:ind w:left="340"/>
              <w:spacing w:after="0"/>
              <w:rPr>
                <w:sz w:val="20"/>
                <w:szCs w:val="20"/>
                <w:color w:val="auto"/>
              </w:rPr>
            </w:pPr>
            <w:r>
              <w:rPr>
                <w:rFonts w:ascii="Arial" w:cs="Arial" w:eastAsia="Arial" w:hAnsi="Arial"/>
                <w:sz w:val="14"/>
                <w:szCs w:val="14"/>
                <w:b w:val="1"/>
                <w:bCs w:val="1"/>
                <w:color w:val="auto"/>
              </w:rPr>
              <w:t>9.1 %</w:t>
            </w:r>
          </w:p>
        </w:tc>
      </w:tr>
      <w:tr>
        <w:trPr>
          <w:trHeight w:val="20"/>
        </w:trPr>
        <w:tc>
          <w:tcPr>
            <w:tcW w:w="2340" w:type="dxa"/>
            <w:vAlign w:val="bottom"/>
            <w:shd w:val="clear" w:color="auto" w:fill="8C8272"/>
          </w:tcPr>
          <w:p>
            <w:pPr>
              <w:spacing w:after="0" w:line="20" w:lineRule="exact"/>
              <w:rPr>
                <w:sz w:val="1"/>
                <w:szCs w:val="1"/>
                <w:color w:val="auto"/>
              </w:rPr>
            </w:pPr>
          </w:p>
        </w:tc>
        <w:tc>
          <w:tcPr>
            <w:tcW w:w="1260" w:type="dxa"/>
            <w:vAlign w:val="bottom"/>
            <w:shd w:val="clear" w:color="auto" w:fill="8C8272"/>
          </w:tcPr>
          <w:p>
            <w:pPr>
              <w:spacing w:after="0" w:line="20" w:lineRule="exact"/>
              <w:rPr>
                <w:sz w:val="1"/>
                <w:szCs w:val="1"/>
                <w:color w:val="auto"/>
              </w:rPr>
            </w:pPr>
          </w:p>
        </w:tc>
        <w:tc>
          <w:tcPr>
            <w:tcW w:w="1120" w:type="dxa"/>
            <w:vAlign w:val="bottom"/>
            <w:shd w:val="clear" w:color="auto" w:fill="8C8272"/>
          </w:tcPr>
          <w:p>
            <w:pPr>
              <w:spacing w:after="0" w:line="20" w:lineRule="exact"/>
              <w:rPr>
                <w:sz w:val="1"/>
                <w:szCs w:val="1"/>
                <w:color w:val="auto"/>
              </w:rPr>
            </w:pPr>
          </w:p>
        </w:tc>
        <w:tc>
          <w:tcPr>
            <w:tcW w:w="920" w:type="dxa"/>
            <w:vAlign w:val="bottom"/>
            <w:shd w:val="clear" w:color="auto" w:fill="8C8272"/>
          </w:tcPr>
          <w:p>
            <w:pPr>
              <w:spacing w:after="0" w:line="20" w:lineRule="exact"/>
              <w:rPr>
                <w:sz w:val="1"/>
                <w:szCs w:val="1"/>
                <w:color w:val="auto"/>
              </w:rPr>
            </w:pPr>
          </w:p>
        </w:tc>
        <w:tc>
          <w:tcPr>
            <w:tcW w:w="740" w:type="dxa"/>
            <w:vAlign w:val="bottom"/>
            <w:shd w:val="clear" w:color="auto" w:fill="8C8272"/>
          </w:tcPr>
          <w:p>
            <w:pPr>
              <w:spacing w:after="0" w:line="20" w:lineRule="exact"/>
              <w:rPr>
                <w:sz w:val="1"/>
                <w:szCs w:val="1"/>
                <w:color w:val="auto"/>
              </w:rPr>
            </w:pPr>
          </w:p>
        </w:tc>
        <w:tc>
          <w:tcPr>
            <w:tcW w:w="440" w:type="dxa"/>
            <w:vAlign w:val="bottom"/>
            <w:tcBorders>
              <w:right w:val="single" w:sz="8" w:color="828282"/>
            </w:tcBorders>
            <w:shd w:val="clear" w:color="auto" w:fill="828282"/>
          </w:tcPr>
          <w:p>
            <w:pPr>
              <w:spacing w:after="0" w:line="20" w:lineRule="exact"/>
              <w:rPr>
                <w:sz w:val="1"/>
                <w:szCs w:val="1"/>
                <w:color w:val="auto"/>
              </w:rPr>
            </w:pPr>
          </w:p>
        </w:tc>
        <w:tc>
          <w:tcPr>
            <w:tcW w:w="1640" w:type="dxa"/>
            <w:vAlign w:val="bottom"/>
            <w:shd w:val="clear" w:color="auto" w:fill="8C8272"/>
          </w:tcPr>
          <w:p>
            <w:pPr>
              <w:spacing w:after="0" w:line="20" w:lineRule="exact"/>
              <w:rPr>
                <w:sz w:val="1"/>
                <w:szCs w:val="1"/>
                <w:color w:val="auto"/>
              </w:rPr>
            </w:pPr>
          </w:p>
        </w:tc>
        <w:tc>
          <w:tcPr>
            <w:tcW w:w="1120" w:type="dxa"/>
            <w:vAlign w:val="bottom"/>
            <w:shd w:val="clear" w:color="auto" w:fill="8C8272"/>
          </w:tcPr>
          <w:p>
            <w:pPr>
              <w:spacing w:after="0" w:line="20" w:lineRule="exact"/>
              <w:rPr>
                <w:sz w:val="1"/>
                <w:szCs w:val="1"/>
                <w:color w:val="auto"/>
              </w:rPr>
            </w:pPr>
          </w:p>
        </w:tc>
        <w:tc>
          <w:tcPr>
            <w:tcW w:w="900" w:type="dxa"/>
            <w:vAlign w:val="bottom"/>
            <w:shd w:val="clear" w:color="auto" w:fill="8C8272"/>
          </w:tcPr>
          <w:p>
            <w:pPr>
              <w:spacing w:after="0" w:line="20" w:lineRule="exact"/>
              <w:rPr>
                <w:sz w:val="1"/>
                <w:szCs w:val="1"/>
                <w:color w:val="auto"/>
              </w:rPr>
            </w:pPr>
          </w:p>
        </w:tc>
        <w:tc>
          <w:tcPr>
            <w:tcW w:w="720" w:type="dxa"/>
            <w:vAlign w:val="bottom"/>
            <w:shd w:val="clear" w:color="auto" w:fill="8C827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-128270</wp:posOffset>
            </wp:positionV>
            <wp:extent cx="8255" cy="1714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-102235</wp:posOffset>
            </wp:positionV>
            <wp:extent cx="8255" cy="8255"/>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-85090</wp:posOffset>
            </wp:positionV>
            <wp:extent cx="8255" cy="8890"/>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-67945</wp:posOffset>
            </wp:positionV>
            <wp:extent cx="8255" cy="825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-50800</wp:posOffset>
            </wp:positionV>
            <wp:extent cx="8255" cy="825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-33655</wp:posOffset>
            </wp:positionV>
            <wp:extent cx="8255" cy="8255"/>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-16510</wp:posOffset>
            </wp:positionV>
            <wp:extent cx="8255" cy="825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-230505</wp:posOffset>
            </wp:positionV>
            <wp:extent cx="8255" cy="825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-213995</wp:posOffset>
            </wp:positionV>
            <wp:extent cx="8255" cy="8890"/>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-196215</wp:posOffset>
            </wp:positionV>
            <wp:extent cx="8255" cy="8255"/>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-179070</wp:posOffset>
            </wp:positionV>
            <wp:extent cx="8255" cy="825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-161925</wp:posOffset>
            </wp:positionV>
            <wp:extent cx="8255" cy="8255"/>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-144780</wp:posOffset>
            </wp:positionV>
            <wp:extent cx="8255" cy="8255"/>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79" w:lineRule="exact"/>
        <w:rPr>
          <w:sz w:val="20"/>
          <w:szCs w:val="20"/>
          <w:color w:val="auto"/>
        </w:rPr>
      </w:pPr>
    </w:p>
    <w:p>
      <w:pPr>
        <w:jc w:val="both"/>
        <w:ind w:left="340" w:right="20" w:hanging="332"/>
        <w:spacing w:after="0" w:line="241"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O&amp;R’s New York electric delivery revenues are subject to a revenue decoupling mechanism, as a result of which delivery revenues are generally not affected by changes in delivery volumes from levels assumed when rates were approved. O&amp;R’s electric sales in New Jersey are not subject to a decoupling mechanism, and as a result, changes in such volumes do impact revenues.</w:t>
      </w:r>
    </w:p>
    <w:p>
      <w:pPr>
        <w:spacing w:after="0" w:line="1" w:lineRule="exact"/>
        <w:rPr>
          <w:rFonts w:ascii="Arial" w:cs="Arial" w:eastAsia="Arial" w:hAnsi="Arial"/>
          <w:sz w:val="14"/>
          <w:szCs w:val="14"/>
          <w:color w:val="auto"/>
        </w:rPr>
      </w:pPr>
    </w:p>
    <w:p>
      <w:pPr>
        <w:ind w:left="340" w:right="380" w:hanging="332"/>
        <w:spacing w:after="0" w:line="241"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“Residential/Religious” generally includes single-family dwellings, individual apartments in multi-family dwellings, religious organizations and certain other not-for-profit organizations.</w:t>
      </w: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Other electric operating revenues generally reflect changes in regulatory assets and liabilities in accordance with the company’s electric rate plan.</w:t>
      </w:r>
    </w:p>
    <w:p>
      <w:pPr>
        <w:spacing w:after="0" w:line="1" w:lineRule="exact"/>
        <w:rPr>
          <w:rFonts w:ascii="Arial" w:cs="Arial" w:eastAsia="Arial" w:hAnsi="Arial"/>
          <w:sz w:val="14"/>
          <w:szCs w:val="14"/>
          <w:color w:val="auto"/>
        </w:rPr>
      </w:pPr>
    </w:p>
    <w:p>
      <w:pPr>
        <w:ind w:left="340" w:right="240" w:hanging="332"/>
        <w:spacing w:after="0" w:line="258"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After adjusting for weather and other variations, electric delivery volumes in O&amp;R’s service area increased 2.1 percent in the six months ended June 30, 2021 compared with the 2020 period. See “Coronavirus Disease 2019 (COVID-19) Impacts,” above.</w:t>
      </w:r>
    </w:p>
    <w:p>
      <w:pPr>
        <w:spacing w:after="0" w:line="184" w:lineRule="exact"/>
        <w:rPr>
          <w:sz w:val="20"/>
          <w:szCs w:val="20"/>
          <w:color w:val="auto"/>
        </w:rPr>
      </w:pPr>
    </w:p>
    <w:p>
      <w:pPr>
        <w:ind w:right="420"/>
        <w:spacing w:after="0" w:line="251"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increased $25 million in the six months ended June 30, 2021 compared with the 2020 period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power expenses ($17 million) and higher revenues from the New York electric rate plan ($6 million).</w:t>
      </w:r>
    </w:p>
    <w:p>
      <w:pPr>
        <w:spacing w:after="0" w:line="20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i w:val="1"/>
          <w:iCs w:val="1"/>
          <w:color w:val="auto"/>
        </w:rPr>
        <w:t xml:space="preserve">Purchased power </w:t>
      </w:r>
      <w:r>
        <w:rPr>
          <w:rFonts w:ascii="Arial" w:cs="Arial" w:eastAsia="Arial" w:hAnsi="Arial"/>
          <w:sz w:val="18"/>
          <w:szCs w:val="18"/>
          <w:color w:val="auto"/>
        </w:rPr>
        <w:t>expenses increased $17 million in the six months ended June 30, 2021 compared with the 2020 period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purchased volumes ($10 million) and higher unit costs ($8 million).</w:t>
      </w:r>
    </w:p>
    <w:p>
      <w:pPr>
        <w:spacing w:after="0" w:line="175"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i w:val="1"/>
          <w:iCs w:val="1"/>
          <w:color w:val="auto"/>
        </w:rPr>
        <w:t xml:space="preserve">Other operations and maintenance </w:t>
      </w:r>
      <w:r>
        <w:rPr>
          <w:rFonts w:ascii="Arial" w:cs="Arial" w:eastAsia="Arial" w:hAnsi="Arial"/>
          <w:sz w:val="18"/>
          <w:szCs w:val="18"/>
          <w:color w:val="auto"/>
        </w:rPr>
        <w:t>expenses increased $8 million in the six months ended June 30, 2021 compared with the 2020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storm-related costs ($5 million), higher tree trimming expenses ($1 million), and higher pension costs ($1 million).</w:t>
      </w:r>
    </w:p>
    <w:p>
      <w:pPr>
        <w:spacing w:after="0" w:line="20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increased $2 million in the six months ended June 30, 2021 compared with the 2020 period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electric utility plant balances.</w:t>
      </w:r>
    </w:p>
    <w:p>
      <w:pPr>
        <w:spacing w:after="0" w:line="18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$3 million in the six months ended June 30, 2021 compared with the 2020 period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property taxes ($1 million) and payroll taxes ($1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O&amp;R’s results of gas operations for the six months ended June 30, 2021 compared with the 2020 period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Borders>
              <w:bottom w:val="single" w:sz="8" w:color="8C8272"/>
            </w:tcBorders>
          </w:tcPr>
          <w:p>
            <w:pPr>
              <w:spacing w:after="0"/>
              <w:rPr>
                <w:sz w:val="16"/>
                <w:szCs w:val="16"/>
                <w:color w:val="auto"/>
              </w:rPr>
            </w:pPr>
          </w:p>
        </w:tc>
        <w:tc>
          <w:tcPr>
            <w:tcW w:w="5360" w:type="dxa"/>
            <w:vAlign w:val="bottom"/>
            <w:tcBorders>
              <w:bottom w:val="single" w:sz="8" w:color="8C8272"/>
            </w:tcBorders>
            <w:gridSpan w:val="2"/>
          </w:tcPr>
          <w:p>
            <w:pPr>
              <w:jc w:val="right"/>
              <w:ind w:right="868"/>
              <w:spacing w:after="0"/>
              <w:rPr>
                <w:sz w:val="20"/>
                <w:szCs w:val="20"/>
                <w:color w:val="auto"/>
              </w:rPr>
            </w:pPr>
            <w:r>
              <w:rPr>
                <w:rFonts w:ascii="Arial" w:cs="Arial" w:eastAsia="Arial" w:hAnsi="Arial"/>
                <w:sz w:val="14"/>
                <w:szCs w:val="14"/>
                <w:b w:val="1"/>
                <w:bCs w:val="1"/>
                <w:color w:val="auto"/>
              </w:rPr>
              <w:t>For the Six Months Ended</w:t>
            </w:r>
          </w:p>
        </w:tc>
        <w:tc>
          <w:tcPr>
            <w:tcW w:w="1040" w:type="dxa"/>
            <w:vAlign w:val="bottom"/>
            <w:tcBorders>
              <w:bottom w:val="single" w:sz="8" w:color="8C8272"/>
            </w:tcBorders>
          </w:tcPr>
          <w:p>
            <w:pPr>
              <w:spacing w:after="0"/>
              <w:rPr>
                <w:sz w:val="16"/>
                <w:szCs w:val="16"/>
                <w:color w:val="auto"/>
              </w:rPr>
            </w:pPr>
          </w:p>
        </w:tc>
      </w:tr>
      <w:tr>
        <w:trPr>
          <w:trHeight w:val="183"/>
        </w:trPr>
        <w:tc>
          <w:tcPr>
            <w:tcW w:w="484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76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June 30, 2021</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June 30, 2020</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r>
      <w:tr>
        <w:trPr>
          <w:trHeight w:val="183"/>
        </w:trPr>
        <w:tc>
          <w:tcPr>
            <w:tcW w:w="484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revenues</w:t>
            </w:r>
          </w:p>
        </w:tc>
        <w:tc>
          <w:tcPr>
            <w:tcW w:w="37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$143</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$134</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w:t>
            </w:r>
          </w:p>
        </w:tc>
      </w:tr>
      <w:tr>
        <w:trPr>
          <w:trHeight w:val="189"/>
        </w:trPr>
        <w:tc>
          <w:tcPr>
            <w:tcW w:w="4840" w:type="dxa"/>
            <w:vAlign w:val="bottom"/>
          </w:tcPr>
          <w:p>
            <w:pPr>
              <w:ind w:left="20"/>
              <w:spacing w:after="0"/>
              <w:rPr>
                <w:sz w:val="20"/>
                <w:szCs w:val="20"/>
                <w:color w:val="auto"/>
              </w:rPr>
            </w:pPr>
            <w:r>
              <w:rPr>
                <w:rFonts w:ascii="Arial" w:cs="Arial" w:eastAsia="Arial" w:hAnsi="Arial"/>
                <w:sz w:val="14"/>
                <w:szCs w:val="14"/>
                <w:color w:val="auto"/>
              </w:rPr>
              <w:t>Gas purchased for resale</w:t>
            </w:r>
          </w:p>
        </w:tc>
        <w:tc>
          <w:tcPr>
            <w:tcW w:w="3760" w:type="dxa"/>
            <w:vAlign w:val="bottom"/>
          </w:tcPr>
          <w:p>
            <w:pPr>
              <w:jc w:val="right"/>
              <w:ind w:right="168"/>
              <w:spacing w:after="0"/>
              <w:rPr>
                <w:sz w:val="20"/>
                <w:szCs w:val="20"/>
                <w:color w:val="auto"/>
              </w:rPr>
            </w:pPr>
            <w:r>
              <w:rPr>
                <w:rFonts w:ascii="Arial" w:cs="Arial" w:eastAsia="Arial" w:hAnsi="Arial"/>
                <w:sz w:val="14"/>
                <w:szCs w:val="14"/>
                <w:color w:val="auto"/>
              </w:rPr>
              <w:t>44</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33</w:t>
            </w: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9"/>
        </w:trPr>
        <w:tc>
          <w:tcPr>
            <w:tcW w:w="484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 operations and maintenance</w:t>
            </w:r>
          </w:p>
        </w:tc>
        <w:tc>
          <w:tcPr>
            <w:tcW w:w="37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31</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34</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48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760" w:type="dxa"/>
            <w:vAlign w:val="bottom"/>
          </w:tcPr>
          <w:p>
            <w:pPr>
              <w:jc w:val="right"/>
              <w:ind w:right="168"/>
              <w:spacing w:after="0"/>
              <w:rPr>
                <w:sz w:val="20"/>
                <w:szCs w:val="20"/>
                <w:color w:val="auto"/>
              </w:rPr>
            </w:pPr>
            <w:r>
              <w:rPr>
                <w:rFonts w:ascii="Arial" w:cs="Arial" w:eastAsia="Arial" w:hAnsi="Arial"/>
                <w:sz w:val="14"/>
                <w:szCs w:val="14"/>
                <w:color w:val="auto"/>
              </w:rPr>
              <w:t>13</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13</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84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Taxes, other than income taxes</w:t>
            </w:r>
          </w:p>
        </w:tc>
        <w:tc>
          <w:tcPr>
            <w:tcW w:w="3760" w:type="dxa"/>
            <w:vAlign w:val="bottom"/>
            <w:tcBorders>
              <w:bottom w:val="single" w:sz="8" w:color="8C8272"/>
            </w:tcBorders>
            <w:shd w:val="clear" w:color="auto" w:fill="E5E5E5"/>
          </w:tcPr>
          <w:p>
            <w:pPr>
              <w:jc w:val="right"/>
              <w:ind w:right="168"/>
              <w:spacing w:after="0"/>
              <w:rPr>
                <w:sz w:val="20"/>
                <w:szCs w:val="20"/>
                <w:color w:val="auto"/>
              </w:rPr>
            </w:pPr>
            <w:r>
              <w:rPr>
                <w:rFonts w:ascii="Arial" w:cs="Arial" w:eastAsia="Arial" w:hAnsi="Arial"/>
                <w:sz w:val="14"/>
                <w:szCs w:val="14"/>
                <w:color w:val="auto"/>
              </w:rPr>
              <w:t>16</w:t>
            </w:r>
          </w:p>
        </w:tc>
        <w:tc>
          <w:tcPr>
            <w:tcW w:w="1600" w:type="dxa"/>
            <w:vAlign w:val="bottom"/>
            <w:tcBorders>
              <w:bottom w:val="single" w:sz="8" w:color="8C8272"/>
            </w:tcBorders>
            <w:shd w:val="clear" w:color="auto" w:fill="E5E5E5"/>
          </w:tcPr>
          <w:p>
            <w:pPr>
              <w:jc w:val="right"/>
              <w:ind w:right="328"/>
              <w:spacing w:after="0"/>
              <w:rPr>
                <w:sz w:val="20"/>
                <w:szCs w:val="20"/>
                <w:color w:val="auto"/>
              </w:rPr>
            </w:pPr>
            <w:r>
              <w:rPr>
                <w:rFonts w:ascii="Arial" w:cs="Arial" w:eastAsia="Arial" w:hAnsi="Arial"/>
                <w:sz w:val="14"/>
                <w:szCs w:val="14"/>
                <w:color w:val="auto"/>
              </w:rPr>
              <w:t>16</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840" w:type="dxa"/>
            <w:vAlign w:val="bottom"/>
            <w:tcBorders>
              <w:bottom w:val="single" w:sz="8" w:color="8C8272"/>
            </w:tcBorders>
          </w:tcPr>
          <w:p>
            <w:pPr>
              <w:ind w:left="140"/>
              <w:spacing w:after="0"/>
              <w:rPr>
                <w:sz w:val="20"/>
                <w:szCs w:val="20"/>
                <w:color w:val="auto"/>
              </w:rPr>
            </w:pPr>
            <w:r>
              <w:rPr>
                <w:rFonts w:ascii="Arial" w:cs="Arial" w:eastAsia="Arial" w:hAnsi="Arial"/>
                <w:sz w:val="14"/>
                <w:szCs w:val="14"/>
                <w:b w:val="1"/>
                <w:bCs w:val="1"/>
                <w:color w:val="auto"/>
              </w:rPr>
              <w:t>Gas operating income</w:t>
            </w:r>
          </w:p>
        </w:tc>
        <w:tc>
          <w:tcPr>
            <w:tcW w:w="376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$39</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$38</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color w:val="auto"/>
        </w:rPr>
        <w:t>O&amp;R’s gas sales and deliveries, excluding off-system sales, for the six months ended June 30, 2021 compared with the 2020 period were:</w:t>
      </w:r>
    </w:p>
    <w:p>
      <w:pPr>
        <w:sectPr>
          <w:pgSz w:w="11900" w:h="16838" w:orient="portrait"/>
          <w:cols w:equalWidth="0" w:num="1">
            <w:col w:w="11240"/>
          </w:cols>
          <w:pgMar w:left="320" w:top="962" w:right="339" w:bottom="1440" w:gutter="0" w:footer="0" w:header="0"/>
        </w:sectPr>
      </w:pPr>
    </w:p>
    <w:p>
      <w:pPr>
        <w:spacing w:after="0" w:line="78"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Thousands of Dt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046220" cy="8890"/>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4046220" cy="8890"/>
                    </a:xfrm>
                    <a:prstGeom prst="rect">
                      <a:avLst/>
                    </a:prstGeom>
                    <a:noFill/>
                  </pic:spPr>
                </pic:pic>
              </a:graphicData>
            </a:graphic>
          </wp:anchor>
        </w:drawing>
      </w:r>
    </w:p>
    <w:p>
      <w:pPr>
        <w:spacing w:after="0" w:line="62"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For the Six Months Ended</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Revenues in Millions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17780</wp:posOffset>
            </wp:positionV>
            <wp:extent cx="3060065" cy="34290"/>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3060065" cy="3429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26035</wp:posOffset>
            </wp:positionV>
            <wp:extent cx="8255" cy="1714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-93345</wp:posOffset>
            </wp:positionV>
            <wp:extent cx="8255" cy="8890"/>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-76200</wp:posOffset>
            </wp:positionV>
            <wp:extent cx="8255" cy="8255"/>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-59055</wp:posOffset>
            </wp:positionV>
            <wp:extent cx="8255" cy="825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-41910</wp:posOffset>
            </wp:positionV>
            <wp:extent cx="8255" cy="8255"/>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-24765</wp:posOffset>
            </wp:positionV>
            <wp:extent cx="8255" cy="8255"/>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-7620</wp:posOffset>
            </wp:positionV>
            <wp:extent cx="8255" cy="8890"/>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8890</wp:posOffset>
            </wp:positionV>
            <wp:extent cx="8255" cy="8255"/>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6420" w:space="720"/>
            <w:col w:w="4100"/>
          </w:cols>
          <w:pgMar w:left="320" w:top="962" w:right="3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1880" w:type="dxa"/>
            <w:vAlign w:val="bottom"/>
            <w:tcBorders>
              <w:top w:val="single" w:sz="8" w:color="8C8272"/>
            </w:tcBorders>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Borders>
              <w:top w:val="single" w:sz="8" w:color="8C8272"/>
            </w:tcBorders>
            <w:vMerge w:val="restart"/>
          </w:tcPr>
          <w:p>
            <w:pPr>
              <w:jc w:val="right"/>
              <w:ind w:right="68"/>
              <w:spacing w:after="0"/>
              <w:rPr>
                <w:sz w:val="20"/>
                <w:szCs w:val="20"/>
                <w:color w:val="auto"/>
              </w:rPr>
            </w:pPr>
            <w:r>
              <w:rPr>
                <w:rFonts w:ascii="Arial" w:cs="Arial" w:eastAsia="Arial" w:hAnsi="Arial"/>
                <w:sz w:val="14"/>
                <w:szCs w:val="14"/>
                <w:b w:val="1"/>
                <w:bCs w:val="1"/>
                <w:color w:val="auto"/>
              </w:rPr>
              <w:t>June 30, 2021</w:t>
            </w:r>
          </w:p>
        </w:tc>
        <w:tc>
          <w:tcPr>
            <w:tcW w:w="1160" w:type="dxa"/>
            <w:vAlign w:val="bottom"/>
            <w:tcBorders>
              <w:top w:val="single" w:sz="8" w:color="8C8272"/>
            </w:tcBorders>
            <w:vMerge w:val="restart"/>
          </w:tcPr>
          <w:p>
            <w:pPr>
              <w:jc w:val="right"/>
              <w:ind w:right="8"/>
              <w:spacing w:after="0"/>
              <w:rPr>
                <w:sz w:val="20"/>
                <w:szCs w:val="20"/>
                <w:color w:val="auto"/>
              </w:rPr>
            </w:pPr>
            <w:r>
              <w:rPr>
                <w:rFonts w:ascii="Arial" w:cs="Arial" w:eastAsia="Arial" w:hAnsi="Arial"/>
                <w:sz w:val="14"/>
                <w:szCs w:val="14"/>
                <w:b w:val="1"/>
                <w:bCs w:val="1"/>
                <w:color w:val="auto"/>
              </w:rPr>
              <w:t>June 30, 2020</w:t>
            </w:r>
          </w:p>
        </w:tc>
        <w:tc>
          <w:tcPr>
            <w:tcW w:w="940" w:type="dxa"/>
            <w:vAlign w:val="bottom"/>
            <w:tcBorders>
              <w:top w:val="single" w:sz="8" w:color="8C8272"/>
            </w:tcBorders>
            <w:vMerge w:val="restart"/>
          </w:tcPr>
          <w:p>
            <w:pPr>
              <w:jc w:val="right"/>
              <w:ind w:right="168"/>
              <w:spacing w:after="0"/>
              <w:rPr>
                <w:sz w:val="20"/>
                <w:szCs w:val="20"/>
                <w:color w:val="auto"/>
              </w:rPr>
            </w:pPr>
            <w:r>
              <w:rPr>
                <w:rFonts w:ascii="Arial" w:cs="Arial" w:eastAsia="Arial" w:hAnsi="Arial"/>
                <w:sz w:val="14"/>
                <w:szCs w:val="14"/>
                <w:b w:val="1"/>
                <w:bCs w:val="1"/>
                <w:color w:val="auto"/>
              </w:rPr>
              <w:t>Variation</w:t>
            </w:r>
          </w:p>
        </w:tc>
        <w:tc>
          <w:tcPr>
            <w:tcW w:w="740" w:type="dxa"/>
            <w:vAlign w:val="bottom"/>
            <w:tcBorders>
              <w:top w:val="single" w:sz="8" w:color="8C8272"/>
            </w:tcBorders>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180" w:type="dxa"/>
            <w:vAlign w:val="bottom"/>
            <w:tcBorders>
              <w:top w:val="single" w:sz="8" w:color="8C8272"/>
            </w:tcBorders>
          </w:tcPr>
          <w:p>
            <w:pPr>
              <w:spacing w:after="0"/>
              <w:rPr>
                <w:sz w:val="12"/>
                <w:szCs w:val="12"/>
                <w:color w:val="auto"/>
              </w:rPr>
            </w:pPr>
          </w:p>
        </w:tc>
        <w:tc>
          <w:tcPr>
            <w:tcW w:w="420" w:type="dxa"/>
            <w:vAlign w:val="bottom"/>
            <w:tcBorders>
              <w:top w:val="single" w:sz="8" w:color="828282"/>
            </w:tcBorders>
          </w:tcPr>
          <w:p>
            <w:pPr>
              <w:spacing w:after="0"/>
              <w:rPr>
                <w:sz w:val="12"/>
                <w:szCs w:val="12"/>
                <w:color w:val="auto"/>
              </w:rPr>
            </w:pPr>
          </w:p>
        </w:tc>
        <w:tc>
          <w:tcPr>
            <w:tcW w:w="20" w:type="dxa"/>
            <w:vAlign w:val="bottom"/>
            <w:tcBorders>
              <w:top w:val="single" w:sz="8" w:color="828282"/>
            </w:tcBorders>
          </w:tcPr>
          <w:p>
            <w:pPr>
              <w:spacing w:after="0"/>
              <w:rPr>
                <w:sz w:val="12"/>
                <w:szCs w:val="12"/>
                <w:color w:val="auto"/>
              </w:rPr>
            </w:pPr>
          </w:p>
        </w:tc>
        <w:tc>
          <w:tcPr>
            <w:tcW w:w="1340" w:type="dxa"/>
            <w:vAlign w:val="bottom"/>
            <w:tcBorders>
              <w:top w:val="single" w:sz="8" w:color="8C8272"/>
            </w:tcBorders>
            <w:vMerge w:val="restart"/>
          </w:tcPr>
          <w:p>
            <w:pPr>
              <w:jc w:val="right"/>
              <w:ind w:right="88"/>
              <w:spacing w:after="0"/>
              <w:rPr>
                <w:sz w:val="20"/>
                <w:szCs w:val="20"/>
                <w:color w:val="auto"/>
              </w:rPr>
            </w:pPr>
            <w:r>
              <w:rPr>
                <w:rFonts w:ascii="Arial" w:cs="Arial" w:eastAsia="Arial" w:hAnsi="Arial"/>
                <w:sz w:val="14"/>
                <w:szCs w:val="14"/>
                <w:b w:val="1"/>
                <w:bCs w:val="1"/>
                <w:color w:val="auto"/>
              </w:rPr>
              <w:t>June 30, 2021</w:t>
            </w:r>
          </w:p>
        </w:tc>
        <w:tc>
          <w:tcPr>
            <w:tcW w:w="1160" w:type="dxa"/>
            <w:vAlign w:val="bottom"/>
            <w:tcBorders>
              <w:top w:val="single" w:sz="8" w:color="8C8272"/>
            </w:tcBorders>
            <w:vMerge w:val="restart"/>
          </w:tcPr>
          <w:p>
            <w:pPr>
              <w:jc w:val="right"/>
              <w:ind w:right="8"/>
              <w:spacing w:after="0"/>
              <w:rPr>
                <w:sz w:val="20"/>
                <w:szCs w:val="20"/>
                <w:color w:val="auto"/>
              </w:rPr>
            </w:pPr>
            <w:r>
              <w:rPr>
                <w:rFonts w:ascii="Arial" w:cs="Arial" w:eastAsia="Arial" w:hAnsi="Arial"/>
                <w:sz w:val="14"/>
                <w:szCs w:val="14"/>
                <w:b w:val="1"/>
                <w:bCs w:val="1"/>
                <w:color w:val="auto"/>
              </w:rPr>
              <w:t>June 30, 2020</w:t>
            </w:r>
          </w:p>
        </w:tc>
        <w:tc>
          <w:tcPr>
            <w:tcW w:w="940" w:type="dxa"/>
            <w:vAlign w:val="bottom"/>
            <w:tcBorders>
              <w:top w:val="single" w:sz="8" w:color="8C8272"/>
            </w:tcBorders>
            <w:vMerge w:val="restart"/>
          </w:tcPr>
          <w:p>
            <w:pPr>
              <w:jc w:val="right"/>
              <w:ind w:right="168"/>
              <w:spacing w:after="0"/>
              <w:rPr>
                <w:sz w:val="20"/>
                <w:szCs w:val="20"/>
                <w:color w:val="auto"/>
              </w:rPr>
            </w:pPr>
            <w:r>
              <w:rPr>
                <w:rFonts w:ascii="Arial" w:cs="Arial" w:eastAsia="Arial" w:hAnsi="Arial"/>
                <w:sz w:val="14"/>
                <w:szCs w:val="14"/>
                <w:b w:val="1"/>
                <w:bCs w:val="1"/>
                <w:color w:val="auto"/>
              </w:rPr>
              <w:t>Variation</w:t>
            </w:r>
          </w:p>
        </w:tc>
        <w:tc>
          <w:tcPr>
            <w:tcW w:w="940" w:type="dxa"/>
            <w:vAlign w:val="bottom"/>
            <w:tcBorders>
              <w:top w:val="single" w:sz="8" w:color="8C8272"/>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6"/>
        </w:trPr>
        <w:tc>
          <w:tcPr>
            <w:tcW w:w="1880" w:type="dxa"/>
            <w:vAlign w:val="bottom"/>
            <w:tcBorders>
              <w:bottom w:val="single" w:sz="8" w:color="8C8272"/>
            </w:tcBorders>
            <w:vMerge w:val="continue"/>
          </w:tcPr>
          <w:p>
            <w:pPr>
              <w:spacing w:after="0"/>
              <w:rPr>
                <w:sz w:val="15"/>
                <w:szCs w:val="15"/>
                <w:color w:val="auto"/>
              </w:rPr>
            </w:pPr>
          </w:p>
        </w:tc>
        <w:tc>
          <w:tcPr>
            <w:tcW w:w="1480" w:type="dxa"/>
            <w:vAlign w:val="bottom"/>
            <w:tcBorders>
              <w:bottom w:val="single" w:sz="8" w:color="8C8272"/>
            </w:tcBorders>
            <w:vMerge w:val="continue"/>
          </w:tcPr>
          <w:p>
            <w:pPr>
              <w:spacing w:after="0"/>
              <w:rPr>
                <w:sz w:val="15"/>
                <w:szCs w:val="15"/>
                <w:color w:val="auto"/>
              </w:rPr>
            </w:pPr>
          </w:p>
        </w:tc>
        <w:tc>
          <w:tcPr>
            <w:tcW w:w="1160" w:type="dxa"/>
            <w:vAlign w:val="bottom"/>
            <w:tcBorders>
              <w:bottom w:val="single" w:sz="8" w:color="8C8272"/>
            </w:tcBorders>
            <w:vMerge w:val="continue"/>
          </w:tcPr>
          <w:p>
            <w:pPr>
              <w:spacing w:after="0"/>
              <w:rPr>
                <w:sz w:val="15"/>
                <w:szCs w:val="15"/>
                <w:color w:val="auto"/>
              </w:rPr>
            </w:pPr>
          </w:p>
        </w:tc>
        <w:tc>
          <w:tcPr>
            <w:tcW w:w="940" w:type="dxa"/>
            <w:vAlign w:val="bottom"/>
            <w:tcBorders>
              <w:bottom w:val="single" w:sz="8" w:color="8C8272"/>
            </w:tcBorders>
            <w:vMerge w:val="continue"/>
          </w:tcPr>
          <w:p>
            <w:pPr>
              <w:spacing w:after="0"/>
              <w:rPr>
                <w:sz w:val="15"/>
                <w:szCs w:val="15"/>
                <w:color w:val="auto"/>
              </w:rPr>
            </w:pPr>
          </w:p>
        </w:tc>
        <w:tc>
          <w:tcPr>
            <w:tcW w:w="7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c>
          <w:tcPr>
            <w:tcW w:w="180" w:type="dxa"/>
            <w:vAlign w:val="bottom"/>
            <w:tcBorders>
              <w:bottom w:val="single" w:sz="8" w:color="8C8272"/>
            </w:tcBorders>
          </w:tcPr>
          <w:p>
            <w:pPr>
              <w:spacing w:after="0"/>
              <w:rPr>
                <w:sz w:val="15"/>
                <w:szCs w:val="15"/>
                <w:color w:val="auto"/>
              </w:rPr>
            </w:pPr>
          </w:p>
        </w:tc>
        <w:tc>
          <w:tcPr>
            <w:tcW w:w="420" w:type="dxa"/>
            <w:vAlign w:val="bottom"/>
            <w:tcBorders>
              <w:bottom w:val="single" w:sz="8" w:color="828282"/>
            </w:tcBorders>
          </w:tcPr>
          <w:p>
            <w:pPr>
              <w:spacing w:after="0"/>
              <w:rPr>
                <w:sz w:val="15"/>
                <w:szCs w:val="15"/>
                <w:color w:val="auto"/>
              </w:rPr>
            </w:pPr>
          </w:p>
        </w:tc>
        <w:tc>
          <w:tcPr>
            <w:tcW w:w="20" w:type="dxa"/>
            <w:vAlign w:val="bottom"/>
            <w:tcBorders>
              <w:bottom w:val="single" w:sz="8" w:color="828282"/>
            </w:tcBorders>
          </w:tcPr>
          <w:p>
            <w:pPr>
              <w:spacing w:after="0"/>
              <w:rPr>
                <w:sz w:val="15"/>
                <w:szCs w:val="15"/>
                <w:color w:val="auto"/>
              </w:rPr>
            </w:pPr>
          </w:p>
        </w:tc>
        <w:tc>
          <w:tcPr>
            <w:tcW w:w="1340" w:type="dxa"/>
            <w:vAlign w:val="bottom"/>
            <w:tcBorders>
              <w:bottom w:val="single" w:sz="8" w:color="8C8272"/>
            </w:tcBorders>
            <w:vMerge w:val="continue"/>
          </w:tcPr>
          <w:p>
            <w:pPr>
              <w:spacing w:after="0"/>
              <w:rPr>
                <w:sz w:val="15"/>
                <w:szCs w:val="15"/>
                <w:color w:val="auto"/>
              </w:rPr>
            </w:pPr>
          </w:p>
        </w:tc>
        <w:tc>
          <w:tcPr>
            <w:tcW w:w="1160" w:type="dxa"/>
            <w:vAlign w:val="bottom"/>
            <w:tcBorders>
              <w:bottom w:val="single" w:sz="8" w:color="8C8272"/>
            </w:tcBorders>
            <w:vMerge w:val="continue"/>
          </w:tcPr>
          <w:p>
            <w:pPr>
              <w:spacing w:after="0"/>
              <w:rPr>
                <w:sz w:val="15"/>
                <w:szCs w:val="15"/>
                <w:color w:val="auto"/>
              </w:rPr>
            </w:pPr>
          </w:p>
        </w:tc>
        <w:tc>
          <w:tcPr>
            <w:tcW w:w="940" w:type="dxa"/>
            <w:vAlign w:val="bottom"/>
            <w:tcBorders>
              <w:bottom w:val="single" w:sz="8" w:color="8C8272"/>
            </w:tcBorders>
            <w:vMerge w:val="continue"/>
          </w:tcPr>
          <w:p>
            <w:pPr>
              <w:spacing w:after="0"/>
              <w:rPr>
                <w:sz w:val="15"/>
                <w:szCs w:val="15"/>
                <w:color w:val="auto"/>
              </w:rPr>
            </w:pPr>
          </w:p>
        </w:tc>
        <w:tc>
          <w:tcPr>
            <w:tcW w:w="94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83"/>
        </w:trPr>
        <w:tc>
          <w:tcPr>
            <w:tcW w:w="1880" w:type="dxa"/>
            <w:vAlign w:val="bottom"/>
            <w:shd w:val="clear" w:color="auto" w:fill="E5E5E5"/>
          </w:tcPr>
          <w:p>
            <w:pPr>
              <w:ind w:left="20"/>
              <w:spacing w:after="0"/>
              <w:rPr>
                <w:sz w:val="20"/>
                <w:szCs w:val="20"/>
                <w:color w:val="auto"/>
              </w:rPr>
            </w:pPr>
            <w:r>
              <w:rPr>
                <w:rFonts w:ascii="Arial" w:cs="Arial" w:eastAsia="Arial" w:hAnsi="Arial"/>
                <w:sz w:val="14"/>
                <w:szCs w:val="14"/>
                <w:color w:val="auto"/>
              </w:rPr>
              <w:t>Residential</w:t>
            </w:r>
          </w:p>
        </w:tc>
        <w:tc>
          <w:tcPr>
            <w:tcW w:w="14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6,883</w:t>
            </w: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5,761</w:t>
            </w:r>
          </w:p>
        </w:tc>
        <w:tc>
          <w:tcPr>
            <w:tcW w:w="94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1,122</w:t>
            </w:r>
          </w:p>
        </w:tc>
        <w:tc>
          <w:tcPr>
            <w:tcW w:w="92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19.5 %</w:t>
            </w:r>
          </w:p>
        </w:tc>
        <w:tc>
          <w:tcPr>
            <w:tcW w:w="420" w:type="dxa"/>
            <w:vAlign w:val="bottom"/>
            <w:shd w:val="clear" w:color="auto" w:fill="E5E5E5"/>
          </w:tcPr>
          <w:p>
            <w:pPr>
              <w:spacing w:after="0"/>
              <w:rPr>
                <w:sz w:val="15"/>
                <w:szCs w:val="15"/>
                <w:color w:val="auto"/>
              </w:rPr>
            </w:pPr>
          </w:p>
        </w:tc>
        <w:tc>
          <w:tcPr>
            <w:tcW w:w="1360" w:type="dxa"/>
            <w:vAlign w:val="bottom"/>
            <w:gridSpan w:val="2"/>
            <w:shd w:val="clear" w:color="auto" w:fill="E5E5E5"/>
          </w:tcPr>
          <w:p>
            <w:pPr>
              <w:jc w:val="right"/>
              <w:ind w:right="88"/>
              <w:spacing w:after="0"/>
              <w:rPr>
                <w:sz w:val="20"/>
                <w:szCs w:val="20"/>
                <w:color w:val="auto"/>
              </w:rPr>
            </w:pPr>
            <w:r>
              <w:rPr>
                <w:rFonts w:ascii="Arial" w:cs="Arial" w:eastAsia="Arial" w:hAnsi="Arial"/>
                <w:sz w:val="14"/>
                <w:szCs w:val="14"/>
                <w:color w:val="auto"/>
              </w:rPr>
              <w:t>$90</w:t>
            </w:r>
          </w:p>
        </w:tc>
        <w:tc>
          <w:tcPr>
            <w:tcW w:w="11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$70</w:t>
            </w:r>
          </w:p>
        </w:tc>
        <w:tc>
          <w:tcPr>
            <w:tcW w:w="9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$20</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28.6 %</w:t>
            </w:r>
          </w:p>
        </w:tc>
        <w:tc>
          <w:tcPr>
            <w:tcW w:w="0" w:type="dxa"/>
            <w:vAlign w:val="bottom"/>
          </w:tcPr>
          <w:p>
            <w:pPr>
              <w:spacing w:after="0"/>
              <w:rPr>
                <w:sz w:val="1"/>
                <w:szCs w:val="1"/>
                <w:color w:val="auto"/>
              </w:rPr>
            </w:pPr>
          </w:p>
        </w:tc>
      </w:tr>
      <w:tr>
        <w:trPr>
          <w:trHeight w:val="189"/>
        </w:trPr>
        <w:tc>
          <w:tcPr>
            <w:tcW w:w="1880" w:type="dxa"/>
            <w:vAlign w:val="bottom"/>
          </w:tcPr>
          <w:p>
            <w:pPr>
              <w:ind w:left="20"/>
              <w:spacing w:after="0"/>
              <w:rPr>
                <w:sz w:val="20"/>
                <w:szCs w:val="20"/>
                <w:color w:val="auto"/>
              </w:rPr>
            </w:pPr>
            <w:r>
              <w:rPr>
                <w:rFonts w:ascii="Arial" w:cs="Arial" w:eastAsia="Arial" w:hAnsi="Arial"/>
                <w:sz w:val="14"/>
                <w:szCs w:val="14"/>
                <w:color w:val="auto"/>
              </w:rPr>
              <w:t>General</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1,472</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1,225</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247</w:t>
            </w:r>
          </w:p>
        </w:tc>
        <w:tc>
          <w:tcPr>
            <w:tcW w:w="740" w:type="dxa"/>
            <w:vAlign w:val="bottom"/>
          </w:tcPr>
          <w:p>
            <w:pPr>
              <w:jc w:val="right"/>
              <w:spacing w:after="0"/>
              <w:rPr>
                <w:sz w:val="20"/>
                <w:szCs w:val="20"/>
                <w:color w:val="auto"/>
              </w:rPr>
            </w:pPr>
            <w:r>
              <w:rPr>
                <w:rFonts w:ascii="Arial" w:cs="Arial" w:eastAsia="Arial" w:hAnsi="Arial"/>
                <w:sz w:val="14"/>
                <w:szCs w:val="14"/>
                <w:color w:val="auto"/>
              </w:rPr>
              <w:t>20.2</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gridSpan w:val="2"/>
          </w:tcPr>
          <w:p>
            <w:pPr>
              <w:jc w:val="right"/>
              <w:ind w:right="88"/>
              <w:spacing w:after="0"/>
              <w:rPr>
                <w:sz w:val="20"/>
                <w:szCs w:val="20"/>
                <w:color w:val="auto"/>
              </w:rPr>
            </w:pPr>
            <w:r>
              <w:rPr>
                <w:rFonts w:ascii="Arial" w:cs="Arial" w:eastAsia="Arial" w:hAnsi="Arial"/>
                <w:sz w:val="14"/>
                <w:szCs w:val="14"/>
                <w:color w:val="auto"/>
              </w:rPr>
              <w:t>15</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Firm transportation</w:t>
            </w:r>
          </w:p>
        </w:tc>
        <w:tc>
          <w:tcPr>
            <w:tcW w:w="148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4,778</w:t>
            </w:r>
          </w:p>
        </w:tc>
        <w:tc>
          <w:tcPr>
            <w:tcW w:w="116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color w:val="auto"/>
              </w:rPr>
              <w:t>4,995</w:t>
            </w:r>
          </w:p>
        </w:tc>
        <w:tc>
          <w:tcPr>
            <w:tcW w:w="94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color w:val="auto"/>
              </w:rPr>
              <w:t>(217)</w:t>
            </w:r>
          </w:p>
        </w:tc>
        <w:tc>
          <w:tcPr>
            <w:tcW w:w="920" w:type="dxa"/>
            <w:vAlign w:val="bottom"/>
            <w:tcBorders>
              <w:bottom w:val="single" w:sz="8" w:color="8C8272"/>
            </w:tcBorders>
            <w:gridSpan w:val="2"/>
            <w:shd w:val="clear" w:color="auto" w:fill="E5E5E5"/>
          </w:tcPr>
          <w:p>
            <w:pPr>
              <w:jc w:val="right"/>
              <w:ind w:right="68"/>
              <w:spacing w:after="0"/>
              <w:rPr>
                <w:sz w:val="20"/>
                <w:szCs w:val="20"/>
                <w:color w:val="auto"/>
              </w:rPr>
            </w:pPr>
            <w:r>
              <w:rPr>
                <w:rFonts w:ascii="Arial" w:cs="Arial" w:eastAsia="Arial" w:hAnsi="Arial"/>
                <w:sz w:val="14"/>
                <w:szCs w:val="14"/>
                <w:color w:val="auto"/>
              </w:rPr>
              <w:t>(4.3)</w:t>
            </w:r>
          </w:p>
        </w:tc>
        <w:tc>
          <w:tcPr>
            <w:tcW w:w="420" w:type="dxa"/>
            <w:vAlign w:val="bottom"/>
            <w:tcBorders>
              <w:bottom w:val="single" w:sz="8" w:color="828282"/>
            </w:tcBorders>
            <w:shd w:val="clear" w:color="auto" w:fill="E5E5E5"/>
          </w:tcPr>
          <w:p>
            <w:pPr>
              <w:spacing w:after="0"/>
              <w:rPr>
                <w:sz w:val="16"/>
                <w:szCs w:val="16"/>
                <w:color w:val="auto"/>
              </w:rPr>
            </w:pPr>
          </w:p>
        </w:tc>
        <w:tc>
          <w:tcPr>
            <w:tcW w:w="20" w:type="dxa"/>
            <w:vAlign w:val="bottom"/>
            <w:tcBorders>
              <w:bottom w:val="single" w:sz="8" w:color="828282"/>
            </w:tcBorders>
            <w:shd w:val="clear" w:color="auto" w:fill="E5E5E5"/>
          </w:tcPr>
          <w:p>
            <w:pPr>
              <w:spacing w:after="0"/>
              <w:rPr>
                <w:sz w:val="16"/>
                <w:szCs w:val="16"/>
                <w:color w:val="auto"/>
              </w:rPr>
            </w:pPr>
          </w:p>
        </w:tc>
        <w:tc>
          <w:tcPr>
            <w:tcW w:w="1340" w:type="dxa"/>
            <w:vAlign w:val="bottom"/>
            <w:tcBorders>
              <w:bottom w:val="single" w:sz="8" w:color="8C8272"/>
            </w:tcBorders>
            <w:shd w:val="clear" w:color="auto" w:fill="E5E5E5"/>
          </w:tcPr>
          <w:p>
            <w:pPr>
              <w:jc w:val="right"/>
              <w:ind w:right="88"/>
              <w:spacing w:after="0"/>
              <w:rPr>
                <w:sz w:val="20"/>
                <w:szCs w:val="20"/>
                <w:color w:val="auto"/>
              </w:rPr>
            </w:pPr>
            <w:r>
              <w:rPr>
                <w:rFonts w:ascii="Arial" w:cs="Arial" w:eastAsia="Arial" w:hAnsi="Arial"/>
                <w:sz w:val="14"/>
                <w:szCs w:val="14"/>
                <w:color w:val="auto"/>
              </w:rPr>
              <w:t>35</w:t>
            </w:r>
          </w:p>
        </w:tc>
        <w:tc>
          <w:tcPr>
            <w:tcW w:w="116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38</w:t>
            </w:r>
          </w:p>
        </w:tc>
        <w:tc>
          <w:tcPr>
            <w:tcW w:w="940" w:type="dxa"/>
            <w:vAlign w:val="bottom"/>
            <w:tcBorders>
              <w:bottom w:val="single" w:sz="8" w:color="8C8272"/>
            </w:tcBorders>
            <w:shd w:val="clear" w:color="auto" w:fill="E5E5E5"/>
          </w:tcPr>
          <w:p>
            <w:pPr>
              <w:jc w:val="right"/>
              <w:ind w:right="28"/>
              <w:spacing w:after="0"/>
              <w:rPr>
                <w:sz w:val="20"/>
                <w:szCs w:val="20"/>
                <w:color w:val="auto"/>
              </w:rPr>
            </w:pPr>
            <w:r>
              <w:rPr>
                <w:rFonts w:ascii="Arial" w:cs="Arial" w:eastAsia="Arial" w:hAnsi="Arial"/>
                <w:sz w:val="14"/>
                <w:szCs w:val="14"/>
                <w:color w:val="auto"/>
              </w:rPr>
              <w:t>(3)</w:t>
            </w:r>
          </w:p>
        </w:tc>
        <w:tc>
          <w:tcPr>
            <w:tcW w:w="940" w:type="dxa"/>
            <w:vAlign w:val="bottom"/>
            <w:tcBorders>
              <w:bottom w:val="single" w:sz="8" w:color="8C8272"/>
            </w:tcBorders>
            <w:shd w:val="clear" w:color="auto" w:fill="E5E5E5"/>
          </w:tcPr>
          <w:p>
            <w:pPr>
              <w:jc w:val="right"/>
              <w:ind w:right="6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2"/>
        </w:trPr>
        <w:tc>
          <w:tcPr>
            <w:tcW w:w="188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Total firm sales and</w:t>
            </w:r>
          </w:p>
        </w:tc>
        <w:tc>
          <w:tcPr>
            <w:tcW w:w="14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13,133</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11,981</w:t>
            </w: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1,152</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9.6</w:t>
            </w:r>
          </w:p>
        </w:tc>
        <w:tc>
          <w:tcPr>
            <w:tcW w:w="18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w:t>
            </w:r>
          </w:p>
        </w:tc>
        <w:tc>
          <w:tcPr>
            <w:tcW w:w="136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140</w:t>
            </w: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120</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w:t>
            </w: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16.7</w:t>
            </w:r>
          </w:p>
        </w:tc>
        <w:tc>
          <w:tcPr>
            <w:tcW w:w="0" w:type="dxa"/>
            <w:vAlign w:val="bottom"/>
          </w:tcPr>
          <w:p>
            <w:pPr>
              <w:spacing w:after="0"/>
              <w:rPr>
                <w:sz w:val="1"/>
                <w:szCs w:val="1"/>
                <w:color w:val="auto"/>
              </w:rPr>
            </w:pPr>
          </w:p>
        </w:tc>
      </w:tr>
      <w:tr>
        <w:trPr>
          <w:trHeight w:val="175"/>
        </w:trPr>
        <w:tc>
          <w:tcPr>
            <w:tcW w:w="1880" w:type="dxa"/>
            <w:vAlign w:val="bottom"/>
          </w:tcPr>
          <w:p>
            <w:pPr>
              <w:ind w:left="140"/>
              <w:spacing w:after="0"/>
              <w:rPr>
                <w:sz w:val="20"/>
                <w:szCs w:val="20"/>
                <w:color w:val="auto"/>
              </w:rPr>
            </w:pPr>
            <w:r>
              <w:rPr>
                <w:rFonts w:ascii="Arial" w:cs="Arial" w:eastAsia="Arial" w:hAnsi="Arial"/>
                <w:sz w:val="14"/>
                <w:szCs w:val="14"/>
                <w:b w:val="1"/>
                <w:bCs w:val="1"/>
                <w:color w:val="auto"/>
              </w:rPr>
              <w:t>transportation</w:t>
            </w:r>
          </w:p>
        </w:tc>
        <w:tc>
          <w:tcPr>
            <w:tcW w:w="14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E5E5E5"/>
          </w:tcPr>
          <w:p>
            <w:pPr>
              <w:ind w:left="20"/>
              <w:spacing w:after="0"/>
              <w:rPr>
                <w:sz w:val="20"/>
                <w:szCs w:val="20"/>
                <w:color w:val="auto"/>
              </w:rPr>
            </w:pPr>
            <w:r>
              <w:rPr>
                <w:rFonts w:ascii="Arial" w:cs="Arial" w:eastAsia="Arial" w:hAnsi="Arial"/>
                <w:sz w:val="14"/>
                <w:szCs w:val="14"/>
                <w:color w:val="auto"/>
              </w:rPr>
              <w:t>Interruptible sales</w:t>
            </w:r>
          </w:p>
        </w:tc>
        <w:tc>
          <w:tcPr>
            <w:tcW w:w="14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2,158</w:t>
            </w: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1,936</w:t>
            </w:r>
          </w:p>
        </w:tc>
        <w:tc>
          <w:tcPr>
            <w:tcW w:w="94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222</w:t>
            </w: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11.5</w:t>
            </w:r>
          </w:p>
        </w:tc>
        <w:tc>
          <w:tcPr>
            <w:tcW w:w="18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right"/>
              <w:ind w:right="88"/>
              <w:spacing w:after="0"/>
              <w:rPr>
                <w:sz w:val="20"/>
                <w:szCs w:val="20"/>
                <w:color w:val="auto"/>
              </w:rPr>
            </w:pPr>
            <w:r>
              <w:rPr>
                <w:rFonts w:ascii="Arial" w:cs="Arial" w:eastAsia="Arial" w:hAnsi="Arial"/>
                <w:sz w:val="14"/>
                <w:szCs w:val="14"/>
                <w:color w:val="auto"/>
              </w:rPr>
              <w:t>4</w:t>
            </w:r>
          </w:p>
        </w:tc>
        <w:tc>
          <w:tcPr>
            <w:tcW w:w="11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w:t>
            </w:r>
          </w:p>
        </w:tc>
        <w:tc>
          <w:tcPr>
            <w:tcW w:w="94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w:t>
            </w:r>
          </w:p>
        </w:tc>
        <w:tc>
          <w:tcPr>
            <w:tcW w:w="9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89"/>
        </w:trPr>
        <w:tc>
          <w:tcPr>
            <w:tcW w:w="1880" w:type="dxa"/>
            <w:vAlign w:val="bottom"/>
          </w:tcPr>
          <w:p>
            <w:pPr>
              <w:ind w:left="20"/>
              <w:spacing w:after="0"/>
              <w:rPr>
                <w:sz w:val="20"/>
                <w:szCs w:val="20"/>
                <w:color w:val="auto"/>
              </w:rPr>
            </w:pPr>
            <w:r>
              <w:rPr>
                <w:rFonts w:ascii="Arial" w:cs="Arial" w:eastAsia="Arial" w:hAnsi="Arial"/>
                <w:sz w:val="14"/>
                <w:szCs w:val="14"/>
                <w:color w:val="auto"/>
              </w:rPr>
              <w:t>Generation plants</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11</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1340" w:type="dxa"/>
            <w:vAlign w:val="bottom"/>
            <w:gridSpan w:val="3"/>
          </w:tcPr>
          <w:p>
            <w:pPr>
              <w:jc w:val="right"/>
              <w:ind w:right="368"/>
              <w:spacing w:after="0"/>
              <w:rPr>
                <w:sz w:val="20"/>
                <w:szCs w:val="20"/>
                <w:color w:val="auto"/>
              </w:rPr>
            </w:pPr>
            <w:r>
              <w:rPr>
                <w:rFonts w:ascii="Arial" w:cs="Arial" w:eastAsia="Arial" w:hAnsi="Arial"/>
                <w:sz w:val="14"/>
                <w:szCs w:val="14"/>
                <w:color w:val="auto"/>
              </w:rPr>
              <w:t>Large</w:t>
            </w:r>
          </w:p>
        </w:tc>
        <w:tc>
          <w:tcPr>
            <w:tcW w:w="20" w:type="dxa"/>
            <w:vAlign w:val="bottom"/>
          </w:tcPr>
          <w:p>
            <w:pPr>
              <w:spacing w:after="0"/>
              <w:rPr>
                <w:sz w:val="16"/>
                <w:szCs w:val="16"/>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Other</w:t>
            </w:r>
          </w:p>
        </w:tc>
        <w:tc>
          <w:tcPr>
            <w:tcW w:w="148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color w:val="auto"/>
              </w:rPr>
              <w:t>245</w:t>
            </w:r>
          </w:p>
        </w:tc>
        <w:tc>
          <w:tcPr>
            <w:tcW w:w="116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color w:val="auto"/>
              </w:rPr>
              <w:t>499</w:t>
            </w:r>
          </w:p>
        </w:tc>
        <w:tc>
          <w:tcPr>
            <w:tcW w:w="94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color w:val="auto"/>
              </w:rPr>
              <w:t>(254)</w:t>
            </w:r>
          </w:p>
        </w:tc>
        <w:tc>
          <w:tcPr>
            <w:tcW w:w="920" w:type="dxa"/>
            <w:vAlign w:val="bottom"/>
            <w:tcBorders>
              <w:bottom w:val="single" w:sz="8" w:color="8C8272"/>
            </w:tcBorders>
            <w:gridSpan w:val="2"/>
            <w:shd w:val="clear" w:color="auto" w:fill="E5E5E5"/>
          </w:tcPr>
          <w:p>
            <w:pPr>
              <w:jc w:val="right"/>
              <w:ind w:right="68"/>
              <w:spacing w:after="0"/>
              <w:rPr>
                <w:sz w:val="20"/>
                <w:szCs w:val="20"/>
                <w:color w:val="auto"/>
              </w:rPr>
            </w:pPr>
            <w:r>
              <w:rPr>
                <w:rFonts w:ascii="Arial" w:cs="Arial" w:eastAsia="Arial" w:hAnsi="Arial"/>
                <w:sz w:val="14"/>
                <w:szCs w:val="14"/>
                <w:color w:val="auto"/>
              </w:rPr>
              <w:t>(50.9)</w:t>
            </w:r>
          </w:p>
        </w:tc>
        <w:tc>
          <w:tcPr>
            <w:tcW w:w="420" w:type="dxa"/>
            <w:vAlign w:val="bottom"/>
            <w:tcBorders>
              <w:bottom w:val="single" w:sz="8" w:color="828282"/>
            </w:tcBorders>
            <w:shd w:val="clear" w:color="auto" w:fill="E5E5E5"/>
          </w:tcPr>
          <w:p>
            <w:pPr>
              <w:spacing w:after="0"/>
              <w:rPr>
                <w:sz w:val="16"/>
                <w:szCs w:val="16"/>
                <w:color w:val="auto"/>
              </w:rPr>
            </w:pPr>
          </w:p>
        </w:tc>
        <w:tc>
          <w:tcPr>
            <w:tcW w:w="20" w:type="dxa"/>
            <w:vAlign w:val="bottom"/>
            <w:tcBorders>
              <w:bottom w:val="single" w:sz="8" w:color="828282"/>
            </w:tcBorders>
            <w:shd w:val="clear" w:color="auto" w:fill="E5E5E5"/>
          </w:tcPr>
          <w:p>
            <w:pPr>
              <w:spacing w:after="0"/>
              <w:rPr>
                <w:sz w:val="16"/>
                <w:szCs w:val="16"/>
                <w:color w:val="auto"/>
              </w:rPr>
            </w:pPr>
          </w:p>
        </w:tc>
        <w:tc>
          <w:tcPr>
            <w:tcW w:w="1340" w:type="dxa"/>
            <w:vAlign w:val="bottom"/>
            <w:tcBorders>
              <w:bottom w:val="single" w:sz="8" w:color="8C8272"/>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C8272"/>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C8272"/>
            </w:tcBorders>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Other gas revenues</w:t>
            </w:r>
          </w:p>
        </w:tc>
        <w:tc>
          <w:tcPr>
            <w:tcW w:w="1480" w:type="dxa"/>
            <w:vAlign w:val="bottom"/>
            <w:tcBorders>
              <w:bottom w:val="single" w:sz="8" w:color="8C8272"/>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C8272"/>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8C8272"/>
            </w:tcBorders>
          </w:tcPr>
          <w:p>
            <w:pPr>
              <w:spacing w:after="0"/>
              <w:rPr>
                <w:sz w:val="15"/>
                <w:szCs w:val="15"/>
                <w:color w:val="auto"/>
              </w:rPr>
            </w:pPr>
          </w:p>
        </w:tc>
        <w:tc>
          <w:tcPr>
            <w:tcW w:w="18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w w:val="99"/>
              </w:rPr>
              <w:t>—</w:t>
            </w:r>
          </w:p>
        </w:tc>
        <w:tc>
          <w:tcPr>
            <w:tcW w:w="420" w:type="dxa"/>
            <w:vAlign w:val="bottom"/>
            <w:tcBorders>
              <w:bottom w:val="single" w:sz="8" w:color="828282"/>
            </w:tcBorders>
          </w:tcPr>
          <w:p>
            <w:pPr>
              <w:spacing w:after="0"/>
              <w:rPr>
                <w:sz w:val="15"/>
                <w:szCs w:val="15"/>
                <w:color w:val="auto"/>
              </w:rPr>
            </w:pPr>
          </w:p>
        </w:tc>
        <w:tc>
          <w:tcPr>
            <w:tcW w:w="20" w:type="dxa"/>
            <w:vAlign w:val="bottom"/>
            <w:tcBorders>
              <w:bottom w:val="single" w:sz="8" w:color="828282"/>
            </w:tcBorders>
          </w:tcPr>
          <w:p>
            <w:pPr>
              <w:spacing w:after="0"/>
              <w:rPr>
                <w:sz w:val="15"/>
                <w:szCs w:val="15"/>
                <w:color w:val="auto"/>
              </w:rPr>
            </w:pPr>
          </w:p>
        </w:tc>
        <w:tc>
          <w:tcPr>
            <w:tcW w:w="1340" w:type="dxa"/>
            <w:vAlign w:val="bottom"/>
            <w:tcBorders>
              <w:bottom w:val="single" w:sz="8" w:color="8C8272"/>
            </w:tcBorders>
          </w:tcPr>
          <w:p>
            <w:pPr>
              <w:jc w:val="right"/>
              <w:ind w:right="88"/>
              <w:spacing w:after="0"/>
              <w:rPr>
                <w:sz w:val="20"/>
                <w:szCs w:val="20"/>
                <w:color w:val="auto"/>
              </w:rPr>
            </w:pPr>
            <w:r>
              <w:rPr>
                <w:rFonts w:ascii="Arial" w:cs="Arial" w:eastAsia="Arial" w:hAnsi="Arial"/>
                <w:sz w:val="14"/>
                <w:szCs w:val="14"/>
                <w:color w:val="auto"/>
              </w:rPr>
              <w:t>(1)</w:t>
            </w:r>
          </w:p>
        </w:tc>
        <w:tc>
          <w:tcPr>
            <w:tcW w:w="1160" w:type="dxa"/>
            <w:vAlign w:val="bottom"/>
            <w:tcBorders>
              <w:bottom w:val="single" w:sz="8" w:color="8C8272"/>
            </w:tcBorders>
          </w:tcPr>
          <w:p>
            <w:pPr>
              <w:jc w:val="right"/>
              <w:ind w:right="8"/>
              <w:spacing w:after="0"/>
              <w:rPr>
                <w:sz w:val="20"/>
                <w:szCs w:val="20"/>
                <w:color w:val="auto"/>
              </w:rPr>
            </w:pPr>
            <w:r>
              <w:rPr>
                <w:rFonts w:ascii="Arial" w:cs="Arial" w:eastAsia="Arial" w:hAnsi="Arial"/>
                <w:sz w:val="14"/>
                <w:szCs w:val="14"/>
                <w:color w:val="auto"/>
              </w:rPr>
              <w:t>11</w:t>
            </w:r>
          </w:p>
        </w:tc>
        <w:tc>
          <w:tcPr>
            <w:tcW w:w="940" w:type="dxa"/>
            <w:vAlign w:val="bottom"/>
            <w:tcBorders>
              <w:bottom w:val="single" w:sz="8" w:color="8C8272"/>
            </w:tcBorders>
          </w:tcPr>
          <w:p>
            <w:pPr>
              <w:jc w:val="right"/>
              <w:ind w:right="28"/>
              <w:spacing w:after="0"/>
              <w:rPr>
                <w:sz w:val="20"/>
                <w:szCs w:val="20"/>
                <w:color w:val="auto"/>
              </w:rPr>
            </w:pPr>
            <w:r>
              <w:rPr>
                <w:rFonts w:ascii="Arial" w:cs="Arial" w:eastAsia="Arial" w:hAnsi="Arial"/>
                <w:sz w:val="14"/>
                <w:szCs w:val="14"/>
                <w:color w:val="auto"/>
              </w:rPr>
              <w:t>(12)</w:t>
            </w:r>
          </w:p>
        </w:tc>
        <w:tc>
          <w:tcPr>
            <w:tcW w:w="940" w:type="dxa"/>
            <w:vAlign w:val="bottom"/>
            <w:tcBorders>
              <w:bottom w:val="single" w:sz="8" w:color="8C8272"/>
            </w:tcBorders>
          </w:tcPr>
          <w:p>
            <w:pPr>
              <w:jc w:val="right"/>
              <w:spacing w:after="0"/>
              <w:rPr>
                <w:sz w:val="20"/>
                <w:szCs w:val="20"/>
                <w:color w:val="auto"/>
              </w:rPr>
            </w:pPr>
            <w:r>
              <w:rPr>
                <w:rFonts w:ascii="Arial" w:cs="Arial" w:eastAsia="Arial" w:hAnsi="Arial"/>
                <w:sz w:val="14"/>
                <w:szCs w:val="14"/>
                <w:color w:val="auto"/>
              </w:rPr>
              <w:t>Large</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8C8272"/>
            </w:tcBorders>
            <w:shd w:val="clear" w:color="auto" w:fill="E5E5E5"/>
          </w:tcPr>
          <w:p>
            <w:pPr>
              <w:ind w:left="360"/>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8C8272"/>
            </w:tcBorders>
            <w:shd w:val="clear" w:color="auto" w:fill="E5E5E5"/>
          </w:tcPr>
          <w:p>
            <w:pPr>
              <w:jc w:val="right"/>
              <w:ind w:right="128"/>
              <w:spacing w:after="0"/>
              <w:rPr>
                <w:sz w:val="20"/>
                <w:szCs w:val="20"/>
                <w:color w:val="auto"/>
              </w:rPr>
            </w:pPr>
            <w:r>
              <w:rPr>
                <w:rFonts w:ascii="Arial" w:cs="Arial" w:eastAsia="Arial" w:hAnsi="Arial"/>
                <w:sz w:val="14"/>
                <w:szCs w:val="14"/>
                <w:b w:val="1"/>
                <w:bCs w:val="1"/>
                <w:color w:val="auto"/>
              </w:rPr>
              <w:t>15,547</w:t>
            </w:r>
          </w:p>
        </w:tc>
        <w:tc>
          <w:tcPr>
            <w:tcW w:w="1160" w:type="dxa"/>
            <w:vAlign w:val="bottom"/>
            <w:tcBorders>
              <w:bottom w:val="single" w:sz="8" w:color="8C8272"/>
            </w:tcBorders>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14,419</w:t>
            </w:r>
          </w:p>
        </w:tc>
        <w:tc>
          <w:tcPr>
            <w:tcW w:w="940" w:type="dxa"/>
            <w:vAlign w:val="bottom"/>
            <w:tcBorders>
              <w:bottom w:val="single" w:sz="8" w:color="8C8272"/>
            </w:tcBorders>
            <w:shd w:val="clear" w:color="auto" w:fill="E5E5E5"/>
          </w:tcPr>
          <w:p>
            <w:pPr>
              <w:jc w:val="right"/>
              <w:ind w:right="88"/>
              <w:spacing w:after="0"/>
              <w:rPr>
                <w:sz w:val="20"/>
                <w:szCs w:val="20"/>
                <w:color w:val="auto"/>
              </w:rPr>
            </w:pPr>
            <w:r>
              <w:rPr>
                <w:rFonts w:ascii="Arial" w:cs="Arial" w:eastAsia="Arial" w:hAnsi="Arial"/>
                <w:sz w:val="14"/>
                <w:szCs w:val="14"/>
                <w:b w:val="1"/>
                <w:bCs w:val="1"/>
                <w:color w:val="auto"/>
              </w:rPr>
              <w:t>1,128</w:t>
            </w:r>
          </w:p>
        </w:tc>
        <w:tc>
          <w:tcPr>
            <w:tcW w:w="920" w:type="dxa"/>
            <w:vAlign w:val="bottom"/>
            <w:tcBorders>
              <w:bottom w:val="single" w:sz="8" w:color="8C8272"/>
            </w:tcBorders>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7.8 %</w:t>
            </w:r>
          </w:p>
        </w:tc>
        <w:tc>
          <w:tcPr>
            <w:tcW w:w="420" w:type="dxa"/>
            <w:vAlign w:val="bottom"/>
            <w:tcBorders>
              <w:bottom w:val="single" w:sz="8" w:color="828282"/>
            </w:tcBorders>
            <w:shd w:val="clear" w:color="auto" w:fill="E5E5E5"/>
          </w:tcPr>
          <w:p>
            <w:pPr>
              <w:spacing w:after="0"/>
              <w:rPr>
                <w:sz w:val="15"/>
                <w:szCs w:val="15"/>
                <w:color w:val="auto"/>
              </w:rPr>
            </w:pPr>
          </w:p>
        </w:tc>
        <w:tc>
          <w:tcPr>
            <w:tcW w:w="20" w:type="dxa"/>
            <w:vAlign w:val="bottom"/>
            <w:tcBorders>
              <w:bottom w:val="single" w:sz="8" w:color="828282"/>
            </w:tcBorders>
            <w:shd w:val="clear" w:color="auto" w:fill="E5E5E5"/>
          </w:tcPr>
          <w:p>
            <w:pPr>
              <w:spacing w:after="0"/>
              <w:rPr>
                <w:sz w:val="15"/>
                <w:szCs w:val="15"/>
                <w:color w:val="auto"/>
              </w:rPr>
            </w:pPr>
          </w:p>
        </w:tc>
        <w:tc>
          <w:tcPr>
            <w:tcW w:w="1340" w:type="dxa"/>
            <w:vAlign w:val="bottom"/>
            <w:tcBorders>
              <w:bottom w:val="single" w:sz="8" w:color="8C8272"/>
            </w:tcBorders>
            <w:shd w:val="clear" w:color="auto" w:fill="E5E5E5"/>
          </w:tcPr>
          <w:p>
            <w:pPr>
              <w:jc w:val="right"/>
              <w:ind w:right="88"/>
              <w:spacing w:after="0"/>
              <w:rPr>
                <w:sz w:val="20"/>
                <w:szCs w:val="20"/>
                <w:color w:val="auto"/>
              </w:rPr>
            </w:pPr>
            <w:r>
              <w:rPr>
                <w:rFonts w:ascii="Arial" w:cs="Arial" w:eastAsia="Arial" w:hAnsi="Arial"/>
                <w:sz w:val="14"/>
                <w:szCs w:val="14"/>
                <w:b w:val="1"/>
                <w:bCs w:val="1"/>
                <w:color w:val="auto"/>
              </w:rPr>
              <w:t>$143</w:t>
            </w:r>
          </w:p>
        </w:tc>
        <w:tc>
          <w:tcPr>
            <w:tcW w:w="1160" w:type="dxa"/>
            <w:vAlign w:val="bottom"/>
            <w:tcBorders>
              <w:bottom w:val="single" w:sz="8" w:color="8C8272"/>
            </w:tcBorders>
            <w:shd w:val="clear" w:color="auto" w:fill="E5E5E5"/>
          </w:tcPr>
          <w:p>
            <w:pPr>
              <w:jc w:val="right"/>
              <w:ind w:right="8"/>
              <w:spacing w:after="0"/>
              <w:rPr>
                <w:sz w:val="20"/>
                <w:szCs w:val="20"/>
                <w:color w:val="auto"/>
              </w:rPr>
            </w:pPr>
            <w:r>
              <w:rPr>
                <w:rFonts w:ascii="Arial" w:cs="Arial" w:eastAsia="Arial" w:hAnsi="Arial"/>
                <w:sz w:val="14"/>
                <w:szCs w:val="14"/>
                <w:b w:val="1"/>
                <w:bCs w:val="1"/>
                <w:color w:val="auto"/>
              </w:rPr>
              <w:t>$134</w:t>
            </w:r>
          </w:p>
        </w:tc>
        <w:tc>
          <w:tcPr>
            <w:tcW w:w="940" w:type="dxa"/>
            <w:vAlign w:val="bottom"/>
            <w:tcBorders>
              <w:bottom w:val="single" w:sz="8" w:color="8C8272"/>
            </w:tcBorders>
            <w:shd w:val="clear" w:color="auto" w:fill="E5E5E5"/>
          </w:tcPr>
          <w:p>
            <w:pPr>
              <w:jc w:val="right"/>
              <w:ind w:right="28"/>
              <w:spacing w:after="0"/>
              <w:rPr>
                <w:sz w:val="20"/>
                <w:szCs w:val="20"/>
                <w:color w:val="auto"/>
              </w:rPr>
            </w:pPr>
            <w:r>
              <w:rPr>
                <w:rFonts w:ascii="Arial" w:cs="Arial" w:eastAsia="Arial" w:hAnsi="Arial"/>
                <w:sz w:val="14"/>
                <w:szCs w:val="14"/>
                <w:b w:val="1"/>
                <w:bCs w:val="1"/>
                <w:color w:val="auto"/>
              </w:rPr>
              <w:t>$9</w:t>
            </w:r>
          </w:p>
        </w:tc>
        <w:tc>
          <w:tcPr>
            <w:tcW w:w="9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6.7 %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-128270</wp:posOffset>
            </wp:positionV>
            <wp:extent cx="8255" cy="17145"/>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-102235</wp:posOffset>
            </wp:positionV>
            <wp:extent cx="8255" cy="8255"/>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-85090</wp:posOffset>
            </wp:positionV>
            <wp:extent cx="8255" cy="8255"/>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-67945</wp:posOffset>
            </wp:positionV>
            <wp:extent cx="8255" cy="8890"/>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-50800</wp:posOffset>
            </wp:positionV>
            <wp:extent cx="8255" cy="825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-33655</wp:posOffset>
            </wp:positionV>
            <wp:extent cx="8255" cy="825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-16510</wp:posOffset>
            </wp:positionV>
            <wp:extent cx="8255" cy="8255"/>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-256540</wp:posOffset>
            </wp:positionV>
            <wp:extent cx="8255" cy="17145"/>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-230505</wp:posOffset>
            </wp:positionV>
            <wp:extent cx="8255" cy="8255"/>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-213995</wp:posOffset>
            </wp:positionV>
            <wp:extent cx="8255" cy="825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-196850</wp:posOffset>
            </wp:positionV>
            <wp:extent cx="8255" cy="8890"/>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-179070</wp:posOffset>
            </wp:positionV>
            <wp:extent cx="8255" cy="8255"/>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-162560</wp:posOffset>
            </wp:positionV>
            <wp:extent cx="8255" cy="8255"/>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-144780</wp:posOffset>
            </wp:positionV>
            <wp:extent cx="8255" cy="825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-359410</wp:posOffset>
            </wp:positionV>
            <wp:extent cx="8255" cy="8255"/>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-342265</wp:posOffset>
            </wp:positionV>
            <wp:extent cx="8255" cy="8255"/>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-325120</wp:posOffset>
            </wp:positionV>
            <wp:extent cx="8255" cy="8890"/>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-307975</wp:posOffset>
            </wp:positionV>
            <wp:extent cx="8255" cy="8255"/>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-290830</wp:posOffset>
            </wp:positionV>
            <wp:extent cx="8255" cy="8255"/>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-273685</wp:posOffset>
            </wp:positionV>
            <wp:extent cx="8255" cy="825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-479425</wp:posOffset>
            </wp:positionV>
            <wp:extent cx="8255" cy="8255"/>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-462280</wp:posOffset>
            </wp:positionV>
            <wp:extent cx="8255" cy="8255"/>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-445135</wp:posOffset>
            </wp:positionV>
            <wp:extent cx="8255" cy="8255"/>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-427990</wp:posOffset>
            </wp:positionV>
            <wp:extent cx="8255" cy="8255"/>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-410845</wp:posOffset>
            </wp:positionV>
            <wp:extent cx="8255" cy="8890"/>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-393700</wp:posOffset>
            </wp:positionV>
            <wp:extent cx="8255" cy="25400"/>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-599440</wp:posOffset>
            </wp:positionV>
            <wp:extent cx="8255" cy="8255"/>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-582295</wp:posOffset>
            </wp:positionV>
            <wp:extent cx="8255" cy="8890"/>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-565150</wp:posOffset>
            </wp:positionV>
            <wp:extent cx="8255" cy="8255"/>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-548005</wp:posOffset>
            </wp:positionV>
            <wp:extent cx="8255" cy="8255"/>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-530860</wp:posOffset>
            </wp:positionV>
            <wp:extent cx="8255" cy="8255"/>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-513715</wp:posOffset>
            </wp:positionV>
            <wp:extent cx="8255" cy="26035"/>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-830580</wp:posOffset>
            </wp:positionV>
            <wp:extent cx="8255" cy="17145"/>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-805180</wp:posOffset>
            </wp:positionV>
            <wp:extent cx="8255" cy="8255"/>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-788035</wp:posOffset>
            </wp:positionV>
            <wp:extent cx="8255" cy="8255"/>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-770890</wp:posOffset>
            </wp:positionV>
            <wp:extent cx="8255" cy="8255"/>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-753745</wp:posOffset>
            </wp:positionV>
            <wp:extent cx="8255" cy="8890"/>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-736600</wp:posOffset>
            </wp:positionV>
            <wp:extent cx="8255" cy="8255"/>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-719455</wp:posOffset>
            </wp:positionV>
            <wp:extent cx="8255" cy="8255"/>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-702310</wp:posOffset>
            </wp:positionV>
            <wp:extent cx="8255" cy="8255"/>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-685165</wp:posOffset>
            </wp:positionV>
            <wp:extent cx="8255" cy="8255"/>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-668020</wp:posOffset>
            </wp:positionV>
            <wp:extent cx="8255" cy="8890"/>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-650875</wp:posOffset>
            </wp:positionV>
            <wp:extent cx="8255" cy="8255"/>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-633730</wp:posOffset>
            </wp:positionV>
            <wp:extent cx="8255" cy="2603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7">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-934085</wp:posOffset>
            </wp:positionV>
            <wp:extent cx="8255" cy="8890"/>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-916305</wp:posOffset>
            </wp:positionV>
            <wp:extent cx="8255" cy="8255"/>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-899795</wp:posOffset>
            </wp:positionV>
            <wp:extent cx="8255" cy="8255"/>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-882015</wp:posOffset>
            </wp:positionV>
            <wp:extent cx="8255" cy="825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-864870</wp:posOffset>
            </wp:positionV>
            <wp:extent cx="8255" cy="8255"/>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-848360</wp:posOffset>
            </wp:positionV>
            <wp:extent cx="8255" cy="8890"/>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-1053465</wp:posOffset>
            </wp:positionV>
            <wp:extent cx="8255" cy="8255"/>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-1036320</wp:posOffset>
            </wp:positionV>
            <wp:extent cx="8255" cy="8255"/>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-1019810</wp:posOffset>
            </wp:positionV>
            <wp:extent cx="8255" cy="8890"/>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-1002030</wp:posOffset>
            </wp:positionV>
            <wp:extent cx="8255" cy="825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-985520</wp:posOffset>
            </wp:positionV>
            <wp:extent cx="8255" cy="8255"/>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-967740</wp:posOffset>
            </wp:positionV>
            <wp:extent cx="8255" cy="25400"/>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-1199515</wp:posOffset>
            </wp:positionV>
            <wp:extent cx="8255" cy="17145"/>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-1173480</wp:posOffset>
            </wp:positionV>
            <wp:extent cx="8255" cy="825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-1156970</wp:posOffset>
            </wp:positionV>
            <wp:extent cx="8255" cy="8255"/>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-1139190</wp:posOffset>
            </wp:positionV>
            <wp:extent cx="8255" cy="8255"/>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-1122045</wp:posOffset>
            </wp:positionV>
            <wp:extent cx="8255" cy="8255"/>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-1105535</wp:posOffset>
            </wp:positionV>
            <wp:extent cx="8255" cy="8890"/>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-1087755</wp:posOffset>
            </wp:positionV>
            <wp:extent cx="8255" cy="25400"/>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-1388110</wp:posOffset>
            </wp:positionV>
            <wp:extent cx="8255" cy="8255"/>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-1370965</wp:posOffset>
            </wp:positionV>
            <wp:extent cx="8255" cy="8255"/>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-1353820</wp:posOffset>
            </wp:positionV>
            <wp:extent cx="8255" cy="8255"/>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-1336675</wp:posOffset>
            </wp:positionV>
            <wp:extent cx="8255" cy="8255"/>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-1319530</wp:posOffset>
            </wp:positionV>
            <wp:extent cx="8255" cy="8890"/>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-1302385</wp:posOffset>
            </wp:positionV>
            <wp:extent cx="8255" cy="8255"/>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-1285240</wp:posOffset>
            </wp:positionV>
            <wp:extent cx="8255" cy="8255"/>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-1268095</wp:posOffset>
            </wp:positionV>
            <wp:extent cx="8255" cy="8255"/>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-1250950</wp:posOffset>
            </wp:positionV>
            <wp:extent cx="8255" cy="8255"/>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-1233805</wp:posOffset>
            </wp:positionV>
            <wp:extent cx="8255" cy="8890"/>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-1216660</wp:posOffset>
            </wp:positionV>
            <wp:extent cx="8255" cy="8255"/>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79" w:lineRule="exact"/>
        <w:rPr>
          <w:sz w:val="20"/>
          <w:szCs w:val="20"/>
          <w:color w:val="auto"/>
        </w:rPr>
      </w:pPr>
    </w:p>
    <w:p>
      <w:pPr>
        <w:ind w:left="340" w:right="560" w:hanging="332"/>
        <w:spacing w:after="0" w:line="241"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Revenues from New York gas sales are subject to a weather normalization clause and a revenue decoupling mechanism as a result of which delivery revenues are generally not affected by changes in delivery volumes from levels assumed when rates were approved.</w:t>
      </w:r>
    </w:p>
    <w:p>
      <w:pPr>
        <w:ind w:left="340" w:right="240" w:hanging="332"/>
        <w:spacing w:after="0" w:line="258"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After adjusting for weather and other variations, total firm sales and transportation volumes increased 0.4 percent in the six months ended June 30, 2021 compared with 2020 period. See “Coronavirus Disease 2019 (COVID-19) Impacts,” above.</w:t>
      </w:r>
    </w:p>
    <w:p>
      <w:pPr>
        <w:spacing w:after="0" w:line="18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increased $9 million in the six months ended June 30, 2021 compared with the 2020 period primarily due to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gas purchased for resale ($11 million), higher revenues from the New York gas rate plan ($1 million), offset in part by certain rate plan reconciliations ($2 million).</w:t>
      </w:r>
    </w:p>
    <w:p>
      <w:pPr>
        <w:spacing w:after="0" w:line="213"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i w:val="1"/>
          <w:iCs w:val="1"/>
          <w:color w:val="auto"/>
        </w:rPr>
        <w:t xml:space="preserve">Gas purchased for resale </w:t>
      </w:r>
      <w:r>
        <w:rPr>
          <w:rFonts w:ascii="Arial" w:cs="Arial" w:eastAsia="Arial" w:hAnsi="Arial"/>
          <w:sz w:val="18"/>
          <w:szCs w:val="18"/>
          <w:color w:val="auto"/>
        </w:rPr>
        <w:t>increased $11 million in the six months ended June 30, 2021 compared with the 2020 period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purchased volumes ($9 million) and unit costs ($1 million).</w:t>
      </w:r>
    </w:p>
    <w:p>
      <w:pPr>
        <w:spacing w:after="0" w:line="175"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i w:val="1"/>
          <w:iCs w:val="1"/>
          <w:color w:val="auto"/>
        </w:rPr>
        <w:t xml:space="preserve">Other operations and maintenance </w:t>
      </w:r>
      <w:r>
        <w:rPr>
          <w:rFonts w:ascii="Arial" w:cs="Arial" w:eastAsia="Arial" w:hAnsi="Arial"/>
          <w:sz w:val="18"/>
          <w:szCs w:val="18"/>
          <w:color w:val="auto"/>
        </w:rPr>
        <w:t>expenses decreased $ 3 million in the six months ended June 30, 2021 compared with the 2020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lower pension costs ($1 million) and lower spending on leak repairs ($1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ind w:right="420"/>
        <w:spacing w:after="0" w:line="235" w:lineRule="auto"/>
        <w:rPr>
          <w:sz w:val="20"/>
          <w:szCs w:val="20"/>
          <w:color w:val="auto"/>
        </w:rPr>
      </w:pPr>
      <w:r>
        <w:rPr>
          <w:rFonts w:ascii="Arial" w:cs="Arial" w:eastAsia="Arial" w:hAnsi="Arial"/>
          <w:sz w:val="18"/>
          <w:szCs w:val="18"/>
          <w:color w:val="auto"/>
        </w:rPr>
        <w:t>Income taxes decreased $1 million in the six months ended June 30, 2021 compared with the 2020 period primarily due to lower income before income tax expense.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Clean Energy Businesses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Clean Energy Businesses’ results of operations for the six months ended June 30, 2021 compared with the 2020 period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Borders>
              <w:bottom w:val="single" w:sz="8" w:color="8C8272"/>
            </w:tcBorders>
          </w:tcPr>
          <w:p>
            <w:pPr>
              <w:spacing w:after="0"/>
              <w:rPr>
                <w:sz w:val="16"/>
                <w:szCs w:val="16"/>
                <w:color w:val="auto"/>
              </w:rPr>
            </w:pPr>
          </w:p>
        </w:tc>
        <w:tc>
          <w:tcPr>
            <w:tcW w:w="5360" w:type="dxa"/>
            <w:vAlign w:val="bottom"/>
            <w:tcBorders>
              <w:bottom w:val="single" w:sz="8" w:color="8C8272"/>
            </w:tcBorders>
            <w:gridSpan w:val="2"/>
          </w:tcPr>
          <w:p>
            <w:pPr>
              <w:jc w:val="right"/>
              <w:ind w:right="868"/>
              <w:spacing w:after="0"/>
              <w:rPr>
                <w:sz w:val="20"/>
                <w:szCs w:val="20"/>
                <w:color w:val="auto"/>
              </w:rPr>
            </w:pPr>
            <w:r>
              <w:rPr>
                <w:rFonts w:ascii="Arial" w:cs="Arial" w:eastAsia="Arial" w:hAnsi="Arial"/>
                <w:sz w:val="14"/>
                <w:szCs w:val="14"/>
                <w:b w:val="1"/>
                <w:bCs w:val="1"/>
                <w:color w:val="auto"/>
              </w:rPr>
              <w:t>For the Six Months Ended</w:t>
            </w:r>
          </w:p>
        </w:tc>
        <w:tc>
          <w:tcPr>
            <w:tcW w:w="1040" w:type="dxa"/>
            <w:vAlign w:val="bottom"/>
            <w:tcBorders>
              <w:bottom w:val="single" w:sz="8" w:color="8C8272"/>
            </w:tcBorders>
          </w:tcPr>
          <w:p>
            <w:pPr>
              <w:spacing w:after="0"/>
              <w:rPr>
                <w:sz w:val="16"/>
                <w:szCs w:val="16"/>
                <w:color w:val="auto"/>
              </w:rPr>
            </w:pPr>
          </w:p>
        </w:tc>
      </w:tr>
      <w:tr>
        <w:trPr>
          <w:trHeight w:val="183"/>
        </w:trPr>
        <w:tc>
          <w:tcPr>
            <w:tcW w:w="484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376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June 30, 2021</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June 30, 2020</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Variation</w:t>
            </w:r>
          </w:p>
        </w:tc>
      </w:tr>
      <w:tr>
        <w:trPr>
          <w:trHeight w:val="183"/>
        </w:trPr>
        <w:tc>
          <w:tcPr>
            <w:tcW w:w="484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revenues</w:t>
            </w:r>
          </w:p>
        </w:tc>
        <w:tc>
          <w:tcPr>
            <w:tcW w:w="37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$515</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$344</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$171</w:t>
            </w:r>
          </w:p>
        </w:tc>
      </w:tr>
      <w:tr>
        <w:trPr>
          <w:trHeight w:val="189"/>
        </w:trPr>
        <w:tc>
          <w:tcPr>
            <w:tcW w:w="4840" w:type="dxa"/>
            <w:vAlign w:val="bottom"/>
          </w:tcPr>
          <w:p>
            <w:pPr>
              <w:ind w:left="20"/>
              <w:spacing w:after="0"/>
              <w:rPr>
                <w:sz w:val="20"/>
                <w:szCs w:val="20"/>
                <w:color w:val="auto"/>
              </w:rPr>
            </w:pPr>
            <w:r>
              <w:rPr>
                <w:rFonts w:ascii="Arial" w:cs="Arial" w:eastAsia="Arial" w:hAnsi="Arial"/>
                <w:sz w:val="14"/>
                <w:szCs w:val="14"/>
                <w:color w:val="auto"/>
              </w:rPr>
              <w:t>Gas purchased for resale</w:t>
            </w:r>
          </w:p>
        </w:tc>
        <w:tc>
          <w:tcPr>
            <w:tcW w:w="3760" w:type="dxa"/>
            <w:vAlign w:val="bottom"/>
          </w:tcPr>
          <w:p>
            <w:pPr>
              <w:jc w:val="right"/>
              <w:ind w:right="168"/>
              <w:spacing w:after="0"/>
              <w:rPr>
                <w:sz w:val="20"/>
                <w:szCs w:val="20"/>
                <w:color w:val="auto"/>
              </w:rPr>
            </w:pPr>
            <w:r>
              <w:rPr>
                <w:rFonts w:ascii="Arial" w:cs="Arial" w:eastAsia="Arial" w:hAnsi="Arial"/>
                <w:sz w:val="14"/>
                <w:szCs w:val="14"/>
                <w:color w:val="auto"/>
              </w:rPr>
              <w:t>39</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16</w:t>
            </w:r>
          </w:p>
        </w:tc>
        <w:tc>
          <w:tcPr>
            <w:tcW w:w="10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89"/>
        </w:trPr>
        <w:tc>
          <w:tcPr>
            <w:tcW w:w="484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 operations and maintenance</w:t>
            </w:r>
          </w:p>
        </w:tc>
        <w:tc>
          <w:tcPr>
            <w:tcW w:w="37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235</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107</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128</w:t>
            </w:r>
          </w:p>
        </w:tc>
      </w:tr>
      <w:tr>
        <w:trPr>
          <w:trHeight w:val="189"/>
        </w:trPr>
        <w:tc>
          <w:tcPr>
            <w:tcW w:w="48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760" w:type="dxa"/>
            <w:vAlign w:val="bottom"/>
          </w:tcPr>
          <w:p>
            <w:pPr>
              <w:jc w:val="right"/>
              <w:ind w:right="168"/>
              <w:spacing w:after="0"/>
              <w:rPr>
                <w:sz w:val="20"/>
                <w:szCs w:val="20"/>
                <w:color w:val="auto"/>
              </w:rPr>
            </w:pPr>
            <w:r>
              <w:rPr>
                <w:rFonts w:ascii="Arial" w:cs="Arial" w:eastAsia="Arial" w:hAnsi="Arial"/>
                <w:sz w:val="14"/>
                <w:szCs w:val="14"/>
                <w:color w:val="auto"/>
              </w:rPr>
              <w:t>114</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115</w:t>
            </w: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4840" w:type="dxa"/>
            <w:vAlign w:val="bottom"/>
            <w:shd w:val="clear" w:color="auto" w:fill="E5E5E5"/>
          </w:tcPr>
          <w:p>
            <w:pPr>
              <w:ind w:left="20"/>
              <w:spacing w:after="0"/>
              <w:rPr>
                <w:sz w:val="20"/>
                <w:szCs w:val="20"/>
                <w:color w:val="auto"/>
              </w:rPr>
            </w:pPr>
            <w:r>
              <w:rPr>
                <w:rFonts w:ascii="Arial" w:cs="Arial" w:eastAsia="Arial" w:hAnsi="Arial"/>
                <w:sz w:val="14"/>
                <w:szCs w:val="14"/>
                <w:color w:val="auto"/>
              </w:rPr>
              <w:t>Taxes, other than income taxes</w:t>
            </w:r>
          </w:p>
        </w:tc>
        <w:tc>
          <w:tcPr>
            <w:tcW w:w="37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10</w:t>
            </w:r>
          </w:p>
        </w:tc>
        <w:tc>
          <w:tcPr>
            <w:tcW w:w="16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10</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840" w:type="dxa"/>
            <w:vAlign w:val="bottom"/>
            <w:tcBorders>
              <w:bottom w:val="single" w:sz="8" w:color="8C8272"/>
            </w:tcBorders>
          </w:tcPr>
          <w:p>
            <w:pPr>
              <w:ind w:left="140"/>
              <w:spacing w:after="0"/>
              <w:rPr>
                <w:sz w:val="20"/>
                <w:szCs w:val="20"/>
                <w:color w:val="auto"/>
              </w:rPr>
            </w:pPr>
            <w:r>
              <w:rPr>
                <w:rFonts w:ascii="Arial" w:cs="Arial" w:eastAsia="Arial" w:hAnsi="Arial"/>
                <w:sz w:val="14"/>
                <w:szCs w:val="14"/>
                <w:b w:val="1"/>
                <w:bCs w:val="1"/>
                <w:color w:val="auto"/>
              </w:rPr>
              <w:t>Operating income</w:t>
            </w:r>
          </w:p>
        </w:tc>
        <w:tc>
          <w:tcPr>
            <w:tcW w:w="3760" w:type="dxa"/>
            <w:vAlign w:val="bottom"/>
            <w:tcBorders>
              <w:bottom w:val="single" w:sz="8" w:color="8C8272"/>
            </w:tcBorders>
          </w:tcPr>
          <w:p>
            <w:pPr>
              <w:jc w:val="right"/>
              <w:ind w:right="168"/>
              <w:spacing w:after="0"/>
              <w:rPr>
                <w:sz w:val="20"/>
                <w:szCs w:val="20"/>
                <w:color w:val="auto"/>
              </w:rPr>
            </w:pPr>
            <w:r>
              <w:rPr>
                <w:rFonts w:ascii="Arial" w:cs="Arial" w:eastAsia="Arial" w:hAnsi="Arial"/>
                <w:sz w:val="14"/>
                <w:szCs w:val="14"/>
                <w:b w:val="1"/>
                <w:bCs w:val="1"/>
                <w:color w:val="auto"/>
              </w:rPr>
              <w:t>$117</w:t>
            </w:r>
          </w:p>
        </w:tc>
        <w:tc>
          <w:tcPr>
            <w:tcW w:w="1600" w:type="dxa"/>
            <w:vAlign w:val="bottom"/>
            <w:tcBorders>
              <w:bottom w:val="single" w:sz="8" w:color="8C8272"/>
            </w:tcBorders>
          </w:tcPr>
          <w:p>
            <w:pPr>
              <w:jc w:val="right"/>
              <w:ind w:right="328"/>
              <w:spacing w:after="0"/>
              <w:rPr>
                <w:sz w:val="20"/>
                <w:szCs w:val="20"/>
                <w:color w:val="auto"/>
              </w:rPr>
            </w:pPr>
            <w:r>
              <w:rPr>
                <w:rFonts w:ascii="Arial" w:cs="Arial" w:eastAsia="Arial" w:hAnsi="Arial"/>
                <w:sz w:val="14"/>
                <w:szCs w:val="14"/>
                <w:b w:val="1"/>
                <w:bCs w:val="1"/>
                <w:color w:val="auto"/>
              </w:rPr>
              <w:t>$96</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$21</w:t>
            </w:r>
          </w:p>
        </w:tc>
      </w:tr>
    </w:tbl>
    <w:p>
      <w:pPr>
        <w:spacing w:after="0" w:line="292" w:lineRule="exact"/>
        <w:rPr>
          <w:sz w:val="20"/>
          <w:szCs w:val="20"/>
          <w:color w:val="auto"/>
        </w:rPr>
      </w:pPr>
    </w:p>
    <w:p>
      <w:pPr>
        <w:spacing w:after="0" w:line="236"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increased $ 171 million in the six months ended June 30, 2021 compared with the 2020 period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renewable electric production projects ($109 million), higher wholesale revenues ($34 million), higher energy services revenues ($26 million) and net mark-to-market values ($2 million).</w:t>
      </w:r>
    </w:p>
    <w:p>
      <w:pPr>
        <w:spacing w:after="0" w:line="21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i w:val="1"/>
          <w:iCs w:val="1"/>
          <w:color w:val="auto"/>
        </w:rPr>
        <w:t xml:space="preserve">Gas purchased for resale </w:t>
      </w:r>
      <w:r>
        <w:rPr>
          <w:rFonts w:ascii="Arial" w:cs="Arial" w:eastAsia="Arial" w:hAnsi="Arial"/>
          <w:sz w:val="18"/>
          <w:szCs w:val="18"/>
          <w:color w:val="auto"/>
        </w:rPr>
        <w:t>increased $23 million in the six months ended June 30, 2021 compared with the 2020 period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purchased volumes.</w:t>
      </w:r>
    </w:p>
    <w:p>
      <w:pPr>
        <w:spacing w:after="0" w:line="175"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i w:val="1"/>
          <w:iCs w:val="1"/>
          <w:color w:val="auto"/>
        </w:rPr>
        <w:t xml:space="preserve">Other operations and maintenance </w:t>
      </w:r>
      <w:r>
        <w:rPr>
          <w:rFonts w:ascii="Arial" w:cs="Arial" w:eastAsia="Arial" w:hAnsi="Arial"/>
          <w:sz w:val="18"/>
          <w:szCs w:val="18"/>
          <w:color w:val="auto"/>
        </w:rPr>
        <w:t>expenses increased $128 million in the six months ended June 30, 2021 compared with the 2020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costs from engineering, procurement and construction of renewable electric projects for customers.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Net Interest Expense</w:t>
      </w:r>
    </w:p>
    <w:p>
      <w:pPr>
        <w:spacing w:after="0" w:line="3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Net interest expense decreased $134 million in the six months ended June 30, 2021 compared with the 2020 period primarily due to lower unrealized losses on interest rate swaps in the 2021 period.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8"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Income taxes increased $63 million in the six months ended June 30, 2021 compared with the 2020 period primarily due to higher income before income tax expense ($ 32 million), lower income attributable to non-controlling interests ($18 million), higher state income taxes ($6 million), and the absence of a tax benefit due to the change in the federal corporate income tax rate recognized for a loss carryback from the 2018 tax year to the 2013 tax year as allowed under the CARES Act signed into law during the first quarter of 2020 ($4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Attributable to Non-Controlling Interest</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Income attributable to non-controlling interest decreased $75 million to a loss of $ 46 million in the six months ended June 30, 2021 compared with the 2020 period primarily due to lower income attributable in the 2021 period to a tax equity investor in renewable electric projects accounted for under the HLBV method of accounting. See Note P to the Second Quarter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Con Edison Transmission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(Deductions)</w:t>
      </w:r>
    </w:p>
    <w:p>
      <w:pPr>
        <w:ind w:right="260"/>
        <w:spacing w:after="0" w:line="238" w:lineRule="auto"/>
        <w:rPr>
          <w:sz w:val="20"/>
          <w:szCs w:val="20"/>
          <w:color w:val="auto"/>
        </w:rPr>
      </w:pPr>
      <w:r>
        <w:rPr>
          <w:rFonts w:ascii="Arial" w:cs="Arial" w:eastAsia="Arial" w:hAnsi="Arial"/>
          <w:sz w:val="18"/>
          <w:szCs w:val="18"/>
          <w:color w:val="auto"/>
        </w:rPr>
        <w:t>Other income (deductions) decreased $234 million in the six months ended June 30, 2021 compared with the 2020 period primarily due to pre-tax impairment losses of $ 211 million related to Con Edison Transmission's investment in Stagecoach and MVP foregoing AFUDC income starting January 2021 until significant construction resumes. See "Investments" in Note A to the Second Quarter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4"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Income taxes decreased $63 million in the six months ended June 30, 2021 compared with the 2020 period primarily due to lower income before income tax expense ($49 million) and lower state income taxes ($15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3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Income taxes increased $9 million in the six months ended June 30, 2021 compared with the 2020 period primarily due to lower consolidated state income tax benefit.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Liquidity and Capital Resources</w:t>
      </w:r>
    </w:p>
    <w:p>
      <w:pPr>
        <w:spacing w:after="0" w:line="3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Companies’ liquidity reflects cash flows from operating, investing and financing activities, as shown on their respective consolidated statement of cash flows and as discussed below.</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6" w:name="page77"/>
    <w:bookmarkEnd w:id="76"/>
    <w:p>
      <w:pPr>
        <w:ind w:right="140"/>
        <w:spacing w:after="0" w:line="261" w:lineRule="auto"/>
        <w:rPr>
          <w:sz w:val="20"/>
          <w:szCs w:val="20"/>
          <w:color w:val="auto"/>
        </w:rPr>
      </w:pPr>
      <w:r>
        <w:rPr>
          <w:rFonts w:ascii="Arial" w:cs="Arial" w:eastAsia="Arial" w:hAnsi="Arial"/>
          <w:sz w:val="18"/>
          <w:szCs w:val="18"/>
          <w:color w:val="auto"/>
        </w:rPr>
        <w:t>The Companies’ cash, temporary cash investments and restricted cash resulting from operating, investing and financing activities for the six months ended June 30, 2021 and 2020 are summarized as follows:</w:t>
      </w:r>
    </w:p>
    <w:p>
      <w:pPr>
        <w:spacing w:after="0" w:line="104"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For the 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80" w:type="dxa"/>
            <w:vAlign w:val="bottom"/>
            <w:tcBorders>
              <w:top w:val="single" w:sz="8" w:color="8C8272"/>
            </w:tcBorders>
          </w:tcPr>
          <w:p>
            <w:pPr>
              <w:spacing w:after="0"/>
              <w:rPr>
                <w:sz w:val="12"/>
                <w:szCs w:val="12"/>
                <w:color w:val="auto"/>
              </w:rPr>
            </w:pPr>
          </w:p>
        </w:tc>
        <w:tc>
          <w:tcPr>
            <w:tcW w:w="1100" w:type="dxa"/>
            <w:vAlign w:val="bottom"/>
            <w:tcBorders>
              <w:top w:val="single" w:sz="8" w:color="8C8272"/>
            </w:tcBorders>
            <w:vMerge w:val="restart"/>
          </w:tcPr>
          <w:p>
            <w:pPr>
              <w:jc w:val="right"/>
              <w:spacing w:after="0"/>
              <w:rPr>
                <w:sz w:val="20"/>
                <w:szCs w:val="20"/>
                <w:color w:val="auto"/>
              </w:rPr>
            </w:pPr>
            <w:r>
              <w:rPr>
                <w:rFonts w:ascii="Arial" w:cs="Arial" w:eastAsia="Arial" w:hAnsi="Arial"/>
                <w:sz w:val="14"/>
                <w:szCs w:val="14"/>
                <w:b w:val="1"/>
                <w:bCs w:val="1"/>
                <w:color w:val="auto"/>
              </w:rPr>
              <w:t>CECONY</w:t>
            </w:r>
          </w:p>
        </w:tc>
        <w:tc>
          <w:tcPr>
            <w:tcW w:w="480" w:type="dxa"/>
            <w:vAlign w:val="bottom"/>
            <w:tcBorders>
              <w:top w:val="single" w:sz="8" w:color="8C8272"/>
            </w:tcBorders>
          </w:tcPr>
          <w:p>
            <w:pPr>
              <w:spacing w:after="0"/>
              <w:rPr>
                <w:sz w:val="12"/>
                <w:szCs w:val="12"/>
                <w:color w:val="auto"/>
              </w:rPr>
            </w:pPr>
          </w:p>
        </w:tc>
        <w:tc>
          <w:tcPr>
            <w:tcW w:w="20" w:type="dxa"/>
            <w:vAlign w:val="bottom"/>
            <w:tcBorders>
              <w:top w:val="single" w:sz="8" w:color="8C8272"/>
            </w:tcBorders>
          </w:tcPr>
          <w:p>
            <w:pPr>
              <w:spacing w:after="0"/>
              <w:rPr>
                <w:sz w:val="12"/>
                <w:szCs w:val="12"/>
                <w:color w:val="auto"/>
              </w:rPr>
            </w:pPr>
          </w:p>
        </w:tc>
        <w:tc>
          <w:tcPr>
            <w:tcW w:w="1080" w:type="dxa"/>
            <w:vAlign w:val="bottom"/>
            <w:tcBorders>
              <w:top w:val="single" w:sz="8" w:color="8C8272"/>
            </w:tcBorders>
            <w:gridSpan w:val="2"/>
            <w:vMerge w:val="restart"/>
          </w:tcPr>
          <w:p>
            <w:pPr>
              <w:ind w:left="620"/>
              <w:spacing w:after="0"/>
              <w:rPr>
                <w:sz w:val="20"/>
                <w:szCs w:val="20"/>
                <w:color w:val="auto"/>
              </w:rPr>
            </w:pPr>
            <w:r>
              <w:rPr>
                <w:rFonts w:ascii="Arial" w:cs="Arial" w:eastAsia="Arial" w:hAnsi="Arial"/>
                <w:sz w:val="14"/>
                <w:szCs w:val="14"/>
                <w:b w:val="1"/>
                <w:bCs w:val="1"/>
                <w:color w:val="auto"/>
              </w:rPr>
              <w:t>O&amp;R</w:t>
            </w:r>
          </w:p>
        </w:tc>
        <w:tc>
          <w:tcPr>
            <w:tcW w:w="480" w:type="dxa"/>
            <w:vAlign w:val="bottom"/>
            <w:tcBorders>
              <w:top w:val="single" w:sz="8" w:color="8C8272"/>
            </w:tcBorders>
          </w:tcPr>
          <w:p>
            <w:pPr>
              <w:spacing w:after="0"/>
              <w:rPr>
                <w:sz w:val="12"/>
                <w:szCs w:val="12"/>
                <w:color w:val="auto"/>
              </w:rPr>
            </w:pPr>
          </w:p>
        </w:tc>
        <w:tc>
          <w:tcPr>
            <w:tcW w:w="20" w:type="dxa"/>
            <w:vAlign w:val="bottom"/>
            <w:tcBorders>
              <w:top w:val="single" w:sz="8" w:color="8C8272"/>
            </w:tcBorders>
          </w:tcPr>
          <w:p>
            <w:pPr>
              <w:spacing w:after="0"/>
              <w:rPr>
                <w:sz w:val="12"/>
                <w:szCs w:val="12"/>
                <w:color w:val="auto"/>
              </w:rPr>
            </w:pPr>
          </w:p>
        </w:tc>
        <w:tc>
          <w:tcPr>
            <w:tcW w:w="1580" w:type="dxa"/>
            <w:vAlign w:val="bottom"/>
            <w:tcBorders>
              <w:top w:val="single" w:sz="8" w:color="8C8272"/>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Clean Energy</w:t>
            </w:r>
          </w:p>
        </w:tc>
        <w:tc>
          <w:tcPr>
            <w:tcW w:w="1200" w:type="dxa"/>
            <w:vAlign w:val="bottom"/>
            <w:tcBorders>
              <w:top w:val="single" w:sz="8" w:color="8C8272"/>
            </w:tcBorders>
            <w:gridSpan w:val="2"/>
          </w:tcPr>
          <w:p>
            <w:pPr>
              <w:ind w:left="360"/>
              <w:spacing w:after="0" w:line="142" w:lineRule="exact"/>
              <w:rPr>
                <w:sz w:val="20"/>
                <w:szCs w:val="20"/>
                <w:color w:val="auto"/>
              </w:rPr>
            </w:pPr>
            <w:r>
              <w:rPr>
                <w:rFonts w:ascii="Arial" w:cs="Arial" w:eastAsia="Arial" w:hAnsi="Arial"/>
                <w:sz w:val="14"/>
                <w:szCs w:val="14"/>
                <w:b w:val="1"/>
                <w:bCs w:val="1"/>
                <w:color w:val="auto"/>
              </w:rPr>
              <w:t>Con Edison</w:t>
            </w:r>
          </w:p>
        </w:tc>
        <w:tc>
          <w:tcPr>
            <w:tcW w:w="380" w:type="dxa"/>
            <w:vAlign w:val="bottom"/>
            <w:tcBorders>
              <w:top w:val="single" w:sz="8" w:color="8C8272"/>
            </w:tcBorders>
          </w:tcPr>
          <w:p>
            <w:pPr>
              <w:spacing w:after="0"/>
              <w:rPr>
                <w:sz w:val="12"/>
                <w:szCs w:val="12"/>
                <w:color w:val="auto"/>
              </w:rPr>
            </w:pPr>
          </w:p>
        </w:tc>
        <w:tc>
          <w:tcPr>
            <w:tcW w:w="1120" w:type="dxa"/>
            <w:vAlign w:val="bottom"/>
            <w:tcBorders>
              <w:top w:val="single" w:sz="8" w:color="8C8272"/>
            </w:tcBorders>
            <w:gridSpan w:val="2"/>
            <w:vMerge w:val="restart"/>
          </w:tcPr>
          <w:p>
            <w:pPr>
              <w:ind w:left="500"/>
              <w:spacing w:after="0"/>
              <w:rPr>
                <w:sz w:val="20"/>
                <w:szCs w:val="20"/>
                <w:color w:val="auto"/>
              </w:rPr>
            </w:pPr>
            <w:r>
              <w:rPr>
                <w:rFonts w:ascii="Arial" w:cs="Arial" w:eastAsia="Arial" w:hAnsi="Arial"/>
                <w:sz w:val="14"/>
                <w:szCs w:val="14"/>
                <w:b w:val="1"/>
                <w:bCs w:val="1"/>
                <w:color w:val="auto"/>
              </w:rPr>
              <w:t>Other (a)</w:t>
            </w:r>
          </w:p>
        </w:tc>
        <w:tc>
          <w:tcPr>
            <w:tcW w:w="460" w:type="dxa"/>
            <w:vAlign w:val="bottom"/>
            <w:tcBorders>
              <w:top w:val="single" w:sz="8" w:color="8C8272"/>
            </w:tcBorders>
          </w:tcPr>
          <w:p>
            <w:pPr>
              <w:spacing w:after="0"/>
              <w:rPr>
                <w:sz w:val="12"/>
                <w:szCs w:val="12"/>
                <w:color w:val="auto"/>
              </w:rPr>
            </w:pPr>
          </w:p>
        </w:tc>
        <w:tc>
          <w:tcPr>
            <w:tcW w:w="20" w:type="dxa"/>
            <w:vAlign w:val="bottom"/>
            <w:tcBorders>
              <w:top w:val="single" w:sz="8" w:color="8C8272"/>
            </w:tcBorders>
          </w:tcPr>
          <w:p>
            <w:pPr>
              <w:spacing w:after="0"/>
              <w:rPr>
                <w:sz w:val="12"/>
                <w:szCs w:val="12"/>
                <w:color w:val="auto"/>
              </w:rPr>
            </w:pPr>
          </w:p>
        </w:tc>
        <w:tc>
          <w:tcPr>
            <w:tcW w:w="1580" w:type="dxa"/>
            <w:vAlign w:val="bottom"/>
            <w:tcBorders>
              <w:top w:val="single" w:sz="8" w:color="8C8272"/>
            </w:tcBorders>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Con Edison (b)</w:t>
            </w:r>
          </w:p>
        </w:tc>
        <w:tc>
          <w:tcPr>
            <w:tcW w:w="0" w:type="dxa"/>
            <w:vAlign w:val="bottom"/>
          </w:tcPr>
          <w:p>
            <w:pPr>
              <w:spacing w:after="0"/>
              <w:rPr>
                <w:sz w:val="1"/>
                <w:szCs w:val="1"/>
                <w:color w:val="auto"/>
              </w:rPr>
            </w:pPr>
          </w:p>
        </w:tc>
      </w:tr>
      <w:tr>
        <w:trPr>
          <w:trHeight w:val="176"/>
        </w:trPr>
        <w:tc>
          <w:tcPr>
            <w:tcW w:w="1680" w:type="dxa"/>
            <w:vAlign w:val="bottom"/>
            <w:tcBorders>
              <w:bottom w:val="single" w:sz="8" w:color="8C8272"/>
            </w:tcBorders>
          </w:tcPr>
          <w:p>
            <w:pPr>
              <w:spacing w:after="0"/>
              <w:rPr>
                <w:sz w:val="15"/>
                <w:szCs w:val="15"/>
                <w:color w:val="auto"/>
              </w:rPr>
            </w:pPr>
          </w:p>
        </w:tc>
        <w:tc>
          <w:tcPr>
            <w:tcW w:w="1100" w:type="dxa"/>
            <w:vAlign w:val="bottom"/>
            <w:tcBorders>
              <w:bottom w:val="single" w:sz="8" w:color="8C8272"/>
            </w:tcBorders>
            <w:vMerge w:val="continue"/>
          </w:tcPr>
          <w:p>
            <w:pPr>
              <w:spacing w:after="0"/>
              <w:rPr>
                <w:sz w:val="15"/>
                <w:szCs w:val="15"/>
                <w:color w:val="auto"/>
              </w:rPr>
            </w:pPr>
          </w:p>
        </w:tc>
        <w:tc>
          <w:tcPr>
            <w:tcW w:w="480" w:type="dxa"/>
            <w:vAlign w:val="bottom"/>
            <w:tcBorders>
              <w:bottom w:val="single" w:sz="8" w:color="8C8272"/>
            </w:tcBorders>
          </w:tcPr>
          <w:p>
            <w:pPr>
              <w:spacing w:after="0"/>
              <w:rPr>
                <w:sz w:val="15"/>
                <w:szCs w:val="15"/>
                <w:color w:val="auto"/>
              </w:rPr>
            </w:pPr>
          </w:p>
        </w:tc>
        <w:tc>
          <w:tcPr>
            <w:tcW w:w="20" w:type="dxa"/>
            <w:vAlign w:val="bottom"/>
            <w:tcBorders>
              <w:bottom w:val="single" w:sz="8" w:color="8C8272"/>
            </w:tcBorders>
          </w:tcPr>
          <w:p>
            <w:pPr>
              <w:spacing w:after="0"/>
              <w:rPr>
                <w:sz w:val="15"/>
                <w:szCs w:val="15"/>
                <w:color w:val="auto"/>
              </w:rPr>
            </w:pPr>
          </w:p>
        </w:tc>
        <w:tc>
          <w:tcPr>
            <w:tcW w:w="1080" w:type="dxa"/>
            <w:vAlign w:val="bottom"/>
            <w:tcBorders>
              <w:bottom w:val="single" w:sz="8" w:color="8C8272"/>
            </w:tcBorders>
            <w:gridSpan w:val="2"/>
            <w:vMerge w:val="continue"/>
          </w:tcPr>
          <w:p>
            <w:pPr>
              <w:spacing w:after="0"/>
              <w:rPr>
                <w:sz w:val="15"/>
                <w:szCs w:val="15"/>
                <w:color w:val="auto"/>
              </w:rPr>
            </w:pPr>
          </w:p>
        </w:tc>
        <w:tc>
          <w:tcPr>
            <w:tcW w:w="480" w:type="dxa"/>
            <w:vAlign w:val="bottom"/>
            <w:tcBorders>
              <w:bottom w:val="single" w:sz="8" w:color="8C8272"/>
            </w:tcBorders>
          </w:tcPr>
          <w:p>
            <w:pPr>
              <w:spacing w:after="0"/>
              <w:rPr>
                <w:sz w:val="15"/>
                <w:szCs w:val="15"/>
                <w:color w:val="auto"/>
              </w:rPr>
            </w:pPr>
          </w:p>
        </w:tc>
        <w:tc>
          <w:tcPr>
            <w:tcW w:w="20" w:type="dxa"/>
            <w:vAlign w:val="bottom"/>
            <w:tcBorders>
              <w:bottom w:val="single" w:sz="8" w:color="8C8272"/>
            </w:tcBorders>
          </w:tcPr>
          <w:p>
            <w:pPr>
              <w:spacing w:after="0"/>
              <w:rPr>
                <w:sz w:val="15"/>
                <w:szCs w:val="15"/>
                <w:color w:val="auto"/>
              </w:rPr>
            </w:pPr>
          </w:p>
        </w:tc>
        <w:tc>
          <w:tcPr>
            <w:tcW w:w="1200" w:type="dxa"/>
            <w:vAlign w:val="bottom"/>
            <w:tcBorders>
              <w:bottom w:val="single" w:sz="8" w:color="8C8272"/>
            </w:tcBorders>
            <w:gridSpan w:val="2"/>
          </w:tcPr>
          <w:p>
            <w:pPr>
              <w:jc w:val="center"/>
              <w:ind w:left="288"/>
              <w:spacing w:after="0"/>
              <w:rPr>
                <w:sz w:val="20"/>
                <w:szCs w:val="20"/>
                <w:color w:val="auto"/>
              </w:rPr>
            </w:pPr>
            <w:r>
              <w:rPr>
                <w:rFonts w:ascii="Arial" w:cs="Arial" w:eastAsia="Arial" w:hAnsi="Arial"/>
                <w:sz w:val="14"/>
                <w:szCs w:val="14"/>
                <w:b w:val="1"/>
                <w:bCs w:val="1"/>
                <w:color w:val="auto"/>
              </w:rPr>
              <w:t>Businesses</w:t>
            </w:r>
          </w:p>
        </w:tc>
        <w:tc>
          <w:tcPr>
            <w:tcW w:w="380" w:type="dxa"/>
            <w:vAlign w:val="bottom"/>
            <w:tcBorders>
              <w:bottom w:val="single" w:sz="8" w:color="8C8272"/>
            </w:tcBorders>
          </w:tcPr>
          <w:p>
            <w:pPr>
              <w:spacing w:after="0"/>
              <w:rPr>
                <w:sz w:val="15"/>
                <w:szCs w:val="15"/>
                <w:color w:val="auto"/>
              </w:rPr>
            </w:pPr>
          </w:p>
        </w:tc>
        <w:tc>
          <w:tcPr>
            <w:tcW w:w="1580" w:type="dxa"/>
            <w:vAlign w:val="bottom"/>
            <w:tcBorders>
              <w:bottom w:val="single" w:sz="8" w:color="8C8272"/>
            </w:tcBorders>
            <w:gridSpan w:val="3"/>
          </w:tcPr>
          <w:p>
            <w:pPr>
              <w:jc w:val="right"/>
              <w:ind w:right="268"/>
              <w:spacing w:after="0"/>
              <w:rPr>
                <w:sz w:val="20"/>
                <w:szCs w:val="20"/>
                <w:color w:val="auto"/>
              </w:rPr>
            </w:pPr>
            <w:r>
              <w:rPr>
                <w:rFonts w:ascii="Arial" w:cs="Arial" w:eastAsia="Arial" w:hAnsi="Arial"/>
                <w:sz w:val="14"/>
                <w:szCs w:val="14"/>
                <w:b w:val="1"/>
                <w:bCs w:val="1"/>
                <w:color w:val="auto"/>
              </w:rPr>
              <w:t>Transmission</w:t>
            </w:r>
          </w:p>
        </w:tc>
        <w:tc>
          <w:tcPr>
            <w:tcW w:w="1120" w:type="dxa"/>
            <w:vAlign w:val="bottom"/>
            <w:tcBorders>
              <w:bottom w:val="single" w:sz="8" w:color="8C8272"/>
            </w:tcBorders>
            <w:gridSpan w:val="2"/>
            <w:vMerge w:val="continue"/>
          </w:tcPr>
          <w:p>
            <w:pPr>
              <w:spacing w:after="0"/>
              <w:rPr>
                <w:sz w:val="15"/>
                <w:szCs w:val="15"/>
                <w:color w:val="auto"/>
              </w:rPr>
            </w:pPr>
          </w:p>
        </w:tc>
        <w:tc>
          <w:tcPr>
            <w:tcW w:w="460" w:type="dxa"/>
            <w:vAlign w:val="bottom"/>
            <w:tcBorders>
              <w:bottom w:val="single" w:sz="8" w:color="8C8272"/>
            </w:tcBorders>
          </w:tcPr>
          <w:p>
            <w:pPr>
              <w:spacing w:after="0"/>
              <w:rPr>
                <w:sz w:val="15"/>
                <w:szCs w:val="15"/>
                <w:color w:val="auto"/>
              </w:rPr>
            </w:pPr>
          </w:p>
        </w:tc>
        <w:tc>
          <w:tcPr>
            <w:tcW w:w="20" w:type="dxa"/>
            <w:vAlign w:val="bottom"/>
            <w:tcBorders>
              <w:bottom w:val="single" w:sz="8" w:color="8C8272"/>
            </w:tcBorders>
          </w:tcPr>
          <w:p>
            <w:pPr>
              <w:spacing w:after="0"/>
              <w:rPr>
                <w:sz w:val="15"/>
                <w:szCs w:val="15"/>
                <w:color w:val="auto"/>
              </w:rPr>
            </w:pPr>
          </w:p>
        </w:tc>
        <w:tc>
          <w:tcPr>
            <w:tcW w:w="1580" w:type="dxa"/>
            <w:vAlign w:val="bottom"/>
            <w:tcBorders>
              <w:bottom w:val="single" w:sz="8" w:color="8C8272"/>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80" w:type="dxa"/>
            <w:vAlign w:val="bottom"/>
            <w:tcBorders>
              <w:bottom w:val="single" w:sz="8" w:color="8C8272"/>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100" w:type="dxa"/>
            <w:vAlign w:val="bottom"/>
            <w:tcBorders>
              <w:bottom w:val="single" w:sz="8" w:color="8C8272"/>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8C8272"/>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8C8272"/>
            </w:tcBorders>
          </w:tcPr>
          <w:p>
            <w:pPr>
              <w:spacing w:after="0"/>
              <w:rPr>
                <w:sz w:val="15"/>
                <w:szCs w:val="15"/>
                <w:color w:val="auto"/>
              </w:rPr>
            </w:pPr>
          </w:p>
        </w:tc>
        <w:tc>
          <w:tcPr>
            <w:tcW w:w="4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8C8272"/>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8C8272"/>
            </w:tcBorders>
          </w:tcPr>
          <w:p>
            <w:pPr>
              <w:spacing w:after="0"/>
              <w:rPr>
                <w:sz w:val="15"/>
                <w:szCs w:val="15"/>
                <w:color w:val="auto"/>
              </w:rPr>
            </w:pPr>
          </w:p>
        </w:tc>
        <w:tc>
          <w:tcPr>
            <w:tcW w:w="3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8C8272"/>
            </w:tcBorders>
          </w:tcPr>
          <w:p>
            <w:pPr>
              <w:spacing w:after="0"/>
              <w:rPr>
                <w:sz w:val="15"/>
                <w:szCs w:val="15"/>
                <w:color w:val="auto"/>
              </w:rPr>
            </w:pPr>
          </w:p>
        </w:tc>
        <w:tc>
          <w:tcPr>
            <w:tcW w:w="3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8C8272"/>
            </w:tcBorders>
          </w:tcPr>
          <w:p>
            <w:pPr>
              <w:spacing w:after="0"/>
              <w:rPr>
                <w:sz w:val="15"/>
                <w:szCs w:val="15"/>
                <w:color w:val="auto"/>
              </w:rPr>
            </w:pPr>
          </w:p>
        </w:tc>
        <w:tc>
          <w:tcPr>
            <w:tcW w:w="46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8C8272"/>
            </w:tcBorders>
            <w:gridSpan w:val="2"/>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168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activities</w:t>
            </w:r>
          </w:p>
        </w:tc>
        <w:tc>
          <w:tcPr>
            <w:tcW w:w="110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$1,096</w:t>
            </w: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$975</w:t>
            </w:r>
          </w:p>
        </w:tc>
        <w:tc>
          <w:tcPr>
            <w:tcW w:w="78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$72</w:t>
            </w:r>
          </w:p>
        </w:tc>
        <w:tc>
          <w:tcPr>
            <w:tcW w:w="320" w:type="dxa"/>
            <w:vAlign w:val="bottom"/>
            <w:shd w:val="clear" w:color="auto" w:fill="E5E5E5"/>
          </w:tcPr>
          <w:p>
            <w:pPr>
              <w:spacing w:after="0"/>
              <w:rPr>
                <w:sz w:val="15"/>
                <w:szCs w:val="15"/>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$74</w:t>
            </w: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$(142)</w:t>
            </w:r>
          </w:p>
        </w:tc>
        <w:tc>
          <w:tcPr>
            <w:tcW w:w="420" w:type="dxa"/>
            <w:vAlign w:val="bottom"/>
            <w:shd w:val="clear" w:color="auto" w:fill="E5E5E5"/>
          </w:tcPr>
          <w:p>
            <w:pPr>
              <w:spacing w:after="0"/>
              <w:rPr>
                <w:sz w:val="15"/>
                <w:szCs w:val="15"/>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$653</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$507</w:t>
            </w:r>
          </w:p>
        </w:tc>
        <w:tc>
          <w:tcPr>
            <w:tcW w:w="400" w:type="dxa"/>
            <w:vAlign w:val="bottom"/>
            <w:shd w:val="clear" w:color="auto" w:fill="E5E5E5"/>
          </w:tcPr>
          <w:p>
            <w:pPr>
              <w:spacing w:after="0"/>
              <w:rPr>
                <w:sz w:val="15"/>
                <w:szCs w:val="15"/>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$(140)</w:t>
            </w:r>
          </w:p>
        </w:tc>
        <w:tc>
          <w:tcPr>
            <w:tcW w:w="340" w:type="dxa"/>
            <w:vAlign w:val="bottom"/>
            <w:shd w:val="clear" w:color="auto" w:fill="E5E5E5"/>
          </w:tcPr>
          <w:p>
            <w:pPr>
              <w:spacing w:after="0"/>
              <w:rPr>
                <w:sz w:val="15"/>
                <w:szCs w:val="15"/>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$(518)</w:t>
            </w:r>
          </w:p>
        </w:tc>
        <w:tc>
          <w:tcPr>
            <w:tcW w:w="960" w:type="dxa"/>
            <w:vAlign w:val="bottom"/>
            <w:gridSpan w:val="2"/>
            <w:shd w:val="clear" w:color="auto" w:fill="E5E5E5"/>
          </w:tcPr>
          <w:p>
            <w:pPr>
              <w:jc w:val="right"/>
              <w:ind w:right="108"/>
              <w:spacing w:after="0"/>
              <w:rPr>
                <w:sz w:val="20"/>
                <w:szCs w:val="20"/>
                <w:color w:val="auto"/>
              </w:rPr>
            </w:pPr>
            <w:r>
              <w:rPr>
                <w:rFonts w:ascii="Arial" w:cs="Arial" w:eastAsia="Arial" w:hAnsi="Arial"/>
                <w:sz w:val="14"/>
                <w:szCs w:val="14"/>
                <w:color w:val="auto"/>
              </w:rPr>
              <w:t>$1,393</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$1,180</w:t>
            </w:r>
          </w:p>
        </w:tc>
        <w:tc>
          <w:tcPr>
            <w:tcW w:w="0" w:type="dxa"/>
            <w:vAlign w:val="bottom"/>
          </w:tcPr>
          <w:p>
            <w:pPr>
              <w:spacing w:after="0"/>
              <w:rPr>
                <w:sz w:val="1"/>
                <w:szCs w:val="1"/>
                <w:color w:val="auto"/>
              </w:rPr>
            </w:pPr>
          </w:p>
        </w:tc>
      </w:tr>
      <w:tr>
        <w:trPr>
          <w:trHeight w:val="189"/>
        </w:trPr>
        <w:tc>
          <w:tcPr>
            <w:tcW w:w="168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(1,841)</w:t>
            </w:r>
          </w:p>
        </w:tc>
        <w:tc>
          <w:tcPr>
            <w:tcW w:w="480" w:type="dxa"/>
            <w:vAlign w:val="bottom"/>
          </w:tcPr>
          <w:p>
            <w:pPr>
              <w:jc w:val="right"/>
              <w:spacing w:after="0"/>
              <w:rPr>
                <w:sz w:val="20"/>
                <w:szCs w:val="20"/>
                <w:color w:val="auto"/>
              </w:rPr>
            </w:pPr>
            <w:r>
              <w:rPr>
                <w:rFonts w:ascii="Arial" w:cs="Arial" w:eastAsia="Arial" w:hAnsi="Arial"/>
                <w:sz w:val="14"/>
                <w:szCs w:val="14"/>
                <w:color w:val="auto"/>
                <w:w w:val="99"/>
              </w:rPr>
              <w:t>(1,574)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(106)</w:t>
            </w:r>
          </w:p>
        </w:tc>
        <w:tc>
          <w:tcPr>
            <w:tcW w:w="3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4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(273)</w:t>
            </w: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4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8"/>
              <w:spacing w:after="0"/>
              <w:rPr>
                <w:sz w:val="20"/>
                <w:szCs w:val="20"/>
                <w:color w:val="auto"/>
              </w:rPr>
            </w:pPr>
            <w:r>
              <w:rPr>
                <w:rFonts w:ascii="Arial" w:cs="Arial" w:eastAsia="Arial" w:hAnsi="Arial"/>
                <w:sz w:val="14"/>
                <w:szCs w:val="14"/>
                <w:color w:val="auto"/>
              </w:rPr>
              <w:t>(2,000)</w:t>
            </w:r>
          </w:p>
        </w:tc>
        <w:tc>
          <w:tcPr>
            <w:tcW w:w="640" w:type="dxa"/>
            <w:vAlign w:val="bottom"/>
          </w:tcPr>
          <w:p>
            <w:pPr>
              <w:jc w:val="right"/>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189"/>
        </w:trPr>
        <w:tc>
          <w:tcPr>
            <w:tcW w:w="168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Financing activities</w:t>
            </w:r>
          </w:p>
        </w:tc>
        <w:tc>
          <w:tcPr>
            <w:tcW w:w="1100" w:type="dxa"/>
            <w:vAlign w:val="bottom"/>
            <w:tcBorders>
              <w:bottom w:val="single" w:sz="8" w:color="828282"/>
            </w:tcBorders>
            <w:shd w:val="clear" w:color="auto" w:fill="E5E5E5"/>
          </w:tcPr>
          <w:p>
            <w:pPr>
              <w:jc w:val="right"/>
              <w:ind w:right="268"/>
              <w:spacing w:after="0"/>
              <w:rPr>
                <w:sz w:val="20"/>
                <w:szCs w:val="20"/>
                <w:color w:val="auto"/>
              </w:rPr>
            </w:pPr>
            <w:r>
              <w:rPr>
                <w:rFonts w:ascii="Arial" w:cs="Arial" w:eastAsia="Arial" w:hAnsi="Arial"/>
                <w:sz w:val="14"/>
                <w:szCs w:val="14"/>
                <w:color w:val="auto"/>
              </w:rPr>
              <w:t>663</w:t>
            </w:r>
          </w:p>
        </w:tc>
        <w:tc>
          <w:tcPr>
            <w:tcW w:w="48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762</w:t>
            </w:r>
          </w:p>
        </w:tc>
        <w:tc>
          <w:tcPr>
            <w:tcW w:w="20" w:type="dxa"/>
            <w:vAlign w:val="bottom"/>
            <w:tcBorders>
              <w:bottom w:val="single" w:sz="8" w:color="828282"/>
            </w:tcBorders>
            <w:shd w:val="clear" w:color="auto" w:fill="E5E5E5"/>
          </w:tcPr>
          <w:p>
            <w:pPr>
              <w:spacing w:after="0"/>
              <w:rPr>
                <w:sz w:val="16"/>
                <w:szCs w:val="16"/>
                <w:color w:val="auto"/>
              </w:rPr>
            </w:pPr>
          </w:p>
        </w:tc>
        <w:tc>
          <w:tcPr>
            <w:tcW w:w="76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16</w:t>
            </w:r>
          </w:p>
        </w:tc>
        <w:tc>
          <w:tcPr>
            <w:tcW w:w="320" w:type="dxa"/>
            <w:vAlign w:val="bottom"/>
            <w:tcBorders>
              <w:bottom w:val="single" w:sz="8" w:color="828282"/>
            </w:tcBorders>
            <w:shd w:val="clear" w:color="auto" w:fill="E5E5E5"/>
          </w:tcPr>
          <w:p>
            <w:pPr>
              <w:spacing w:after="0"/>
              <w:rPr>
                <w:sz w:val="16"/>
                <w:szCs w:val="16"/>
                <w:color w:val="auto"/>
              </w:rPr>
            </w:pPr>
          </w:p>
        </w:tc>
        <w:tc>
          <w:tcPr>
            <w:tcW w:w="48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8</w:t>
            </w:r>
          </w:p>
        </w:tc>
        <w:tc>
          <w:tcPr>
            <w:tcW w:w="20" w:type="dxa"/>
            <w:vAlign w:val="bottom"/>
            <w:tcBorders>
              <w:bottom w:val="single" w:sz="8" w:color="828282"/>
            </w:tcBorders>
            <w:shd w:val="clear" w:color="auto" w:fill="E5E5E5"/>
          </w:tcPr>
          <w:p>
            <w:pPr>
              <w:spacing w:after="0"/>
              <w:rPr>
                <w:sz w:val="16"/>
                <w:szCs w:val="16"/>
                <w:color w:val="auto"/>
              </w:rPr>
            </w:pPr>
          </w:p>
        </w:tc>
        <w:tc>
          <w:tcPr>
            <w:tcW w:w="7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131</w:t>
            </w:r>
          </w:p>
        </w:tc>
        <w:tc>
          <w:tcPr>
            <w:tcW w:w="420" w:type="dxa"/>
            <w:vAlign w:val="bottom"/>
            <w:tcBorders>
              <w:bottom w:val="single" w:sz="8" w:color="828282"/>
            </w:tcBorders>
            <w:shd w:val="clear" w:color="auto" w:fill="E5E5E5"/>
          </w:tcPr>
          <w:p>
            <w:pPr>
              <w:spacing w:after="0"/>
              <w:rPr>
                <w:sz w:val="16"/>
                <w:szCs w:val="16"/>
                <w:color w:val="auto"/>
              </w:rPr>
            </w:pPr>
          </w:p>
        </w:tc>
        <w:tc>
          <w:tcPr>
            <w:tcW w:w="38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(405)</w:t>
            </w:r>
          </w:p>
        </w:tc>
        <w:tc>
          <w:tcPr>
            <w:tcW w:w="80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(501)</w:t>
            </w:r>
          </w:p>
        </w:tc>
        <w:tc>
          <w:tcPr>
            <w:tcW w:w="400" w:type="dxa"/>
            <w:vAlign w:val="bottom"/>
            <w:tcBorders>
              <w:bottom w:val="single" w:sz="8" w:color="828282"/>
            </w:tcBorders>
            <w:shd w:val="clear" w:color="auto" w:fill="E5E5E5"/>
          </w:tcPr>
          <w:p>
            <w:pPr>
              <w:spacing w:after="0"/>
              <w:rPr>
                <w:sz w:val="16"/>
                <w:szCs w:val="16"/>
                <w:color w:val="auto"/>
              </w:rPr>
            </w:pPr>
          </w:p>
        </w:tc>
        <w:tc>
          <w:tcPr>
            <w:tcW w:w="38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7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40</w:t>
            </w:r>
          </w:p>
        </w:tc>
        <w:tc>
          <w:tcPr>
            <w:tcW w:w="340" w:type="dxa"/>
            <w:vAlign w:val="bottom"/>
            <w:tcBorders>
              <w:bottom w:val="single" w:sz="8" w:color="828282"/>
            </w:tcBorders>
            <w:shd w:val="clear" w:color="auto" w:fill="E5E5E5"/>
          </w:tcPr>
          <w:p>
            <w:pPr>
              <w:spacing w:after="0"/>
              <w:rPr>
                <w:sz w:val="16"/>
                <w:szCs w:val="16"/>
                <w:color w:val="auto"/>
              </w:rPr>
            </w:pPr>
          </w:p>
        </w:tc>
        <w:tc>
          <w:tcPr>
            <w:tcW w:w="460" w:type="dxa"/>
            <w:vAlign w:val="bottom"/>
            <w:tcBorders>
              <w:bottom w:val="single" w:sz="8" w:color="828282"/>
            </w:tcBorders>
            <w:shd w:val="clear" w:color="auto" w:fill="E5E5E5"/>
          </w:tcPr>
          <w:p>
            <w:pPr>
              <w:jc w:val="right"/>
              <w:spacing w:after="0"/>
              <w:rPr>
                <w:sz w:val="20"/>
                <w:szCs w:val="20"/>
                <w:color w:val="auto"/>
              </w:rPr>
            </w:pPr>
            <w:r>
              <w:rPr>
                <w:rFonts w:ascii="Arial" w:cs="Arial" w:eastAsia="Arial" w:hAnsi="Arial"/>
                <w:sz w:val="14"/>
                <w:szCs w:val="14"/>
                <w:color w:val="auto"/>
              </w:rPr>
              <w:t>521</w:t>
            </w:r>
          </w:p>
        </w:tc>
        <w:tc>
          <w:tcPr>
            <w:tcW w:w="20" w:type="dxa"/>
            <w:vAlign w:val="bottom"/>
            <w:tcBorders>
              <w:bottom w:val="single" w:sz="8" w:color="828282"/>
            </w:tcBorders>
            <w:shd w:val="clear" w:color="auto" w:fill="E5E5E5"/>
          </w:tcPr>
          <w:p>
            <w:pPr>
              <w:spacing w:after="0"/>
              <w:rPr>
                <w:sz w:val="16"/>
                <w:szCs w:val="16"/>
                <w:color w:val="auto"/>
              </w:rPr>
            </w:pPr>
          </w:p>
        </w:tc>
        <w:tc>
          <w:tcPr>
            <w:tcW w:w="940" w:type="dxa"/>
            <w:vAlign w:val="bottom"/>
            <w:tcBorders>
              <w:bottom w:val="single" w:sz="8" w:color="8C8272"/>
            </w:tcBorders>
            <w:shd w:val="clear" w:color="auto" w:fill="E5E5E5"/>
          </w:tcPr>
          <w:p>
            <w:pPr>
              <w:jc w:val="right"/>
              <w:ind w:right="108"/>
              <w:spacing w:after="0"/>
              <w:rPr>
                <w:sz w:val="20"/>
                <w:szCs w:val="20"/>
                <w:color w:val="auto"/>
              </w:rPr>
            </w:pPr>
            <w:r>
              <w:rPr>
                <w:rFonts w:ascii="Arial" w:cs="Arial" w:eastAsia="Arial" w:hAnsi="Arial"/>
                <w:sz w:val="14"/>
                <w:szCs w:val="14"/>
                <w:color w:val="auto"/>
              </w:rPr>
              <w:t>349</w:t>
            </w:r>
          </w:p>
        </w:tc>
        <w:tc>
          <w:tcPr>
            <w:tcW w:w="6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147"/>
        </w:trPr>
        <w:tc>
          <w:tcPr>
            <w:tcW w:w="1680" w:type="dxa"/>
            <w:vAlign w:val="bottom"/>
          </w:tcPr>
          <w:p>
            <w:pPr>
              <w:ind w:left="140"/>
              <w:spacing w:after="0" w:line="147" w:lineRule="exact"/>
              <w:rPr>
                <w:sz w:val="20"/>
                <w:szCs w:val="20"/>
                <w:color w:val="auto"/>
              </w:rPr>
            </w:pPr>
            <w:r>
              <w:rPr>
                <w:rFonts w:ascii="Arial" w:cs="Arial" w:eastAsia="Arial" w:hAnsi="Arial"/>
                <w:sz w:val="14"/>
                <w:szCs w:val="14"/>
                <w:color w:val="auto"/>
              </w:rPr>
              <w:t>Net change for the</w:t>
            </w:r>
          </w:p>
        </w:tc>
        <w:tc>
          <w:tcPr>
            <w:tcW w:w="1100" w:type="dxa"/>
            <w:vAlign w:val="bottom"/>
            <w:vMerge w:val="restart"/>
          </w:tcPr>
          <w:p>
            <w:pPr>
              <w:jc w:val="right"/>
              <w:ind w:right="268"/>
              <w:spacing w:after="0"/>
              <w:rPr>
                <w:sz w:val="20"/>
                <w:szCs w:val="20"/>
                <w:color w:val="auto"/>
              </w:rPr>
            </w:pPr>
            <w:r>
              <w:rPr>
                <w:rFonts w:ascii="Arial" w:cs="Arial" w:eastAsia="Arial" w:hAnsi="Arial"/>
                <w:sz w:val="14"/>
                <w:szCs w:val="14"/>
                <w:color w:val="auto"/>
              </w:rPr>
              <w:t>(82)</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163</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(18)</w:t>
            </w:r>
          </w:p>
        </w:tc>
        <w:tc>
          <w:tcPr>
            <w:tcW w:w="3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(58)</w:t>
            </w:r>
          </w:p>
        </w:tc>
        <w:tc>
          <w:tcPr>
            <w:tcW w:w="4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3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96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(258)</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71"/>
        </w:trPr>
        <w:tc>
          <w:tcPr>
            <w:tcW w:w="1680" w:type="dxa"/>
            <w:vAlign w:val="bottom"/>
            <w:tcBorders>
              <w:bottom w:val="single" w:sz="8" w:color="8C8272"/>
            </w:tcBorders>
          </w:tcPr>
          <w:p>
            <w:pPr>
              <w:ind w:left="140"/>
              <w:spacing w:after="0"/>
              <w:rPr>
                <w:sz w:val="20"/>
                <w:szCs w:val="20"/>
                <w:color w:val="auto"/>
              </w:rPr>
            </w:pPr>
            <w:r>
              <w:rPr>
                <w:rFonts w:ascii="Arial" w:cs="Arial" w:eastAsia="Arial" w:hAnsi="Arial"/>
                <w:sz w:val="14"/>
                <w:szCs w:val="14"/>
                <w:color w:val="auto"/>
              </w:rPr>
              <w:t>period</w:t>
            </w:r>
          </w:p>
        </w:tc>
        <w:tc>
          <w:tcPr>
            <w:tcW w:w="1100" w:type="dxa"/>
            <w:vAlign w:val="bottom"/>
            <w:tcBorders>
              <w:bottom w:val="single" w:sz="8" w:color="8C8272"/>
            </w:tcBorders>
            <w:vMerge w:val="continue"/>
          </w:tcPr>
          <w:p>
            <w:pPr>
              <w:spacing w:after="0"/>
              <w:rPr>
                <w:sz w:val="14"/>
                <w:szCs w:val="14"/>
                <w:color w:val="auto"/>
              </w:rPr>
            </w:pPr>
          </w:p>
        </w:tc>
        <w:tc>
          <w:tcPr>
            <w:tcW w:w="480" w:type="dxa"/>
            <w:vAlign w:val="bottom"/>
            <w:tcBorders>
              <w:bottom w:val="single" w:sz="8" w:color="8C8272"/>
            </w:tcBorders>
            <w:vMerge w:val="continue"/>
          </w:tcPr>
          <w:p>
            <w:pPr>
              <w:spacing w:after="0"/>
              <w:rPr>
                <w:sz w:val="14"/>
                <w:szCs w:val="14"/>
                <w:color w:val="auto"/>
              </w:rPr>
            </w:pPr>
          </w:p>
        </w:tc>
        <w:tc>
          <w:tcPr>
            <w:tcW w:w="780" w:type="dxa"/>
            <w:vAlign w:val="bottom"/>
            <w:tcBorders>
              <w:bottom w:val="single" w:sz="8" w:color="8C8272"/>
            </w:tcBorders>
            <w:gridSpan w:val="2"/>
            <w:vMerge w:val="continue"/>
          </w:tcPr>
          <w:p>
            <w:pPr>
              <w:spacing w:after="0"/>
              <w:rPr>
                <w:sz w:val="14"/>
                <w:szCs w:val="14"/>
                <w:color w:val="auto"/>
              </w:rPr>
            </w:pPr>
          </w:p>
        </w:tc>
        <w:tc>
          <w:tcPr>
            <w:tcW w:w="320" w:type="dxa"/>
            <w:vAlign w:val="bottom"/>
            <w:tcBorders>
              <w:bottom w:val="single" w:sz="8" w:color="8C8272"/>
            </w:tcBorders>
          </w:tcPr>
          <w:p>
            <w:pPr>
              <w:spacing w:after="0"/>
              <w:rPr>
                <w:sz w:val="14"/>
                <w:szCs w:val="14"/>
                <w:color w:val="auto"/>
              </w:rPr>
            </w:pPr>
          </w:p>
        </w:tc>
        <w:tc>
          <w:tcPr>
            <w:tcW w:w="480" w:type="dxa"/>
            <w:vAlign w:val="bottom"/>
            <w:tcBorders>
              <w:bottom w:val="single" w:sz="8" w:color="8C8272"/>
            </w:tcBorders>
            <w:vMerge w:val="continue"/>
          </w:tcPr>
          <w:p>
            <w:pPr>
              <w:spacing w:after="0"/>
              <w:rPr>
                <w:sz w:val="14"/>
                <w:szCs w:val="14"/>
                <w:color w:val="auto"/>
              </w:rPr>
            </w:pPr>
          </w:p>
        </w:tc>
        <w:tc>
          <w:tcPr>
            <w:tcW w:w="800" w:type="dxa"/>
            <w:vAlign w:val="bottom"/>
            <w:tcBorders>
              <w:bottom w:val="single" w:sz="8" w:color="8C8272"/>
            </w:tcBorders>
            <w:gridSpan w:val="2"/>
            <w:vMerge w:val="continue"/>
          </w:tcPr>
          <w:p>
            <w:pPr>
              <w:spacing w:after="0"/>
              <w:rPr>
                <w:sz w:val="14"/>
                <w:szCs w:val="14"/>
                <w:color w:val="auto"/>
              </w:rPr>
            </w:pPr>
          </w:p>
        </w:tc>
        <w:tc>
          <w:tcPr>
            <w:tcW w:w="420" w:type="dxa"/>
            <w:vAlign w:val="bottom"/>
            <w:tcBorders>
              <w:bottom w:val="single" w:sz="8" w:color="8C8272"/>
            </w:tcBorders>
          </w:tcPr>
          <w:p>
            <w:pPr>
              <w:spacing w:after="0"/>
              <w:rPr>
                <w:sz w:val="14"/>
                <w:szCs w:val="14"/>
                <w:color w:val="auto"/>
              </w:rPr>
            </w:pPr>
          </w:p>
        </w:tc>
        <w:tc>
          <w:tcPr>
            <w:tcW w:w="380" w:type="dxa"/>
            <w:vAlign w:val="bottom"/>
            <w:tcBorders>
              <w:bottom w:val="single" w:sz="8" w:color="8C8272"/>
            </w:tcBorders>
            <w:vMerge w:val="continue"/>
          </w:tcPr>
          <w:p>
            <w:pPr>
              <w:spacing w:after="0"/>
              <w:rPr>
                <w:sz w:val="14"/>
                <w:szCs w:val="14"/>
                <w:color w:val="auto"/>
              </w:rPr>
            </w:pPr>
          </w:p>
        </w:tc>
        <w:tc>
          <w:tcPr>
            <w:tcW w:w="1200" w:type="dxa"/>
            <w:vAlign w:val="bottom"/>
            <w:tcBorders>
              <w:bottom w:val="single" w:sz="8" w:color="8C8272"/>
            </w:tcBorders>
            <w:gridSpan w:val="2"/>
            <w:vMerge w:val="continue"/>
          </w:tcPr>
          <w:p>
            <w:pPr>
              <w:spacing w:after="0"/>
              <w:rPr>
                <w:sz w:val="14"/>
                <w:szCs w:val="14"/>
                <w:color w:val="auto"/>
              </w:rPr>
            </w:pPr>
          </w:p>
        </w:tc>
        <w:tc>
          <w:tcPr>
            <w:tcW w:w="380" w:type="dxa"/>
            <w:vAlign w:val="bottom"/>
            <w:tcBorders>
              <w:bottom w:val="single" w:sz="8" w:color="8C8272"/>
            </w:tcBorders>
            <w:vMerge w:val="continue"/>
          </w:tcPr>
          <w:p>
            <w:pPr>
              <w:spacing w:after="0"/>
              <w:rPr>
                <w:sz w:val="14"/>
                <w:szCs w:val="14"/>
                <w:color w:val="auto"/>
              </w:rPr>
            </w:pPr>
          </w:p>
        </w:tc>
        <w:tc>
          <w:tcPr>
            <w:tcW w:w="780" w:type="dxa"/>
            <w:vAlign w:val="bottom"/>
            <w:tcBorders>
              <w:bottom w:val="single" w:sz="8" w:color="8C8272"/>
            </w:tcBorders>
            <w:vMerge w:val="continue"/>
          </w:tcPr>
          <w:p>
            <w:pPr>
              <w:spacing w:after="0"/>
              <w:rPr>
                <w:sz w:val="14"/>
                <w:szCs w:val="14"/>
                <w:color w:val="auto"/>
              </w:rPr>
            </w:pPr>
          </w:p>
        </w:tc>
        <w:tc>
          <w:tcPr>
            <w:tcW w:w="340" w:type="dxa"/>
            <w:vAlign w:val="bottom"/>
            <w:tcBorders>
              <w:bottom w:val="single" w:sz="8" w:color="8C8272"/>
            </w:tcBorders>
          </w:tcPr>
          <w:p>
            <w:pPr>
              <w:spacing w:after="0"/>
              <w:rPr>
                <w:sz w:val="14"/>
                <w:szCs w:val="14"/>
                <w:color w:val="auto"/>
              </w:rPr>
            </w:pPr>
          </w:p>
        </w:tc>
        <w:tc>
          <w:tcPr>
            <w:tcW w:w="460" w:type="dxa"/>
            <w:vAlign w:val="bottom"/>
            <w:tcBorders>
              <w:bottom w:val="single" w:sz="8" w:color="8C8272"/>
            </w:tcBorders>
            <w:vMerge w:val="continue"/>
          </w:tcPr>
          <w:p>
            <w:pPr>
              <w:spacing w:after="0"/>
              <w:rPr>
                <w:sz w:val="14"/>
                <w:szCs w:val="14"/>
                <w:color w:val="auto"/>
              </w:rPr>
            </w:pPr>
          </w:p>
        </w:tc>
        <w:tc>
          <w:tcPr>
            <w:tcW w:w="960" w:type="dxa"/>
            <w:vAlign w:val="bottom"/>
            <w:tcBorders>
              <w:bottom w:val="single" w:sz="8" w:color="8C8272"/>
            </w:tcBorders>
            <w:gridSpan w:val="2"/>
            <w:vMerge w:val="continue"/>
          </w:tcPr>
          <w:p>
            <w:pPr>
              <w:spacing w:after="0"/>
              <w:rPr>
                <w:sz w:val="14"/>
                <w:szCs w:val="14"/>
                <w:color w:val="auto"/>
              </w:rPr>
            </w:pPr>
          </w:p>
        </w:tc>
        <w:tc>
          <w:tcPr>
            <w:tcW w:w="640" w:type="dxa"/>
            <w:vAlign w:val="bottom"/>
            <w:tcBorders>
              <w:bottom w:val="single" w:sz="8" w:color="8C8272"/>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680" w:type="dxa"/>
            <w:vAlign w:val="bottom"/>
            <w:shd w:val="clear" w:color="auto" w:fill="E5E5E5"/>
          </w:tcPr>
          <w:p>
            <w:pPr>
              <w:ind w:left="20"/>
              <w:spacing w:after="0" w:line="147" w:lineRule="exact"/>
              <w:rPr>
                <w:sz w:val="20"/>
                <w:szCs w:val="20"/>
                <w:color w:val="auto"/>
              </w:rPr>
            </w:pPr>
            <w:r>
              <w:rPr>
                <w:rFonts w:ascii="Arial" w:cs="Arial" w:eastAsia="Arial" w:hAnsi="Arial"/>
                <w:sz w:val="14"/>
                <w:szCs w:val="14"/>
                <w:color w:val="auto"/>
              </w:rPr>
              <w:t>Balance at beginning of</w:t>
            </w:r>
          </w:p>
        </w:tc>
        <w:tc>
          <w:tcPr>
            <w:tcW w:w="1100" w:type="dxa"/>
            <w:vAlign w:val="bottom"/>
            <w:vMerge w:val="restart"/>
            <w:shd w:val="clear" w:color="auto" w:fill="E5E5E5"/>
          </w:tcPr>
          <w:p>
            <w:pPr>
              <w:jc w:val="right"/>
              <w:ind w:right="268"/>
              <w:spacing w:after="0"/>
              <w:rPr>
                <w:sz w:val="20"/>
                <w:szCs w:val="20"/>
                <w:color w:val="auto"/>
              </w:rPr>
            </w:pPr>
            <w:r>
              <w:rPr>
                <w:rFonts w:ascii="Arial" w:cs="Arial" w:eastAsia="Arial" w:hAnsi="Arial"/>
                <w:sz w:val="14"/>
                <w:szCs w:val="14"/>
                <w:color w:val="auto"/>
              </w:rPr>
              <w:t>1,067</w:t>
            </w:r>
          </w:p>
        </w:tc>
        <w:tc>
          <w:tcPr>
            <w:tcW w:w="4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933</w:t>
            </w:r>
          </w:p>
        </w:tc>
        <w:tc>
          <w:tcPr>
            <w:tcW w:w="780" w:type="dxa"/>
            <w:vAlign w:val="bottom"/>
            <w:gridSpan w:val="2"/>
            <w:vMerge w:val="restart"/>
            <w:shd w:val="clear" w:color="auto" w:fill="E5E5E5"/>
          </w:tcPr>
          <w:p>
            <w:pPr>
              <w:jc w:val="right"/>
              <w:spacing w:after="0"/>
              <w:rPr>
                <w:sz w:val="20"/>
                <w:szCs w:val="20"/>
                <w:color w:val="auto"/>
              </w:rPr>
            </w:pPr>
            <w:r>
              <w:rPr>
                <w:rFonts w:ascii="Arial" w:cs="Arial" w:eastAsia="Arial" w:hAnsi="Arial"/>
                <w:sz w:val="14"/>
                <w:szCs w:val="14"/>
                <w:color w:val="auto"/>
              </w:rPr>
              <w:t>37</w:t>
            </w:r>
          </w:p>
        </w:tc>
        <w:tc>
          <w:tcPr>
            <w:tcW w:w="320" w:type="dxa"/>
            <w:vAlign w:val="bottom"/>
            <w:shd w:val="clear" w:color="auto" w:fill="E5E5E5"/>
          </w:tcPr>
          <w:p>
            <w:pPr>
              <w:spacing w:after="0"/>
              <w:rPr>
                <w:sz w:val="12"/>
                <w:szCs w:val="12"/>
                <w:color w:val="auto"/>
              </w:rPr>
            </w:pPr>
          </w:p>
        </w:tc>
        <w:tc>
          <w:tcPr>
            <w:tcW w:w="4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32</w:t>
            </w:r>
          </w:p>
        </w:tc>
        <w:tc>
          <w:tcPr>
            <w:tcW w:w="800" w:type="dxa"/>
            <w:vAlign w:val="bottom"/>
            <w:gridSpan w:val="2"/>
            <w:vMerge w:val="restart"/>
            <w:shd w:val="clear" w:color="auto" w:fill="E5E5E5"/>
          </w:tcPr>
          <w:p>
            <w:pPr>
              <w:jc w:val="right"/>
              <w:spacing w:after="0"/>
              <w:rPr>
                <w:sz w:val="20"/>
                <w:szCs w:val="20"/>
                <w:color w:val="auto"/>
              </w:rPr>
            </w:pPr>
            <w:r>
              <w:rPr>
                <w:rFonts w:ascii="Arial" w:cs="Arial" w:eastAsia="Arial" w:hAnsi="Arial"/>
                <w:sz w:val="14"/>
                <w:szCs w:val="14"/>
                <w:color w:val="auto"/>
              </w:rPr>
              <w:t>187</w:t>
            </w:r>
          </w:p>
        </w:tc>
        <w:tc>
          <w:tcPr>
            <w:tcW w:w="420" w:type="dxa"/>
            <w:vAlign w:val="bottom"/>
            <w:shd w:val="clear" w:color="auto" w:fill="E5E5E5"/>
          </w:tcPr>
          <w:p>
            <w:pPr>
              <w:spacing w:after="0"/>
              <w:rPr>
                <w:sz w:val="12"/>
                <w:szCs w:val="12"/>
                <w:color w:val="auto"/>
              </w:rPr>
            </w:pPr>
          </w:p>
        </w:tc>
        <w:tc>
          <w:tcPr>
            <w:tcW w:w="3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251</w:t>
            </w:r>
          </w:p>
        </w:tc>
        <w:tc>
          <w:tcPr>
            <w:tcW w:w="1200" w:type="dxa"/>
            <w:vAlign w:val="bottom"/>
            <w:gridSpan w:val="2"/>
            <w:vMerge w:val="restart"/>
            <w:shd w:val="clear" w:color="auto" w:fill="E5E5E5"/>
          </w:tcPr>
          <w:p>
            <w:pPr>
              <w:jc w:val="right"/>
              <w:ind w:right="48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145</w:t>
            </w:r>
          </w:p>
        </w:tc>
        <w:tc>
          <w:tcPr>
            <w:tcW w:w="340" w:type="dxa"/>
            <w:vAlign w:val="bottom"/>
            <w:shd w:val="clear" w:color="auto" w:fill="E5E5E5"/>
          </w:tcPr>
          <w:p>
            <w:pPr>
              <w:spacing w:after="0"/>
              <w:rPr>
                <w:sz w:val="12"/>
                <w:szCs w:val="12"/>
                <w:color w:val="auto"/>
              </w:rPr>
            </w:pPr>
          </w:p>
        </w:tc>
        <w:tc>
          <w:tcPr>
            <w:tcW w:w="46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960" w:type="dxa"/>
            <w:vAlign w:val="bottom"/>
            <w:gridSpan w:val="2"/>
            <w:vMerge w:val="restart"/>
            <w:shd w:val="clear" w:color="auto" w:fill="E5E5E5"/>
          </w:tcPr>
          <w:p>
            <w:pPr>
              <w:jc w:val="right"/>
              <w:ind w:right="108"/>
              <w:spacing w:after="0"/>
              <w:rPr>
                <w:sz w:val="20"/>
                <w:szCs w:val="20"/>
                <w:color w:val="auto"/>
              </w:rPr>
            </w:pPr>
            <w:r>
              <w:rPr>
                <w:rFonts w:ascii="Arial" w:cs="Arial" w:eastAsia="Arial" w:hAnsi="Arial"/>
                <w:sz w:val="14"/>
                <w:szCs w:val="14"/>
                <w:color w:val="auto"/>
              </w:rPr>
              <w:t>1,436</w:t>
            </w:r>
          </w:p>
        </w:tc>
        <w:tc>
          <w:tcPr>
            <w:tcW w:w="64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1,217</w:t>
            </w:r>
          </w:p>
        </w:tc>
        <w:tc>
          <w:tcPr>
            <w:tcW w:w="0" w:type="dxa"/>
            <w:vAlign w:val="bottom"/>
          </w:tcPr>
          <w:p>
            <w:pPr>
              <w:spacing w:after="0"/>
              <w:rPr>
                <w:sz w:val="1"/>
                <w:szCs w:val="1"/>
                <w:color w:val="auto"/>
              </w:rPr>
            </w:pPr>
          </w:p>
        </w:tc>
      </w:tr>
      <w:tr>
        <w:trPr>
          <w:trHeight w:val="171"/>
        </w:trPr>
        <w:tc>
          <w:tcPr>
            <w:tcW w:w="168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period</w:t>
            </w:r>
          </w:p>
        </w:tc>
        <w:tc>
          <w:tcPr>
            <w:tcW w:w="1100" w:type="dxa"/>
            <w:vAlign w:val="bottom"/>
            <w:tcBorders>
              <w:bottom w:val="single" w:sz="8" w:color="8C8272"/>
            </w:tcBorders>
            <w:vMerge w:val="continue"/>
            <w:shd w:val="clear" w:color="auto" w:fill="E5E5E5"/>
          </w:tcPr>
          <w:p>
            <w:pPr>
              <w:spacing w:after="0"/>
              <w:rPr>
                <w:sz w:val="14"/>
                <w:szCs w:val="14"/>
                <w:color w:val="auto"/>
              </w:rPr>
            </w:pPr>
          </w:p>
        </w:tc>
        <w:tc>
          <w:tcPr>
            <w:tcW w:w="480" w:type="dxa"/>
            <w:vAlign w:val="bottom"/>
            <w:tcBorders>
              <w:bottom w:val="single" w:sz="8" w:color="8C8272"/>
            </w:tcBorders>
            <w:vMerge w:val="continue"/>
            <w:shd w:val="clear" w:color="auto" w:fill="E5E5E5"/>
          </w:tcPr>
          <w:p>
            <w:pPr>
              <w:spacing w:after="0"/>
              <w:rPr>
                <w:sz w:val="14"/>
                <w:szCs w:val="14"/>
                <w:color w:val="auto"/>
              </w:rPr>
            </w:pPr>
          </w:p>
        </w:tc>
        <w:tc>
          <w:tcPr>
            <w:tcW w:w="780" w:type="dxa"/>
            <w:vAlign w:val="bottom"/>
            <w:tcBorders>
              <w:bottom w:val="single" w:sz="8" w:color="8C8272"/>
            </w:tcBorders>
            <w:gridSpan w:val="2"/>
            <w:vMerge w:val="continue"/>
            <w:shd w:val="clear" w:color="auto" w:fill="E5E5E5"/>
          </w:tcPr>
          <w:p>
            <w:pPr>
              <w:spacing w:after="0"/>
              <w:rPr>
                <w:sz w:val="14"/>
                <w:szCs w:val="14"/>
                <w:color w:val="auto"/>
              </w:rPr>
            </w:pPr>
          </w:p>
        </w:tc>
        <w:tc>
          <w:tcPr>
            <w:tcW w:w="320" w:type="dxa"/>
            <w:vAlign w:val="bottom"/>
            <w:tcBorders>
              <w:bottom w:val="single" w:sz="8" w:color="8C8272"/>
            </w:tcBorders>
            <w:shd w:val="clear" w:color="auto" w:fill="E5E5E5"/>
          </w:tcPr>
          <w:p>
            <w:pPr>
              <w:spacing w:after="0"/>
              <w:rPr>
                <w:sz w:val="14"/>
                <w:szCs w:val="14"/>
                <w:color w:val="auto"/>
              </w:rPr>
            </w:pPr>
          </w:p>
        </w:tc>
        <w:tc>
          <w:tcPr>
            <w:tcW w:w="480" w:type="dxa"/>
            <w:vAlign w:val="bottom"/>
            <w:tcBorders>
              <w:bottom w:val="single" w:sz="8" w:color="8C8272"/>
            </w:tcBorders>
            <w:vMerge w:val="continue"/>
            <w:shd w:val="clear" w:color="auto" w:fill="E5E5E5"/>
          </w:tcPr>
          <w:p>
            <w:pPr>
              <w:spacing w:after="0"/>
              <w:rPr>
                <w:sz w:val="14"/>
                <w:szCs w:val="14"/>
                <w:color w:val="auto"/>
              </w:rPr>
            </w:pPr>
          </w:p>
        </w:tc>
        <w:tc>
          <w:tcPr>
            <w:tcW w:w="800" w:type="dxa"/>
            <w:vAlign w:val="bottom"/>
            <w:tcBorders>
              <w:bottom w:val="single" w:sz="8" w:color="8C8272"/>
            </w:tcBorders>
            <w:gridSpan w:val="2"/>
            <w:vMerge w:val="continue"/>
            <w:shd w:val="clear" w:color="auto" w:fill="E5E5E5"/>
          </w:tcPr>
          <w:p>
            <w:pPr>
              <w:spacing w:after="0"/>
              <w:rPr>
                <w:sz w:val="14"/>
                <w:szCs w:val="14"/>
                <w:color w:val="auto"/>
              </w:rPr>
            </w:pPr>
          </w:p>
        </w:tc>
        <w:tc>
          <w:tcPr>
            <w:tcW w:w="420" w:type="dxa"/>
            <w:vAlign w:val="bottom"/>
            <w:tcBorders>
              <w:bottom w:val="single" w:sz="8" w:color="8C8272"/>
            </w:tcBorders>
            <w:shd w:val="clear" w:color="auto" w:fill="E5E5E5"/>
          </w:tcPr>
          <w:p>
            <w:pPr>
              <w:spacing w:after="0"/>
              <w:rPr>
                <w:sz w:val="14"/>
                <w:szCs w:val="14"/>
                <w:color w:val="auto"/>
              </w:rPr>
            </w:pPr>
          </w:p>
        </w:tc>
        <w:tc>
          <w:tcPr>
            <w:tcW w:w="380" w:type="dxa"/>
            <w:vAlign w:val="bottom"/>
            <w:tcBorders>
              <w:bottom w:val="single" w:sz="8" w:color="8C8272"/>
            </w:tcBorders>
            <w:vMerge w:val="continue"/>
            <w:shd w:val="clear" w:color="auto" w:fill="E5E5E5"/>
          </w:tcPr>
          <w:p>
            <w:pPr>
              <w:spacing w:after="0"/>
              <w:rPr>
                <w:sz w:val="14"/>
                <w:szCs w:val="14"/>
                <w:color w:val="auto"/>
              </w:rPr>
            </w:pPr>
          </w:p>
        </w:tc>
        <w:tc>
          <w:tcPr>
            <w:tcW w:w="1200" w:type="dxa"/>
            <w:vAlign w:val="bottom"/>
            <w:tcBorders>
              <w:bottom w:val="single" w:sz="8" w:color="8C8272"/>
            </w:tcBorders>
            <w:gridSpan w:val="2"/>
            <w:vMerge w:val="continue"/>
            <w:shd w:val="clear" w:color="auto" w:fill="E5E5E5"/>
          </w:tcPr>
          <w:p>
            <w:pPr>
              <w:spacing w:after="0"/>
              <w:rPr>
                <w:sz w:val="14"/>
                <w:szCs w:val="14"/>
                <w:color w:val="auto"/>
              </w:rPr>
            </w:pPr>
          </w:p>
        </w:tc>
        <w:tc>
          <w:tcPr>
            <w:tcW w:w="380" w:type="dxa"/>
            <w:vAlign w:val="bottom"/>
            <w:tcBorders>
              <w:bottom w:val="single" w:sz="8" w:color="8C8272"/>
            </w:tcBorders>
            <w:vMerge w:val="continue"/>
            <w:shd w:val="clear" w:color="auto" w:fill="E5E5E5"/>
          </w:tcPr>
          <w:p>
            <w:pPr>
              <w:spacing w:after="0"/>
              <w:rPr>
                <w:sz w:val="14"/>
                <w:szCs w:val="14"/>
                <w:color w:val="auto"/>
              </w:rPr>
            </w:pPr>
          </w:p>
        </w:tc>
        <w:tc>
          <w:tcPr>
            <w:tcW w:w="780" w:type="dxa"/>
            <w:vAlign w:val="bottom"/>
            <w:tcBorders>
              <w:bottom w:val="single" w:sz="8" w:color="8C8272"/>
            </w:tcBorders>
            <w:vMerge w:val="continue"/>
            <w:shd w:val="clear" w:color="auto" w:fill="E5E5E5"/>
          </w:tcPr>
          <w:p>
            <w:pPr>
              <w:spacing w:after="0"/>
              <w:rPr>
                <w:sz w:val="14"/>
                <w:szCs w:val="14"/>
                <w:color w:val="auto"/>
              </w:rPr>
            </w:pPr>
          </w:p>
        </w:tc>
        <w:tc>
          <w:tcPr>
            <w:tcW w:w="340" w:type="dxa"/>
            <w:vAlign w:val="bottom"/>
            <w:tcBorders>
              <w:bottom w:val="single" w:sz="8" w:color="8C8272"/>
            </w:tcBorders>
            <w:shd w:val="clear" w:color="auto" w:fill="E5E5E5"/>
          </w:tcPr>
          <w:p>
            <w:pPr>
              <w:spacing w:after="0"/>
              <w:rPr>
                <w:sz w:val="14"/>
                <w:szCs w:val="14"/>
                <w:color w:val="auto"/>
              </w:rPr>
            </w:pPr>
          </w:p>
        </w:tc>
        <w:tc>
          <w:tcPr>
            <w:tcW w:w="460" w:type="dxa"/>
            <w:vAlign w:val="bottom"/>
            <w:tcBorders>
              <w:bottom w:val="single" w:sz="8" w:color="8C8272"/>
            </w:tcBorders>
            <w:vMerge w:val="continue"/>
            <w:shd w:val="clear" w:color="auto" w:fill="E5E5E5"/>
          </w:tcPr>
          <w:p>
            <w:pPr>
              <w:spacing w:after="0"/>
              <w:rPr>
                <w:sz w:val="14"/>
                <w:szCs w:val="14"/>
                <w:color w:val="auto"/>
              </w:rPr>
            </w:pPr>
          </w:p>
        </w:tc>
        <w:tc>
          <w:tcPr>
            <w:tcW w:w="960" w:type="dxa"/>
            <w:vAlign w:val="bottom"/>
            <w:tcBorders>
              <w:bottom w:val="single" w:sz="8" w:color="8C8272"/>
            </w:tcBorders>
            <w:gridSpan w:val="2"/>
            <w:vMerge w:val="continue"/>
            <w:shd w:val="clear" w:color="auto" w:fill="E5E5E5"/>
          </w:tcPr>
          <w:p>
            <w:pPr>
              <w:spacing w:after="0"/>
              <w:rPr>
                <w:sz w:val="14"/>
                <w:szCs w:val="14"/>
                <w:color w:val="auto"/>
              </w:rPr>
            </w:pPr>
          </w:p>
        </w:tc>
        <w:tc>
          <w:tcPr>
            <w:tcW w:w="640" w:type="dxa"/>
            <w:vAlign w:val="bottom"/>
            <w:tcBorders>
              <w:bottom w:val="single" w:sz="8" w:color="8C8272"/>
            </w:tcBorders>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680" w:type="dxa"/>
            <w:vAlign w:val="bottom"/>
          </w:tcPr>
          <w:p>
            <w:pPr>
              <w:ind w:left="20"/>
              <w:spacing w:after="0" w:line="147" w:lineRule="exact"/>
              <w:rPr>
                <w:sz w:val="20"/>
                <w:szCs w:val="20"/>
                <w:color w:val="auto"/>
              </w:rPr>
            </w:pPr>
            <w:r>
              <w:rPr>
                <w:rFonts w:ascii="Arial" w:cs="Arial" w:eastAsia="Arial" w:hAnsi="Arial"/>
                <w:sz w:val="14"/>
                <w:szCs w:val="14"/>
                <w:color w:val="auto"/>
              </w:rPr>
              <w:t>Balance at end of period</w:t>
            </w:r>
          </w:p>
        </w:tc>
        <w:tc>
          <w:tcPr>
            <w:tcW w:w="1100" w:type="dxa"/>
            <w:vAlign w:val="bottom"/>
            <w:vMerge w:val="restart"/>
          </w:tcPr>
          <w:p>
            <w:pPr>
              <w:jc w:val="right"/>
              <w:ind w:right="268"/>
              <w:spacing w:after="0"/>
              <w:rPr>
                <w:sz w:val="20"/>
                <w:szCs w:val="20"/>
                <w:color w:val="auto"/>
              </w:rPr>
            </w:pPr>
            <w:r>
              <w:rPr>
                <w:rFonts w:ascii="Arial" w:cs="Arial" w:eastAsia="Arial" w:hAnsi="Arial"/>
                <w:sz w:val="14"/>
                <w:szCs w:val="14"/>
                <w:color w:val="auto"/>
              </w:rPr>
              <w:t>$985</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$1,096</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$19</w:t>
            </w:r>
          </w:p>
        </w:tc>
        <w:tc>
          <w:tcPr>
            <w:tcW w:w="3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$129</w:t>
            </w:r>
          </w:p>
        </w:tc>
        <w:tc>
          <w:tcPr>
            <w:tcW w:w="4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$226</w:t>
            </w: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3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96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$1,178</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$1,345</w:t>
            </w:r>
          </w:p>
        </w:tc>
        <w:tc>
          <w:tcPr>
            <w:tcW w:w="0" w:type="dxa"/>
            <w:vAlign w:val="bottom"/>
          </w:tcPr>
          <w:p>
            <w:pPr>
              <w:spacing w:after="0"/>
              <w:rPr>
                <w:sz w:val="1"/>
                <w:szCs w:val="1"/>
                <w:color w:val="auto"/>
              </w:rPr>
            </w:pPr>
          </w:p>
        </w:tc>
      </w:tr>
      <w:tr>
        <w:trPr>
          <w:trHeight w:val="171"/>
        </w:trPr>
        <w:tc>
          <w:tcPr>
            <w:tcW w:w="1680" w:type="dxa"/>
            <w:vAlign w:val="bottom"/>
            <w:tcBorders>
              <w:bottom w:val="single" w:sz="8" w:color="ACACAC"/>
            </w:tcBorders>
          </w:tcPr>
          <w:p>
            <w:pPr>
              <w:ind w:left="20"/>
              <w:spacing w:after="0"/>
              <w:rPr>
                <w:sz w:val="20"/>
                <w:szCs w:val="20"/>
                <w:color w:val="auto"/>
              </w:rPr>
            </w:pPr>
            <w:r>
              <w:rPr>
                <w:rFonts w:ascii="Arial" w:cs="Arial" w:eastAsia="Arial" w:hAnsi="Arial"/>
                <w:sz w:val="14"/>
                <w:szCs w:val="14"/>
                <w:color w:val="auto"/>
              </w:rPr>
              <w:t>(c)</w:t>
            </w:r>
          </w:p>
        </w:tc>
        <w:tc>
          <w:tcPr>
            <w:tcW w:w="1100" w:type="dxa"/>
            <w:vAlign w:val="bottom"/>
            <w:tcBorders>
              <w:bottom w:val="single" w:sz="8" w:color="ACACAC"/>
            </w:tcBorders>
            <w:vMerge w:val="continue"/>
          </w:tcPr>
          <w:p>
            <w:pPr>
              <w:spacing w:after="0"/>
              <w:rPr>
                <w:sz w:val="14"/>
                <w:szCs w:val="14"/>
                <w:color w:val="auto"/>
              </w:rPr>
            </w:pPr>
          </w:p>
        </w:tc>
        <w:tc>
          <w:tcPr>
            <w:tcW w:w="480" w:type="dxa"/>
            <w:vAlign w:val="bottom"/>
            <w:tcBorders>
              <w:bottom w:val="single" w:sz="8" w:color="ACACAC"/>
            </w:tcBorders>
            <w:vMerge w:val="continue"/>
          </w:tcPr>
          <w:p>
            <w:pPr>
              <w:spacing w:after="0"/>
              <w:rPr>
                <w:sz w:val="14"/>
                <w:szCs w:val="14"/>
                <w:color w:val="auto"/>
              </w:rPr>
            </w:pPr>
          </w:p>
        </w:tc>
        <w:tc>
          <w:tcPr>
            <w:tcW w:w="780" w:type="dxa"/>
            <w:vAlign w:val="bottom"/>
            <w:tcBorders>
              <w:bottom w:val="single" w:sz="8" w:color="ACACAC"/>
            </w:tcBorders>
            <w:gridSpan w:val="2"/>
            <w:vMerge w:val="continue"/>
          </w:tcPr>
          <w:p>
            <w:pPr>
              <w:spacing w:after="0"/>
              <w:rPr>
                <w:sz w:val="14"/>
                <w:szCs w:val="14"/>
                <w:color w:val="auto"/>
              </w:rPr>
            </w:pPr>
          </w:p>
        </w:tc>
        <w:tc>
          <w:tcPr>
            <w:tcW w:w="320" w:type="dxa"/>
            <w:vAlign w:val="bottom"/>
            <w:tcBorders>
              <w:bottom w:val="single" w:sz="8" w:color="ACACAC"/>
            </w:tcBorders>
          </w:tcPr>
          <w:p>
            <w:pPr>
              <w:spacing w:after="0"/>
              <w:rPr>
                <w:sz w:val="14"/>
                <w:szCs w:val="14"/>
                <w:color w:val="auto"/>
              </w:rPr>
            </w:pPr>
          </w:p>
        </w:tc>
        <w:tc>
          <w:tcPr>
            <w:tcW w:w="480" w:type="dxa"/>
            <w:vAlign w:val="bottom"/>
            <w:tcBorders>
              <w:bottom w:val="single" w:sz="8" w:color="ACACAC"/>
            </w:tcBorders>
            <w:vMerge w:val="continue"/>
          </w:tcPr>
          <w:p>
            <w:pPr>
              <w:spacing w:after="0"/>
              <w:rPr>
                <w:sz w:val="14"/>
                <w:szCs w:val="14"/>
                <w:color w:val="auto"/>
              </w:rPr>
            </w:pPr>
          </w:p>
        </w:tc>
        <w:tc>
          <w:tcPr>
            <w:tcW w:w="800" w:type="dxa"/>
            <w:vAlign w:val="bottom"/>
            <w:tcBorders>
              <w:bottom w:val="single" w:sz="8" w:color="ACACAC"/>
            </w:tcBorders>
            <w:gridSpan w:val="2"/>
            <w:vMerge w:val="continue"/>
          </w:tcPr>
          <w:p>
            <w:pPr>
              <w:spacing w:after="0"/>
              <w:rPr>
                <w:sz w:val="14"/>
                <w:szCs w:val="14"/>
                <w:color w:val="auto"/>
              </w:rPr>
            </w:pPr>
          </w:p>
        </w:tc>
        <w:tc>
          <w:tcPr>
            <w:tcW w:w="420" w:type="dxa"/>
            <w:vAlign w:val="bottom"/>
            <w:tcBorders>
              <w:bottom w:val="single" w:sz="8" w:color="ACACAC"/>
            </w:tcBorders>
          </w:tcPr>
          <w:p>
            <w:pPr>
              <w:spacing w:after="0"/>
              <w:rPr>
                <w:sz w:val="14"/>
                <w:szCs w:val="14"/>
                <w:color w:val="auto"/>
              </w:rPr>
            </w:pPr>
          </w:p>
        </w:tc>
        <w:tc>
          <w:tcPr>
            <w:tcW w:w="380" w:type="dxa"/>
            <w:vAlign w:val="bottom"/>
            <w:tcBorders>
              <w:bottom w:val="single" w:sz="8" w:color="ACACAC"/>
            </w:tcBorders>
            <w:vMerge w:val="continue"/>
          </w:tcPr>
          <w:p>
            <w:pPr>
              <w:spacing w:after="0"/>
              <w:rPr>
                <w:sz w:val="14"/>
                <w:szCs w:val="14"/>
                <w:color w:val="auto"/>
              </w:rPr>
            </w:pPr>
          </w:p>
        </w:tc>
        <w:tc>
          <w:tcPr>
            <w:tcW w:w="1200" w:type="dxa"/>
            <w:vAlign w:val="bottom"/>
            <w:tcBorders>
              <w:bottom w:val="single" w:sz="8" w:color="ACACAC"/>
            </w:tcBorders>
            <w:gridSpan w:val="2"/>
            <w:vMerge w:val="continue"/>
          </w:tcPr>
          <w:p>
            <w:pPr>
              <w:spacing w:after="0"/>
              <w:rPr>
                <w:sz w:val="14"/>
                <w:szCs w:val="14"/>
                <w:color w:val="auto"/>
              </w:rPr>
            </w:pPr>
          </w:p>
        </w:tc>
        <w:tc>
          <w:tcPr>
            <w:tcW w:w="380" w:type="dxa"/>
            <w:vAlign w:val="bottom"/>
            <w:tcBorders>
              <w:bottom w:val="single" w:sz="8" w:color="ACACAC"/>
            </w:tcBorders>
            <w:vMerge w:val="continue"/>
          </w:tcPr>
          <w:p>
            <w:pPr>
              <w:spacing w:after="0"/>
              <w:rPr>
                <w:sz w:val="14"/>
                <w:szCs w:val="14"/>
                <w:color w:val="auto"/>
              </w:rPr>
            </w:pPr>
          </w:p>
        </w:tc>
        <w:tc>
          <w:tcPr>
            <w:tcW w:w="780" w:type="dxa"/>
            <w:vAlign w:val="bottom"/>
            <w:tcBorders>
              <w:bottom w:val="single" w:sz="8" w:color="ACACAC"/>
            </w:tcBorders>
            <w:vMerge w:val="continue"/>
          </w:tcPr>
          <w:p>
            <w:pPr>
              <w:spacing w:after="0"/>
              <w:rPr>
                <w:sz w:val="14"/>
                <w:szCs w:val="14"/>
                <w:color w:val="auto"/>
              </w:rPr>
            </w:pPr>
          </w:p>
        </w:tc>
        <w:tc>
          <w:tcPr>
            <w:tcW w:w="340" w:type="dxa"/>
            <w:vAlign w:val="bottom"/>
            <w:tcBorders>
              <w:bottom w:val="single" w:sz="8" w:color="ACACAC"/>
            </w:tcBorders>
          </w:tcPr>
          <w:p>
            <w:pPr>
              <w:spacing w:after="0"/>
              <w:rPr>
                <w:sz w:val="14"/>
                <w:szCs w:val="14"/>
                <w:color w:val="auto"/>
              </w:rPr>
            </w:pPr>
          </w:p>
        </w:tc>
        <w:tc>
          <w:tcPr>
            <w:tcW w:w="460" w:type="dxa"/>
            <w:vAlign w:val="bottom"/>
            <w:tcBorders>
              <w:bottom w:val="single" w:sz="8" w:color="ACACAC"/>
            </w:tcBorders>
            <w:vMerge w:val="continue"/>
          </w:tcPr>
          <w:p>
            <w:pPr>
              <w:spacing w:after="0"/>
              <w:rPr>
                <w:sz w:val="14"/>
                <w:szCs w:val="14"/>
                <w:color w:val="auto"/>
              </w:rPr>
            </w:pPr>
          </w:p>
        </w:tc>
        <w:tc>
          <w:tcPr>
            <w:tcW w:w="960" w:type="dxa"/>
            <w:vAlign w:val="bottom"/>
            <w:tcBorders>
              <w:bottom w:val="single" w:sz="8" w:color="ACACAC"/>
            </w:tcBorders>
            <w:gridSpan w:val="2"/>
            <w:vMerge w:val="continue"/>
          </w:tcPr>
          <w:p>
            <w:pPr>
              <w:spacing w:after="0"/>
              <w:rPr>
                <w:sz w:val="14"/>
                <w:szCs w:val="14"/>
                <w:color w:val="auto"/>
              </w:rPr>
            </w:pPr>
          </w:p>
        </w:tc>
        <w:tc>
          <w:tcPr>
            <w:tcW w:w="640" w:type="dxa"/>
            <w:vAlign w:val="bottom"/>
            <w:tcBorders>
              <w:bottom w:val="single" w:sz="8" w:color="ACACAC"/>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-213995</wp:posOffset>
            </wp:positionV>
            <wp:extent cx="8255" cy="17145"/>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-187960</wp:posOffset>
            </wp:positionV>
            <wp:extent cx="8255" cy="8255"/>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8255" cy="8255"/>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-153670</wp:posOffset>
            </wp:positionV>
            <wp:extent cx="8255" cy="8255"/>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-136525</wp:posOffset>
            </wp:positionV>
            <wp:extent cx="8255" cy="8890"/>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-119380</wp:posOffset>
            </wp:positionV>
            <wp:extent cx="8255" cy="8255"/>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-102235</wp:posOffset>
            </wp:positionV>
            <wp:extent cx="8255" cy="8255"/>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-85090</wp:posOffset>
            </wp:positionV>
            <wp:extent cx="8255" cy="8255"/>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-67945</wp:posOffset>
            </wp:positionV>
            <wp:extent cx="8255" cy="8255"/>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-50800</wp:posOffset>
            </wp:positionV>
            <wp:extent cx="8255" cy="8890"/>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-33655</wp:posOffset>
            </wp:positionV>
            <wp:extent cx="8255" cy="8255"/>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-16510</wp:posOffset>
            </wp:positionV>
            <wp:extent cx="8255" cy="8255"/>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-213995</wp:posOffset>
            </wp:positionV>
            <wp:extent cx="8255" cy="17145"/>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-187960</wp:posOffset>
            </wp:positionV>
            <wp:extent cx="8255" cy="8255"/>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-170815</wp:posOffset>
            </wp:positionV>
            <wp:extent cx="8255" cy="8255"/>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-153670</wp:posOffset>
            </wp:positionV>
            <wp:extent cx="8255" cy="8255"/>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-136525</wp:posOffset>
            </wp:positionV>
            <wp:extent cx="8255" cy="8890"/>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-119380</wp:posOffset>
            </wp:positionV>
            <wp:extent cx="8255" cy="8255"/>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-102235</wp:posOffset>
            </wp:positionV>
            <wp:extent cx="8255" cy="8255"/>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-85090</wp:posOffset>
            </wp:positionV>
            <wp:extent cx="8255" cy="8255"/>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-67945</wp:posOffset>
            </wp:positionV>
            <wp:extent cx="8255" cy="8255"/>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-50800</wp:posOffset>
            </wp:positionV>
            <wp:extent cx="8255" cy="8890"/>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-33655</wp:posOffset>
            </wp:positionV>
            <wp:extent cx="8255" cy="8255"/>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-16510</wp:posOffset>
            </wp:positionV>
            <wp:extent cx="8255" cy="8255"/>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-213995</wp:posOffset>
            </wp:positionV>
            <wp:extent cx="8890" cy="17145"/>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-187960</wp:posOffset>
            </wp:positionV>
            <wp:extent cx="8890" cy="8255"/>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-170815</wp:posOffset>
            </wp:positionV>
            <wp:extent cx="8890" cy="8255"/>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-153670</wp:posOffset>
            </wp:positionV>
            <wp:extent cx="8890" cy="8255"/>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-136525</wp:posOffset>
            </wp:positionV>
            <wp:extent cx="8890" cy="8890"/>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-119380</wp:posOffset>
            </wp:positionV>
            <wp:extent cx="8890" cy="8255"/>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-102235</wp:posOffset>
            </wp:positionV>
            <wp:extent cx="8890" cy="8255"/>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-85090</wp:posOffset>
            </wp:positionV>
            <wp:extent cx="8890" cy="8255"/>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-67945</wp:posOffset>
            </wp:positionV>
            <wp:extent cx="8890" cy="8255"/>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-50800</wp:posOffset>
            </wp:positionV>
            <wp:extent cx="8890" cy="8890"/>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-33655</wp:posOffset>
            </wp:positionV>
            <wp:extent cx="8890" cy="8255"/>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-16510</wp:posOffset>
            </wp:positionV>
            <wp:extent cx="8890" cy="8255"/>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-213995</wp:posOffset>
            </wp:positionV>
            <wp:extent cx="8890" cy="17145"/>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-187960</wp:posOffset>
            </wp:positionV>
            <wp:extent cx="8890" cy="8255"/>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-170815</wp:posOffset>
            </wp:positionV>
            <wp:extent cx="8890" cy="8255"/>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-153670</wp:posOffset>
            </wp:positionV>
            <wp:extent cx="8890" cy="8255"/>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-136525</wp:posOffset>
            </wp:positionV>
            <wp:extent cx="8890" cy="8890"/>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-119380</wp:posOffset>
            </wp:positionV>
            <wp:extent cx="8890" cy="8255"/>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-102235</wp:posOffset>
            </wp:positionV>
            <wp:extent cx="8890" cy="8255"/>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-85090</wp:posOffset>
            </wp:positionV>
            <wp:extent cx="8890" cy="8255"/>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-67945</wp:posOffset>
            </wp:positionV>
            <wp:extent cx="8890" cy="8255"/>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-50800</wp:posOffset>
            </wp:positionV>
            <wp:extent cx="8890" cy="8890"/>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-33655</wp:posOffset>
            </wp:positionV>
            <wp:extent cx="8890" cy="8255"/>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-16510</wp:posOffset>
            </wp:positionV>
            <wp:extent cx="8890" cy="8255"/>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-213995</wp:posOffset>
            </wp:positionV>
            <wp:extent cx="8890" cy="17145"/>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-187960</wp:posOffset>
            </wp:positionV>
            <wp:extent cx="8890" cy="8255"/>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-170815</wp:posOffset>
            </wp:positionV>
            <wp:extent cx="8890" cy="8255"/>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-153670</wp:posOffset>
            </wp:positionV>
            <wp:extent cx="8890" cy="8255"/>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-136525</wp:posOffset>
            </wp:positionV>
            <wp:extent cx="8890" cy="8890"/>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-119380</wp:posOffset>
            </wp:positionV>
            <wp:extent cx="8890" cy="8255"/>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-102235</wp:posOffset>
            </wp:positionV>
            <wp:extent cx="8890" cy="8255"/>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-85090</wp:posOffset>
            </wp:positionV>
            <wp:extent cx="8890" cy="8255"/>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-67945</wp:posOffset>
            </wp:positionV>
            <wp:extent cx="8890" cy="8255"/>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-50800</wp:posOffset>
            </wp:positionV>
            <wp:extent cx="8890" cy="8890"/>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-33655</wp:posOffset>
            </wp:positionV>
            <wp:extent cx="8890" cy="8255"/>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-16510</wp:posOffset>
            </wp:positionV>
            <wp:extent cx="8890" cy="8255"/>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-427990</wp:posOffset>
            </wp:positionV>
            <wp:extent cx="8255" cy="17145"/>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-402590</wp:posOffset>
            </wp:positionV>
            <wp:extent cx="8255" cy="8890"/>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-385445</wp:posOffset>
            </wp:positionV>
            <wp:extent cx="8255" cy="8255"/>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-368300</wp:posOffset>
            </wp:positionV>
            <wp:extent cx="8255" cy="8255"/>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-350520</wp:posOffset>
            </wp:positionV>
            <wp:extent cx="8255" cy="8255"/>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-334010</wp:posOffset>
            </wp:positionV>
            <wp:extent cx="8255" cy="8255"/>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-316865</wp:posOffset>
            </wp:positionV>
            <wp:extent cx="8255" cy="8255"/>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-299720</wp:posOffset>
            </wp:positionV>
            <wp:extent cx="8255" cy="8255"/>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-282575</wp:posOffset>
            </wp:positionV>
            <wp:extent cx="8255" cy="8255"/>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-265430</wp:posOffset>
            </wp:positionV>
            <wp:extent cx="8255" cy="8890"/>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-248285</wp:posOffset>
            </wp:positionV>
            <wp:extent cx="8255" cy="8255"/>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-231140</wp:posOffset>
            </wp:positionV>
            <wp:extent cx="8255" cy="8255"/>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-427990</wp:posOffset>
            </wp:positionV>
            <wp:extent cx="8255" cy="17145"/>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-402590</wp:posOffset>
            </wp:positionV>
            <wp:extent cx="8255" cy="8890"/>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-385445</wp:posOffset>
            </wp:positionV>
            <wp:extent cx="8255" cy="8255"/>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-368300</wp:posOffset>
            </wp:positionV>
            <wp:extent cx="8255" cy="8255"/>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-350520</wp:posOffset>
            </wp:positionV>
            <wp:extent cx="8255" cy="8255"/>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-334010</wp:posOffset>
            </wp:positionV>
            <wp:extent cx="8255" cy="8255"/>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-316865</wp:posOffset>
            </wp:positionV>
            <wp:extent cx="8255" cy="8255"/>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-299720</wp:posOffset>
            </wp:positionV>
            <wp:extent cx="8255" cy="8255"/>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-282575</wp:posOffset>
            </wp:positionV>
            <wp:extent cx="8255" cy="8255"/>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-265430</wp:posOffset>
            </wp:positionV>
            <wp:extent cx="8255" cy="8890"/>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-248285</wp:posOffset>
            </wp:positionV>
            <wp:extent cx="8255" cy="8255"/>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-231140</wp:posOffset>
            </wp:positionV>
            <wp:extent cx="8255" cy="8255"/>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-427990</wp:posOffset>
            </wp:positionV>
            <wp:extent cx="8890" cy="17145"/>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-402590</wp:posOffset>
            </wp:positionV>
            <wp:extent cx="8890" cy="8890"/>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-385445</wp:posOffset>
            </wp:positionV>
            <wp:extent cx="8890" cy="8255"/>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-368300</wp:posOffset>
            </wp:positionV>
            <wp:extent cx="8890" cy="8255"/>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-350520</wp:posOffset>
            </wp:positionV>
            <wp:extent cx="8890" cy="8255"/>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-334010</wp:posOffset>
            </wp:positionV>
            <wp:extent cx="8890" cy="8255"/>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-316865</wp:posOffset>
            </wp:positionV>
            <wp:extent cx="8890" cy="8255"/>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-299720</wp:posOffset>
            </wp:positionV>
            <wp:extent cx="8890" cy="8255"/>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-282575</wp:posOffset>
            </wp:positionV>
            <wp:extent cx="8890" cy="8255"/>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-265430</wp:posOffset>
            </wp:positionV>
            <wp:extent cx="8890" cy="8890"/>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-248285</wp:posOffset>
            </wp:positionV>
            <wp:extent cx="8890" cy="8255"/>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-231140</wp:posOffset>
            </wp:positionV>
            <wp:extent cx="8890" cy="8255"/>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-427990</wp:posOffset>
            </wp:positionV>
            <wp:extent cx="8890" cy="17145"/>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-402590</wp:posOffset>
            </wp:positionV>
            <wp:extent cx="8890" cy="8890"/>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-385445</wp:posOffset>
            </wp:positionV>
            <wp:extent cx="8890" cy="8255"/>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-368300</wp:posOffset>
            </wp:positionV>
            <wp:extent cx="8890" cy="8255"/>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-350520</wp:posOffset>
            </wp:positionV>
            <wp:extent cx="8890" cy="8255"/>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-334010</wp:posOffset>
            </wp:positionV>
            <wp:extent cx="8890" cy="8255"/>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-316865</wp:posOffset>
            </wp:positionV>
            <wp:extent cx="8890" cy="8255"/>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-299720</wp:posOffset>
            </wp:positionV>
            <wp:extent cx="8890" cy="8255"/>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-282575</wp:posOffset>
            </wp:positionV>
            <wp:extent cx="8890" cy="8255"/>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-265430</wp:posOffset>
            </wp:positionV>
            <wp:extent cx="8890" cy="8890"/>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-248285</wp:posOffset>
            </wp:positionV>
            <wp:extent cx="8890" cy="8255"/>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-231140</wp:posOffset>
            </wp:positionV>
            <wp:extent cx="8890" cy="8255"/>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-427990</wp:posOffset>
            </wp:positionV>
            <wp:extent cx="8890" cy="17145"/>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-402590</wp:posOffset>
            </wp:positionV>
            <wp:extent cx="8890" cy="8890"/>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-385445</wp:posOffset>
            </wp:positionV>
            <wp:extent cx="8890" cy="8255"/>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-368300</wp:posOffset>
            </wp:positionV>
            <wp:extent cx="8890" cy="8255"/>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-350520</wp:posOffset>
            </wp:positionV>
            <wp:extent cx="8890" cy="8255"/>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-334010</wp:posOffset>
            </wp:positionV>
            <wp:extent cx="8890" cy="8255"/>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-316865</wp:posOffset>
            </wp:positionV>
            <wp:extent cx="8890" cy="8255"/>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-299720</wp:posOffset>
            </wp:positionV>
            <wp:extent cx="8890" cy="8255"/>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-282575</wp:posOffset>
            </wp:positionV>
            <wp:extent cx="8890" cy="8255"/>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-265430</wp:posOffset>
            </wp:positionV>
            <wp:extent cx="8890" cy="8890"/>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-248285</wp:posOffset>
            </wp:positionV>
            <wp:extent cx="8890" cy="8255"/>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-231140</wp:posOffset>
            </wp:positionV>
            <wp:extent cx="8890" cy="8255"/>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-642620</wp:posOffset>
            </wp:positionV>
            <wp:extent cx="8255" cy="17145"/>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-616585</wp:posOffset>
            </wp:positionV>
            <wp:extent cx="8255" cy="8890"/>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-599440</wp:posOffset>
            </wp:positionV>
            <wp:extent cx="8255" cy="8255"/>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-582295</wp:posOffset>
            </wp:positionV>
            <wp:extent cx="8255" cy="8255"/>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-565150</wp:posOffset>
            </wp:positionV>
            <wp:extent cx="8255" cy="8255"/>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-548005</wp:posOffset>
            </wp:positionV>
            <wp:extent cx="8255" cy="8255"/>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-530860</wp:posOffset>
            </wp:positionV>
            <wp:extent cx="8255" cy="8890"/>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-513715</wp:posOffset>
            </wp:positionV>
            <wp:extent cx="8255" cy="8255"/>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-496570</wp:posOffset>
            </wp:positionV>
            <wp:extent cx="8255" cy="8255"/>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-479425</wp:posOffset>
            </wp:positionV>
            <wp:extent cx="8255" cy="8255"/>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-462280</wp:posOffset>
            </wp:positionV>
            <wp:extent cx="8255" cy="8255"/>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-445135</wp:posOffset>
            </wp:positionV>
            <wp:extent cx="8255" cy="8890"/>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-642620</wp:posOffset>
            </wp:positionV>
            <wp:extent cx="8255" cy="17145"/>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-616585</wp:posOffset>
            </wp:positionV>
            <wp:extent cx="8255" cy="8890"/>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-599440</wp:posOffset>
            </wp:positionV>
            <wp:extent cx="8255" cy="8255"/>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-582295</wp:posOffset>
            </wp:positionV>
            <wp:extent cx="8255" cy="8255"/>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-565150</wp:posOffset>
            </wp:positionV>
            <wp:extent cx="8255" cy="8255"/>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-548005</wp:posOffset>
            </wp:positionV>
            <wp:extent cx="8255" cy="8255"/>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-530860</wp:posOffset>
            </wp:positionV>
            <wp:extent cx="8255" cy="8890"/>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-513715</wp:posOffset>
            </wp:positionV>
            <wp:extent cx="8255" cy="8255"/>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-496570</wp:posOffset>
            </wp:positionV>
            <wp:extent cx="8255" cy="8255"/>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-479425</wp:posOffset>
            </wp:positionV>
            <wp:extent cx="8255" cy="8255"/>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-462280</wp:posOffset>
            </wp:positionV>
            <wp:extent cx="8255" cy="8255"/>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-445135</wp:posOffset>
            </wp:positionV>
            <wp:extent cx="8255" cy="8890"/>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-642620</wp:posOffset>
            </wp:positionV>
            <wp:extent cx="8890" cy="17145"/>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-616585</wp:posOffset>
            </wp:positionV>
            <wp:extent cx="8890" cy="8890"/>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-599440</wp:posOffset>
            </wp:positionV>
            <wp:extent cx="8890" cy="8255"/>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-582295</wp:posOffset>
            </wp:positionV>
            <wp:extent cx="8890" cy="8255"/>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-565150</wp:posOffset>
            </wp:positionV>
            <wp:extent cx="8890" cy="8255"/>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-548005</wp:posOffset>
            </wp:positionV>
            <wp:extent cx="8890" cy="8255"/>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-530860</wp:posOffset>
            </wp:positionV>
            <wp:extent cx="8890" cy="8890"/>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-513715</wp:posOffset>
            </wp:positionV>
            <wp:extent cx="8890" cy="8255"/>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-496570</wp:posOffset>
            </wp:positionV>
            <wp:extent cx="8890" cy="8255"/>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-479425</wp:posOffset>
            </wp:positionV>
            <wp:extent cx="8890" cy="8255"/>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-462280</wp:posOffset>
            </wp:positionV>
            <wp:extent cx="8890" cy="8255"/>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-445135</wp:posOffset>
            </wp:positionV>
            <wp:extent cx="8890" cy="8890"/>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-642620</wp:posOffset>
            </wp:positionV>
            <wp:extent cx="8890" cy="17145"/>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-616585</wp:posOffset>
            </wp:positionV>
            <wp:extent cx="8890" cy="8890"/>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-599440</wp:posOffset>
            </wp:positionV>
            <wp:extent cx="8890" cy="8255"/>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-582295</wp:posOffset>
            </wp:positionV>
            <wp:extent cx="8890" cy="8255"/>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-565150</wp:posOffset>
            </wp:positionV>
            <wp:extent cx="8890" cy="8255"/>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-548005</wp:posOffset>
            </wp:positionV>
            <wp:extent cx="8890" cy="8255"/>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-530860</wp:posOffset>
            </wp:positionV>
            <wp:extent cx="8890" cy="8890"/>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-513715</wp:posOffset>
            </wp:positionV>
            <wp:extent cx="8890" cy="8255"/>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-496570</wp:posOffset>
            </wp:positionV>
            <wp:extent cx="8890" cy="8255"/>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-479425</wp:posOffset>
            </wp:positionV>
            <wp:extent cx="8890" cy="8255"/>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-462280</wp:posOffset>
            </wp:positionV>
            <wp:extent cx="8890" cy="8255"/>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-445135</wp:posOffset>
            </wp:positionV>
            <wp:extent cx="8890" cy="8890"/>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-642620</wp:posOffset>
            </wp:positionV>
            <wp:extent cx="8890" cy="17145"/>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7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-616585</wp:posOffset>
            </wp:positionV>
            <wp:extent cx="8890" cy="8890"/>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-599440</wp:posOffset>
            </wp:positionV>
            <wp:extent cx="8890" cy="8255"/>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-582295</wp:posOffset>
            </wp:positionV>
            <wp:extent cx="8890" cy="8255"/>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-565150</wp:posOffset>
            </wp:positionV>
            <wp:extent cx="8890" cy="8255"/>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-548005</wp:posOffset>
            </wp:positionV>
            <wp:extent cx="8890" cy="8255"/>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-530860</wp:posOffset>
            </wp:positionV>
            <wp:extent cx="8890" cy="8890"/>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-513715</wp:posOffset>
            </wp:positionV>
            <wp:extent cx="8890" cy="8255"/>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-496570</wp:posOffset>
            </wp:positionV>
            <wp:extent cx="8890" cy="8255"/>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-479425</wp:posOffset>
            </wp:positionV>
            <wp:extent cx="8890" cy="8255"/>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-462280</wp:posOffset>
            </wp:positionV>
            <wp:extent cx="8890" cy="8255"/>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-445135</wp:posOffset>
            </wp:positionV>
            <wp:extent cx="8890" cy="8890"/>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-745490</wp:posOffset>
            </wp:positionV>
            <wp:extent cx="8255" cy="8890"/>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-728345</wp:posOffset>
            </wp:positionV>
            <wp:extent cx="8255" cy="8255"/>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-711200</wp:posOffset>
            </wp:positionV>
            <wp:extent cx="8255" cy="8255"/>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-693420</wp:posOffset>
            </wp:positionV>
            <wp:extent cx="8255" cy="8255"/>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-676910</wp:posOffset>
            </wp:positionV>
            <wp:extent cx="8255" cy="8255"/>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-659765</wp:posOffset>
            </wp:positionV>
            <wp:extent cx="8255" cy="8890"/>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-745490</wp:posOffset>
            </wp:positionV>
            <wp:extent cx="8255" cy="8890"/>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-728345</wp:posOffset>
            </wp:positionV>
            <wp:extent cx="8255" cy="8255"/>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-711200</wp:posOffset>
            </wp:positionV>
            <wp:extent cx="8255" cy="8255"/>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-693420</wp:posOffset>
            </wp:positionV>
            <wp:extent cx="8255" cy="8255"/>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-676910</wp:posOffset>
            </wp:positionV>
            <wp:extent cx="8255" cy="8255"/>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-659765</wp:posOffset>
            </wp:positionV>
            <wp:extent cx="8255" cy="8890"/>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-745490</wp:posOffset>
            </wp:positionV>
            <wp:extent cx="8890" cy="8890"/>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-728345</wp:posOffset>
            </wp:positionV>
            <wp:extent cx="8890" cy="8255"/>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-711200</wp:posOffset>
            </wp:positionV>
            <wp:extent cx="8890" cy="8255"/>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-693420</wp:posOffset>
            </wp:positionV>
            <wp:extent cx="8890" cy="8255"/>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-676910</wp:posOffset>
            </wp:positionV>
            <wp:extent cx="8890" cy="8255"/>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-659765</wp:posOffset>
            </wp:positionV>
            <wp:extent cx="8890" cy="8890"/>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-745490</wp:posOffset>
            </wp:positionV>
            <wp:extent cx="8890" cy="8890"/>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-728345</wp:posOffset>
            </wp:positionV>
            <wp:extent cx="8890" cy="8255"/>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-711200</wp:posOffset>
            </wp:positionV>
            <wp:extent cx="8890" cy="8255"/>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-693420</wp:posOffset>
            </wp:positionV>
            <wp:extent cx="8890" cy="8255"/>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-676910</wp:posOffset>
            </wp:positionV>
            <wp:extent cx="8890" cy="8255"/>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-659765</wp:posOffset>
            </wp:positionV>
            <wp:extent cx="8890" cy="8890"/>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-745490</wp:posOffset>
            </wp:positionV>
            <wp:extent cx="8890" cy="8890"/>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-728345</wp:posOffset>
            </wp:positionV>
            <wp:extent cx="8890" cy="8255"/>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-711200</wp:posOffset>
            </wp:positionV>
            <wp:extent cx="8890" cy="8255"/>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-693420</wp:posOffset>
            </wp:positionV>
            <wp:extent cx="8890" cy="8255"/>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-676910</wp:posOffset>
            </wp:positionV>
            <wp:extent cx="8890" cy="8255"/>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-659765</wp:posOffset>
            </wp:positionV>
            <wp:extent cx="8890" cy="8890"/>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-864870</wp:posOffset>
            </wp:positionV>
            <wp:extent cx="8255" cy="8255"/>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-848360</wp:posOffset>
            </wp:positionV>
            <wp:extent cx="8255" cy="8255"/>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-831215</wp:posOffset>
            </wp:positionV>
            <wp:extent cx="8255" cy="8890"/>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-814070</wp:posOffset>
            </wp:positionV>
            <wp:extent cx="8255" cy="8255"/>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-796925</wp:posOffset>
            </wp:positionV>
            <wp:extent cx="8255" cy="8255"/>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-779145</wp:posOffset>
            </wp:positionV>
            <wp:extent cx="8255" cy="25400"/>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-864870</wp:posOffset>
            </wp:positionV>
            <wp:extent cx="8255" cy="8255"/>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-848360</wp:posOffset>
            </wp:positionV>
            <wp:extent cx="8255" cy="8255"/>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-831215</wp:posOffset>
            </wp:positionV>
            <wp:extent cx="8255" cy="8890"/>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-814070</wp:posOffset>
            </wp:positionV>
            <wp:extent cx="8255" cy="8255"/>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-796925</wp:posOffset>
            </wp:positionV>
            <wp:extent cx="8255" cy="8255"/>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-779145</wp:posOffset>
            </wp:positionV>
            <wp:extent cx="8255" cy="25400"/>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-864870</wp:posOffset>
            </wp:positionV>
            <wp:extent cx="8890" cy="8255"/>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-848360</wp:posOffset>
            </wp:positionV>
            <wp:extent cx="8890" cy="8255"/>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-831215</wp:posOffset>
            </wp:positionV>
            <wp:extent cx="8890" cy="8890"/>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-814070</wp:posOffset>
            </wp:positionV>
            <wp:extent cx="8890" cy="8255"/>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-796925</wp:posOffset>
            </wp:positionV>
            <wp:extent cx="8890" cy="8255"/>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-779145</wp:posOffset>
            </wp:positionV>
            <wp:extent cx="8890" cy="25400"/>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3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-864870</wp:posOffset>
            </wp:positionV>
            <wp:extent cx="8890" cy="8255"/>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-848360</wp:posOffset>
            </wp:positionV>
            <wp:extent cx="8890" cy="8255"/>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-831215</wp:posOffset>
            </wp:positionV>
            <wp:extent cx="8890" cy="8890"/>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-814070</wp:posOffset>
            </wp:positionV>
            <wp:extent cx="8890" cy="8255"/>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-796925</wp:posOffset>
            </wp:positionV>
            <wp:extent cx="8890" cy="8255"/>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-779145</wp:posOffset>
            </wp:positionV>
            <wp:extent cx="8890" cy="25400"/>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3">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-864870</wp:posOffset>
            </wp:positionV>
            <wp:extent cx="8890" cy="8255"/>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-848360</wp:posOffset>
            </wp:positionV>
            <wp:extent cx="8890" cy="8255"/>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-831215</wp:posOffset>
            </wp:positionV>
            <wp:extent cx="8890" cy="8890"/>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-814070</wp:posOffset>
            </wp:positionV>
            <wp:extent cx="8890" cy="8255"/>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-796925</wp:posOffset>
            </wp:positionV>
            <wp:extent cx="8890" cy="8255"/>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-779145</wp:posOffset>
            </wp:positionV>
            <wp:extent cx="8890" cy="25400"/>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49">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-1010920</wp:posOffset>
            </wp:positionV>
            <wp:extent cx="8255" cy="17145"/>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-985520</wp:posOffset>
            </wp:positionV>
            <wp:extent cx="8255" cy="8255"/>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-968375</wp:posOffset>
            </wp:positionV>
            <wp:extent cx="8255" cy="8255"/>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-950595</wp:posOffset>
            </wp:positionV>
            <wp:extent cx="8255" cy="8255"/>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-934085</wp:posOffset>
            </wp:positionV>
            <wp:extent cx="8255" cy="8255"/>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-916940</wp:posOffset>
            </wp:positionV>
            <wp:extent cx="8255" cy="8890"/>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-899795</wp:posOffset>
            </wp:positionV>
            <wp:extent cx="8255" cy="25400"/>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-1010920</wp:posOffset>
            </wp:positionV>
            <wp:extent cx="8255" cy="17145"/>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5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-985520</wp:posOffset>
            </wp:positionV>
            <wp:extent cx="8255" cy="8255"/>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-968375</wp:posOffset>
            </wp:positionV>
            <wp:extent cx="8255" cy="8255"/>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-950595</wp:posOffset>
            </wp:positionV>
            <wp:extent cx="8255" cy="8255"/>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-934085</wp:posOffset>
            </wp:positionV>
            <wp:extent cx="8255" cy="8255"/>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-916940</wp:posOffset>
            </wp:positionV>
            <wp:extent cx="8255" cy="8890"/>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-899795</wp:posOffset>
            </wp:positionV>
            <wp:extent cx="8255" cy="25400"/>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-1010920</wp:posOffset>
            </wp:positionV>
            <wp:extent cx="8890" cy="17145"/>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-985520</wp:posOffset>
            </wp:positionV>
            <wp:extent cx="8890" cy="8255"/>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-968375</wp:posOffset>
            </wp:positionV>
            <wp:extent cx="8890" cy="8255"/>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-950595</wp:posOffset>
            </wp:positionV>
            <wp:extent cx="8890" cy="8255"/>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-934085</wp:posOffset>
            </wp:positionV>
            <wp:extent cx="8890" cy="8255"/>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-916940</wp:posOffset>
            </wp:positionV>
            <wp:extent cx="8890" cy="8890"/>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-899795</wp:posOffset>
            </wp:positionV>
            <wp:extent cx="8890" cy="25400"/>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0">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-1010920</wp:posOffset>
            </wp:positionV>
            <wp:extent cx="8890" cy="17145"/>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-985520</wp:posOffset>
            </wp:positionV>
            <wp:extent cx="8890" cy="8255"/>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-968375</wp:posOffset>
            </wp:positionV>
            <wp:extent cx="8890" cy="8255"/>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-950595</wp:posOffset>
            </wp:positionV>
            <wp:extent cx="8890" cy="8255"/>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-934085</wp:posOffset>
            </wp:positionV>
            <wp:extent cx="8890" cy="8255"/>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-916940</wp:posOffset>
            </wp:positionV>
            <wp:extent cx="8890" cy="8890"/>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-899795</wp:posOffset>
            </wp:positionV>
            <wp:extent cx="8890" cy="25400"/>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7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-1010920</wp:posOffset>
            </wp:positionV>
            <wp:extent cx="8890" cy="17145"/>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7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-985520</wp:posOffset>
            </wp:positionV>
            <wp:extent cx="8890" cy="8255"/>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-968375</wp:posOffset>
            </wp:positionV>
            <wp:extent cx="8890" cy="8255"/>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-950595</wp:posOffset>
            </wp:positionV>
            <wp:extent cx="8890" cy="8255"/>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-934085</wp:posOffset>
            </wp:positionV>
            <wp:extent cx="8890" cy="8255"/>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-916940</wp:posOffset>
            </wp:positionV>
            <wp:extent cx="8890" cy="8890"/>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-899795</wp:posOffset>
            </wp:positionV>
            <wp:extent cx="8890" cy="25400"/>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4">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-1139825</wp:posOffset>
            </wp:positionV>
            <wp:extent cx="8255" cy="17145"/>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-1113790</wp:posOffset>
            </wp:positionV>
            <wp:extent cx="8255" cy="8255"/>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-1096645</wp:posOffset>
            </wp:positionV>
            <wp:extent cx="8255" cy="8255"/>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-1079500</wp:posOffset>
            </wp:positionV>
            <wp:extent cx="8255" cy="8255"/>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-1062355</wp:posOffset>
            </wp:positionV>
            <wp:extent cx="8255" cy="8255"/>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-1045210</wp:posOffset>
            </wp:positionV>
            <wp:extent cx="8255" cy="8890"/>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-1028065</wp:posOffset>
            </wp:positionV>
            <wp:extent cx="8255" cy="8255"/>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-1139825</wp:posOffset>
            </wp:positionV>
            <wp:extent cx="8255" cy="17145"/>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-1113790</wp:posOffset>
            </wp:positionV>
            <wp:extent cx="8255" cy="8255"/>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-1096645</wp:posOffset>
            </wp:positionV>
            <wp:extent cx="8255" cy="8255"/>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-1079500</wp:posOffset>
            </wp:positionV>
            <wp:extent cx="8255" cy="8255"/>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-1062355</wp:posOffset>
            </wp:positionV>
            <wp:extent cx="8255" cy="8255"/>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-1045210</wp:posOffset>
            </wp:positionV>
            <wp:extent cx="8255" cy="8890"/>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4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-1028065</wp:posOffset>
            </wp:positionV>
            <wp:extent cx="8255" cy="8255"/>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-1139825</wp:posOffset>
            </wp:positionV>
            <wp:extent cx="8890" cy="17145"/>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49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-1113790</wp:posOffset>
            </wp:positionV>
            <wp:extent cx="8890" cy="8255"/>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-1096645</wp:posOffset>
            </wp:positionV>
            <wp:extent cx="8890" cy="8255"/>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-1079500</wp:posOffset>
            </wp:positionV>
            <wp:extent cx="8890" cy="8255"/>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-1062355</wp:posOffset>
            </wp:positionV>
            <wp:extent cx="8890" cy="8255"/>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-1045210</wp:posOffset>
            </wp:positionV>
            <wp:extent cx="8890" cy="8890"/>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-1028065</wp:posOffset>
            </wp:positionV>
            <wp:extent cx="8890" cy="8255"/>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-1139825</wp:posOffset>
            </wp:positionV>
            <wp:extent cx="8890" cy="17145"/>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-1113790</wp:posOffset>
            </wp:positionV>
            <wp:extent cx="8890" cy="8255"/>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-1096645</wp:posOffset>
            </wp:positionV>
            <wp:extent cx="8890" cy="8255"/>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-1079500</wp:posOffset>
            </wp:positionV>
            <wp:extent cx="8890" cy="8255"/>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-1062355</wp:posOffset>
            </wp:positionV>
            <wp:extent cx="8890" cy="8255"/>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-1045210</wp:posOffset>
            </wp:positionV>
            <wp:extent cx="8890" cy="8890"/>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-1028065</wp:posOffset>
            </wp:positionV>
            <wp:extent cx="8890" cy="8255"/>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-1139825</wp:posOffset>
            </wp:positionV>
            <wp:extent cx="8890" cy="17145"/>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-1113790</wp:posOffset>
            </wp:positionV>
            <wp:extent cx="8890" cy="8255"/>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-1096645</wp:posOffset>
            </wp:positionV>
            <wp:extent cx="8890" cy="8255"/>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-1079500</wp:posOffset>
            </wp:positionV>
            <wp:extent cx="8890" cy="8255"/>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-1062355</wp:posOffset>
            </wp:positionV>
            <wp:extent cx="8890" cy="8255"/>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-1045210</wp:posOffset>
            </wp:positionV>
            <wp:extent cx="8890" cy="8890"/>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-1028065</wp:posOffset>
            </wp:positionV>
            <wp:extent cx="8890" cy="8255"/>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1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52"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parent company and consolidation adjustments.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consolidated results of operations of Con Edison and its businesses.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See "Reconciliation of Cash, Temporary Cash Investments and Restricted Cash" in Note A to the Second Quarter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8" w:lineRule="exact"/>
        <w:rPr>
          <w:sz w:val="20"/>
          <w:szCs w:val="20"/>
          <w:color w:val="auto"/>
        </w:rPr>
      </w:pPr>
    </w:p>
    <w:p>
      <w:pPr>
        <w:jc w:val="both"/>
        <w:ind w:right="320"/>
        <w:spacing w:after="0" w:line="227" w:lineRule="auto"/>
        <w:rPr>
          <w:sz w:val="20"/>
          <w:szCs w:val="20"/>
          <w:color w:val="auto"/>
        </w:rPr>
      </w:pPr>
      <w:r>
        <w:rPr>
          <w:rFonts w:ascii="Arial" w:cs="Arial" w:eastAsia="Arial" w:hAnsi="Arial"/>
          <w:sz w:val="18"/>
          <w:szCs w:val="18"/>
          <w:color w:val="auto"/>
        </w:rPr>
        <w:t>The Utilities’ cash flows from operating activities primarily reflect their energy sales and deliveries and cost of operations. The volume of energy sales and deliveries is primarily affected by factors external to the Utilities, such as growth of customer demand, weather, market prices for energy and economic conditions. Measures that promote distributed energy resources, such as distributed generation, demand reduction and energy efficiency, also affect the volume of energy sales and deliveries. In addition, the decline in business activity in the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Utilities’ service territory due to the COVID-19 pandemic resulted and may continue to result in lower billed sales revenues, a slower</w:t>
      </w:r>
    </w:p>
    <w:p>
      <w:pPr>
        <w:spacing w:after="0" w:line="23"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recovery of cash from outstanding customer accounts receivable balances and increases to the allowance for uncollectible accounts, that may further result in increases to write-offs of customer accounts. Under the revenue decoupling mechanisms in the Utilities’ New York electric and gas rate plans, changes in delivery volumes from levels assumed when rates were approved may affect the timing of cash flows, but largely not net income. The prices at which the Utilities provide energy to their customers are determined in accordance with their rate plans. In general, changes in the Utilities’ cost of purchased power, fuel and gas may affect the timing of cash flows, but not net income, because the costs are recovered in accordance with rate plans. The Utilities’ New York rate plans allow them to defer costs resulting from a change in legislation, regulation and related actions that have taken effect during the term of the rate plans once the costs exceed a specified threshold. Increases to the allowance for uncollectible accounts related to the COVID-19 pandemic have been deferred pursuant to the legislative, regulatory and related actions provisions of their rate plans. Pursuant to their rate plans, the Utilities have recovered from customers a portion of the tax liability they will pay in the future as a result of temporary differences between the book and tax basis of assets and liabilities. These temporary differences affect the timing of cash flows, but not net income, as the Companies are required to record deferred tax assets and liabilities at the current corporate tax rate for the temporary differences. For the Utilities, credits to their customers of the net benefits of the TCJA, including the reduction of the corporate tax rate to 21 percent, decrease cash flows from operating activities. See “COVID-19 Regulatory Matters” and “Other Regulatory Matters” in Note B to the Second Quarter Financial Statements and “Coronavirus Disease 2019 (COVID-19) Impacts - Liquidity and Financing,” above.</w:t>
      </w:r>
    </w:p>
    <w:p>
      <w:pPr>
        <w:spacing w:after="0" w:line="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Net income is the result of cash and non-cash (or accrual) transactions. Only cash transactions affect the Companies’ cash flows from operating activities. Principal non-cash charges or credits include depreciation, deferred income tax expense, amortizations of certain regulatory assets and liabilities, and accrued unbilled revenue. Non-cash charges or credits may also be accrued under the revenue decoupling and cost reconciliation mechanisms in the Utilities’ New York electric and gas rate plans. For Con Edison, net income for the six months ended June 30, 2021 also included non-cash losses recognized with respect to an impairment of Con Edison Transmission’s investment in Stagecoach. See “Investments” in Note A to the Second Quarter Financial Statements.</w:t>
      </w:r>
    </w:p>
    <w:p>
      <w:pPr>
        <w:spacing w:after="0" w:line="2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Net cash flows from operating activities for the six months ended June 30, 2021 for Con Edison and CECONY were $213 million and $121 million higher, respectively, than in the 2020 period. The changes in net cash flows for Con Edison and CECONY primarily reflect a change in pension and retiree benefit obligations ($69 million and $68 million, respectively), for Con Edison, lower prepayments ($47 million), lower other receivables and other current assets ($43 million and $46 million, respectively), lower system benefit charge ($24 million and $24 million, respectively), and for Con Edison, lower taxes receivable ($15 million).</w:t>
      </w:r>
    </w:p>
    <w:p>
      <w:pPr>
        <w:spacing w:after="0" w:line="22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change in net cash flows also reflects the timing of payments for and recovery of energy costs. This timing is reflected within changes to accounts receivable – customers and recoverable and refundable energy costs within other regulatory assets and liabilities and accounts payable balances.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7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Net cash flows used in investing activities for Con Edison and CECONY were $68 million and $267 million higher, respectively, for the six months ended June 30, 2021 compared with the 2020 period. The change for Con Edison primarily reflects an increase in utility construction expenditures at CECONY ($244 million) and O&amp;R ($9 million), offset in part by the proceeds from the divestiture of renewable electric projects at the Clean Energy Businesses ($183 million).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7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Net cash flows from financing activities for Con Edison and CECONY were $531 million and $99 million lower, respectively, in the six months ended June 30, 2021 compared with the 2020 period.</w:t>
      </w:r>
    </w:p>
    <w:p>
      <w:pPr>
        <w:spacing w:after="0" w:line="252" w:lineRule="exact"/>
        <w:rPr>
          <w:sz w:val="20"/>
          <w:szCs w:val="20"/>
          <w:color w:val="auto"/>
        </w:rPr>
      </w:pPr>
    </w:p>
    <w:p>
      <w:pPr>
        <w:jc w:val="both"/>
        <w:ind w:right="520"/>
        <w:spacing w:after="0"/>
        <w:rPr>
          <w:sz w:val="20"/>
          <w:szCs w:val="20"/>
          <w:color w:val="auto"/>
        </w:rPr>
      </w:pPr>
      <w:r>
        <w:rPr>
          <w:rFonts w:ascii="Arial" w:cs="Arial" w:eastAsia="Arial" w:hAnsi="Arial"/>
          <w:sz w:val="18"/>
          <w:szCs w:val="18"/>
          <w:color w:val="auto"/>
        </w:rPr>
        <w:t>In June 2021, Con Edison issued 10,100,000 shares of its common stock resulting in net proceeds of approximately $775 million, after issuance expenses. The net proceeds from the sale of the common shares were invested by Con Edison in CECONY, for funding of its construction expenditures and for its other general corporate purposes. See Note C to the Second Quarter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8" w:name="page79"/>
    <w:bookmarkEnd w:id="78"/>
    <w:p>
      <w:pPr>
        <w:ind w:right="60"/>
        <w:spacing w:after="0" w:line="261" w:lineRule="auto"/>
        <w:rPr>
          <w:sz w:val="20"/>
          <w:szCs w:val="20"/>
          <w:color w:val="auto"/>
        </w:rPr>
      </w:pPr>
      <w:r>
        <w:rPr>
          <w:rFonts w:ascii="Arial" w:cs="Arial" w:eastAsia="Arial" w:hAnsi="Arial"/>
          <w:sz w:val="18"/>
          <w:szCs w:val="18"/>
          <w:color w:val="auto"/>
        </w:rPr>
        <w:t>In May 2021, Con Edison redeemed at maturity $500 million of 2.00 percent 5-year debentures. See Note C to the Second Quarter Financial Statements.</w:t>
      </w:r>
    </w:p>
    <w:p>
      <w:pPr>
        <w:spacing w:after="0" w:line="25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During the first quarter of 2021, Con Edison optionally prepaid the remaining $675 million outstanding under a February 2019 term loan prior to its maturity in June 2021.</w:t>
      </w:r>
    </w:p>
    <w:p>
      <w:pPr>
        <w:spacing w:after="0" w:line="26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July 2020, Con Edison borrowed $820 million pursuant to an April 2020 credit agreement that was amended in June 2020 (as amended, the Supplemental Credit Agreement). Con Edison used the proceeds from the borrowing for general corporate purposes, including repayment of short-term debt bearing interest at variable rates.</w:t>
      </w:r>
    </w:p>
    <w:p>
      <w:pPr>
        <w:spacing w:after="0" w:line="22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 January 2020, Con Edison issued 1,050,000 shares of its common stock for $88 million upon physical settlement of the remaining shares subject to its May 2019 forward sale agreement.</w:t>
      </w:r>
    </w:p>
    <w:p>
      <w:pPr>
        <w:spacing w:after="0" w:line="22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 June 2021, CECONY redeemed at maturity $640 million of floating rate 3-year debentures. See Note C to the Second Quarter Financial Statements.</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June 2021, CECONY issued $750 million aggregate principal amount of 2.40 percent debentures, due 2031, the net proceeds from the sale of which were used to redeem at maturity its $640 million floating rate 3-year debentures and for other general corporate purposes. In June 2021 CECONY also issued $750 million aggregate principal amount of 3.60 percent debentures, due 2061, the net proceeds from the sale of which will be used to pay or reimburse the payment of, in whole or in part, existing and new qualifying eligible green expenditures, such as energy efficiency and clean transportation expenditures, that include those funded on or after January 1, 2021 until the maturity date of the debentures. Pending the allocation of the net proceeds to finance or refinance eligible green expenditures, CECONY used the net proceeds for repayment of short-term debt and temporarily placed the remaining net proceeds in short-term interest-bearing instruments. See Note C to the Second Quarter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 June 2020, CECONY redeemed at maturity $350 million of 4.45 percent 10-year debentures.</w:t>
      </w:r>
    </w:p>
    <w:p>
      <w:pPr>
        <w:spacing w:after="0" w:line="25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March 2020, CECONY issued $600 million aggregate principal amount of 3.35 percent debentures, due 2030 and $1,000 million aggregate principal amount of 3.95 percent debentures, due 2050, the net proceeds from the sale of which will be used to pay or reimburse the payment of, in whole or in part, existing and new qualifying eligible green expenditures, such as energy efficiency and clean transportation expenditures, that include those funded on or after January 1, 2018 until the maturity date of each series of the debentures. Pending the allocation of the net proceeds to finance or refinance eligible green expenditures, CECONY used the net proceeds for repayment of short-term debt and temporarily placed the remaining net proceeds in short-term interest-bearing instruments.</w:t>
      </w:r>
    </w:p>
    <w:p>
      <w:pPr>
        <w:spacing w:after="0" w:line="2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March 2021, a subsidiary of the Clean Energy Businesses agreed to issue $229 million aggregate principal amount of 3.77 percent senior notes, due 2046, that will be secured by equity interests in CED Nevada Virginia. The senior notes will be issued when each project reaches commercial operation, the proceeds from the sale of which will repay a portion of the borrowings outstanding under a construction loan facility. In June 2021 and July 2021, CED Nevada Virginia issued $38 million and $61 million, respectively, of the $229 million senior notes, the proceeds from the sale of which repaid portion of the borrowings outstanding under the construction loan facility. The remaining $130 million of senior notes are expected to be issued when the last of the three projects reaches commercial operation during the third quarter of 2021. See Notes C and D to the Second Quarter Financial Statements.</w:t>
      </w:r>
    </w:p>
    <w:p>
      <w:pPr>
        <w:spacing w:after="0" w:line="27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February 2021, a subsidiary of the Clean Energy Businesses borrowed $250 million at a variable rate, due 2028, secured by equity interests in four of the company’s solar electric production projects, the interest rate for which was swapped to a fixed rate of 3.39 percent. See Note C to the Second Quarter Financial Statements.</w:t>
      </w:r>
    </w:p>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February 2021, a subsidiary of the Clean Energy Businesses entered into an agreement with a tax equity investor for the financing of a portfolio of three of the Clean Energy Businesses’ solar electric production projects (CED Nevada Virginia). Under the financing, the tax equity investor acquired a noncontrolling interest in the portfolio and will receive a percentage of earnings, tax attributes and cash flows. The tax equity investor’s funding obligation is subject to certain conditions precedent and a maximum funding obligation of $270 million. As of June 30, 2021, $99 million had been funded, with an additional $53 million funded in July 2021. The remaining amount is expected to be</w:t>
      </w:r>
    </w:p>
    <w:p>
      <w:pPr>
        <w:sectPr>
          <w:pgSz w:w="11900" w:h="16838" w:orient="portrait"/>
          <w:cols w:equalWidth="0" w:num="1">
            <w:col w:w="11240"/>
          </w:cols>
          <w:pgMar w:left="320" w:top="12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type w:val="continuous"/>
        </w:sectPr>
      </w:pPr>
    </w:p>
    <w:bookmarkStart w:id="79" w:name="page80"/>
    <w:bookmarkEnd w:id="79"/>
    <w:p>
      <w:pPr>
        <w:ind w:right="280"/>
        <w:spacing w:after="0" w:line="254" w:lineRule="auto"/>
        <w:rPr>
          <w:sz w:val="20"/>
          <w:szCs w:val="20"/>
          <w:color w:val="auto"/>
        </w:rPr>
      </w:pPr>
      <w:r>
        <w:rPr>
          <w:rFonts w:ascii="Arial" w:cs="Arial" w:eastAsia="Arial" w:hAnsi="Arial"/>
          <w:sz w:val="18"/>
          <w:szCs w:val="18"/>
          <w:color w:val="auto"/>
        </w:rPr>
        <w:t>funded upon the satisfaction of the remaining conditions precedent, including the last of the three projects reaching commercial operation, which is expected to occur during the third quarter of 2021. The Clean Energy Businesses will continue to consolidate this entity and will report the noncontrolling tax equity investor’s interest in the tax equity arrangement. See Notes C and P to the Second Quarter Financial Statements.</w:t>
      </w:r>
    </w:p>
    <w:p>
      <w:pPr>
        <w:spacing w:after="0" w:line="136"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Con Edison’s cash flows from financing for the six months ended June 30, 2021 and 2020 also reflect the proceeds, and reduction in cash used for reinvested dividends, resulting from the issuance of common shares under the company’s dividend reinvestment, stock purchase and long-term incentive plans of $54 million and $52 million, respectively.</w:t>
      </w:r>
    </w:p>
    <w:p>
      <w:pPr>
        <w:spacing w:after="0" w:line="256"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Cash flows used in financing activities of the Companies also reflect commercial paper issuances and repayments. The commercial paper amounts outstanding at June 30, 2021 and 2020 and the average daily balances for the six months ended June 30, 2021 and 2020 for Con Edison and CECONY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Borders>
              <w:bottom w:val="single" w:sz="8" w:color="8C8272"/>
            </w:tcBorders>
          </w:tcPr>
          <w:p>
            <w:pPr>
              <w:spacing w:after="0"/>
              <w:rPr>
                <w:sz w:val="16"/>
                <w:szCs w:val="16"/>
                <w:color w:val="auto"/>
              </w:rPr>
            </w:pPr>
          </w:p>
        </w:tc>
        <w:tc>
          <w:tcPr>
            <w:tcW w:w="2740" w:type="dxa"/>
            <w:vAlign w:val="bottom"/>
            <w:tcBorders>
              <w:bottom w:val="single" w:sz="8" w:color="8C8272"/>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8C8272"/>
            </w:tcBorders>
          </w:tcPr>
          <w:p>
            <w:pPr>
              <w:spacing w:after="0"/>
              <w:rPr>
                <w:sz w:val="16"/>
                <w:szCs w:val="16"/>
                <w:color w:val="auto"/>
              </w:rPr>
            </w:pPr>
          </w:p>
        </w:tc>
        <w:tc>
          <w:tcPr>
            <w:tcW w:w="1940" w:type="dxa"/>
            <w:vAlign w:val="bottom"/>
            <w:tcBorders>
              <w:bottom w:val="single" w:sz="8" w:color="8C8272"/>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8C8272"/>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(Millions of Dollars, except Weighted Average Yield)</w:t>
            </w:r>
          </w:p>
        </w:tc>
        <w:tc>
          <w:tcPr>
            <w:tcW w:w="2740" w:type="dxa"/>
            <w:vAlign w:val="bottom"/>
          </w:tcPr>
          <w:p>
            <w:pPr>
              <w:jc w:val="right"/>
              <w:ind w:right="408"/>
              <w:spacing w:after="0" w:line="142" w:lineRule="exact"/>
              <w:rPr>
                <w:sz w:val="20"/>
                <w:szCs w:val="20"/>
                <w:color w:val="auto"/>
              </w:rPr>
            </w:pPr>
            <w:r>
              <w:rPr>
                <w:rFonts w:ascii="Arial" w:cs="Arial" w:eastAsia="Arial" w:hAnsi="Arial"/>
                <w:sz w:val="14"/>
                <w:szCs w:val="14"/>
                <w:b w:val="1"/>
                <w:bCs w:val="1"/>
                <w:color w:val="auto"/>
              </w:rPr>
              <w:t>Outstanding at June</w:t>
            </w:r>
          </w:p>
        </w:tc>
        <w:tc>
          <w:tcPr>
            <w:tcW w:w="10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Daily</w:t>
            </w:r>
          </w:p>
        </w:tc>
        <w:tc>
          <w:tcPr>
            <w:tcW w:w="1940" w:type="dxa"/>
            <w:vAlign w:val="bottom"/>
          </w:tcPr>
          <w:p>
            <w:pPr>
              <w:jc w:val="right"/>
              <w:ind w:right="408"/>
              <w:spacing w:after="0" w:line="142" w:lineRule="exact"/>
              <w:rPr>
                <w:sz w:val="20"/>
                <w:szCs w:val="20"/>
                <w:color w:val="auto"/>
              </w:rPr>
            </w:pPr>
            <w:r>
              <w:rPr>
                <w:rFonts w:ascii="Arial" w:cs="Arial" w:eastAsia="Arial" w:hAnsi="Arial"/>
                <w:sz w:val="14"/>
                <w:szCs w:val="14"/>
                <w:b w:val="1"/>
                <w:bCs w:val="1"/>
                <w:color w:val="auto"/>
              </w:rPr>
              <w:t>Outstanding at June</w:t>
            </w: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Daily</w:t>
            </w:r>
          </w:p>
        </w:tc>
        <w:tc>
          <w:tcPr>
            <w:tcW w:w="0" w:type="dxa"/>
            <w:vAlign w:val="bottom"/>
          </w:tcPr>
          <w:p>
            <w:pPr>
              <w:spacing w:after="0"/>
              <w:rPr>
                <w:sz w:val="1"/>
                <w:szCs w:val="1"/>
                <w:color w:val="auto"/>
              </w:rPr>
            </w:pPr>
          </w:p>
        </w:tc>
      </w:tr>
      <w:tr>
        <w:trPr>
          <w:trHeight w:val="176"/>
        </w:trPr>
        <w:tc>
          <w:tcPr>
            <w:tcW w:w="4440" w:type="dxa"/>
            <w:vAlign w:val="bottom"/>
            <w:tcBorders>
              <w:bottom w:val="single" w:sz="8" w:color="8C8272"/>
            </w:tcBorders>
            <w:vMerge w:val="continue"/>
          </w:tcPr>
          <w:p>
            <w:pPr>
              <w:spacing w:after="0"/>
              <w:rPr>
                <w:sz w:val="15"/>
                <w:szCs w:val="15"/>
                <w:color w:val="auto"/>
              </w:rPr>
            </w:pPr>
          </w:p>
        </w:tc>
        <w:tc>
          <w:tcPr>
            <w:tcW w:w="2740" w:type="dxa"/>
            <w:vAlign w:val="bottom"/>
            <w:tcBorders>
              <w:bottom w:val="single" w:sz="8" w:color="8C8272"/>
            </w:tcBorders>
          </w:tcPr>
          <w:p>
            <w:pPr>
              <w:jc w:val="right"/>
              <w:ind w:right="408"/>
              <w:spacing w:after="0"/>
              <w:rPr>
                <w:sz w:val="20"/>
                <w:szCs w:val="20"/>
                <w:color w:val="auto"/>
              </w:rPr>
            </w:pPr>
            <w:r>
              <w:rPr>
                <w:rFonts w:ascii="Arial" w:cs="Arial" w:eastAsia="Arial" w:hAnsi="Arial"/>
                <w:sz w:val="14"/>
                <w:szCs w:val="14"/>
                <w:b w:val="1"/>
                <w:bCs w:val="1"/>
                <w:color w:val="auto"/>
              </w:rPr>
              <w:t>30,</w:t>
            </w:r>
          </w:p>
        </w:tc>
        <w:tc>
          <w:tcPr>
            <w:tcW w:w="108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average</w:t>
            </w:r>
          </w:p>
        </w:tc>
        <w:tc>
          <w:tcPr>
            <w:tcW w:w="1940" w:type="dxa"/>
            <w:vAlign w:val="bottom"/>
            <w:tcBorders>
              <w:bottom w:val="single" w:sz="8" w:color="8C8272"/>
            </w:tcBorders>
          </w:tcPr>
          <w:p>
            <w:pPr>
              <w:jc w:val="right"/>
              <w:ind w:right="408"/>
              <w:spacing w:after="0"/>
              <w:rPr>
                <w:sz w:val="20"/>
                <w:szCs w:val="20"/>
                <w:color w:val="auto"/>
              </w:rPr>
            </w:pPr>
            <w:r>
              <w:rPr>
                <w:rFonts w:ascii="Arial" w:cs="Arial" w:eastAsia="Arial" w:hAnsi="Arial"/>
                <w:sz w:val="14"/>
                <w:szCs w:val="14"/>
                <w:b w:val="1"/>
                <w:bCs w:val="1"/>
                <w:color w:val="auto"/>
              </w:rPr>
              <w:t>30,</w:t>
            </w:r>
          </w:p>
        </w:tc>
        <w:tc>
          <w:tcPr>
            <w:tcW w:w="104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3"/>
        </w:trPr>
        <w:tc>
          <w:tcPr>
            <w:tcW w:w="4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Con Edison</w:t>
            </w:r>
          </w:p>
        </w:tc>
        <w:tc>
          <w:tcPr>
            <w:tcW w:w="2740" w:type="dxa"/>
            <w:vAlign w:val="bottom"/>
            <w:shd w:val="clear" w:color="auto" w:fill="E5E5E5"/>
          </w:tcPr>
          <w:p>
            <w:pPr>
              <w:jc w:val="right"/>
              <w:ind w:right="408"/>
              <w:spacing w:after="0"/>
              <w:rPr>
                <w:sz w:val="20"/>
                <w:szCs w:val="20"/>
                <w:color w:val="auto"/>
              </w:rPr>
            </w:pPr>
            <w:r>
              <w:rPr>
                <w:rFonts w:ascii="Arial" w:cs="Arial" w:eastAsia="Arial" w:hAnsi="Arial"/>
                <w:sz w:val="14"/>
                <w:szCs w:val="14"/>
                <w:color w:val="auto"/>
              </w:rPr>
              <w:t>$1,052</w:t>
            </w: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$1,435</w:t>
            </w:r>
          </w:p>
        </w:tc>
        <w:tc>
          <w:tcPr>
            <w:tcW w:w="1940" w:type="dxa"/>
            <w:vAlign w:val="bottom"/>
            <w:shd w:val="clear" w:color="auto" w:fill="E5E5E5"/>
          </w:tcPr>
          <w:p>
            <w:pPr>
              <w:jc w:val="right"/>
              <w:ind w:right="408"/>
              <w:spacing w:after="0"/>
              <w:rPr>
                <w:sz w:val="20"/>
                <w:szCs w:val="20"/>
                <w:color w:val="auto"/>
              </w:rPr>
            </w:pPr>
            <w:r>
              <w:rPr>
                <w:rFonts w:ascii="Arial" w:cs="Arial" w:eastAsia="Arial" w:hAnsi="Arial"/>
                <w:sz w:val="14"/>
                <w:szCs w:val="14"/>
                <w:color w:val="auto"/>
              </w:rPr>
              <w:t>$1,813</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189"/>
        </w:trPr>
        <w:tc>
          <w:tcPr>
            <w:tcW w:w="4440" w:type="dxa"/>
            <w:vAlign w:val="bottom"/>
          </w:tcPr>
          <w:p>
            <w:pPr>
              <w:ind w:left="20"/>
              <w:spacing w:after="0"/>
              <w:rPr>
                <w:sz w:val="20"/>
                <w:szCs w:val="20"/>
                <w:color w:val="auto"/>
              </w:rPr>
            </w:pPr>
            <w:r>
              <w:rPr>
                <w:rFonts w:ascii="Arial" w:cs="Arial" w:eastAsia="Arial" w:hAnsi="Arial"/>
                <w:sz w:val="14"/>
                <w:szCs w:val="14"/>
                <w:color w:val="auto"/>
              </w:rPr>
              <w:t>CECONY</w:t>
            </w:r>
          </w:p>
        </w:tc>
        <w:tc>
          <w:tcPr>
            <w:tcW w:w="2740" w:type="dxa"/>
            <w:vAlign w:val="bottom"/>
          </w:tcPr>
          <w:p>
            <w:pPr>
              <w:jc w:val="right"/>
              <w:ind w:right="408"/>
              <w:spacing w:after="0"/>
              <w:rPr>
                <w:sz w:val="20"/>
                <w:szCs w:val="20"/>
                <w:color w:val="auto"/>
              </w:rPr>
            </w:pPr>
            <w:r>
              <w:rPr>
                <w:rFonts w:ascii="Arial" w:cs="Arial" w:eastAsia="Arial" w:hAnsi="Arial"/>
                <w:sz w:val="14"/>
                <w:szCs w:val="14"/>
                <w:color w:val="auto"/>
              </w:rPr>
              <w:t>$1,000</w:t>
            </w:r>
          </w:p>
        </w:tc>
        <w:tc>
          <w:tcPr>
            <w:tcW w:w="1080" w:type="dxa"/>
            <w:vAlign w:val="bottom"/>
          </w:tcPr>
          <w:p>
            <w:pPr>
              <w:jc w:val="right"/>
              <w:spacing w:after="0"/>
              <w:rPr>
                <w:sz w:val="20"/>
                <w:szCs w:val="20"/>
                <w:color w:val="auto"/>
              </w:rPr>
            </w:pPr>
            <w:r>
              <w:rPr>
                <w:rFonts w:ascii="Arial" w:cs="Arial" w:eastAsia="Arial" w:hAnsi="Arial"/>
                <w:sz w:val="14"/>
                <w:szCs w:val="14"/>
                <w:color w:val="auto"/>
              </w:rPr>
              <w:t>$1,317</w:t>
            </w:r>
          </w:p>
        </w:tc>
        <w:tc>
          <w:tcPr>
            <w:tcW w:w="1940" w:type="dxa"/>
            <w:vAlign w:val="bottom"/>
          </w:tcPr>
          <w:p>
            <w:pPr>
              <w:jc w:val="right"/>
              <w:ind w:right="408"/>
              <w:spacing w:after="0"/>
              <w:rPr>
                <w:sz w:val="20"/>
                <w:szCs w:val="20"/>
                <w:color w:val="auto"/>
              </w:rPr>
            </w:pPr>
            <w:r>
              <w:rPr>
                <w:rFonts w:ascii="Arial" w:cs="Arial" w:eastAsia="Arial" w:hAnsi="Arial"/>
                <w:sz w:val="14"/>
                <w:szCs w:val="14"/>
                <w:color w:val="auto"/>
              </w:rPr>
              <w:t>$1,115</w:t>
            </w:r>
          </w:p>
        </w:tc>
        <w:tc>
          <w:tcPr>
            <w:tcW w:w="1040" w:type="dxa"/>
            <w:vAlign w:val="bottom"/>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8C8272"/>
            </w:tcBorders>
            <w:shd w:val="clear" w:color="auto" w:fill="E5E5E5"/>
          </w:tcPr>
          <w:p>
            <w:pPr>
              <w:ind w:left="20"/>
              <w:spacing w:after="0"/>
              <w:rPr>
                <w:sz w:val="20"/>
                <w:szCs w:val="20"/>
                <w:color w:val="auto"/>
              </w:rPr>
            </w:pPr>
            <w:r>
              <w:rPr>
                <w:rFonts w:ascii="Arial" w:cs="Arial" w:eastAsia="Arial" w:hAnsi="Arial"/>
                <w:sz w:val="14"/>
                <w:szCs w:val="14"/>
                <w:color w:val="auto"/>
              </w:rPr>
              <w:t>Weighted average yield</w:t>
            </w:r>
          </w:p>
        </w:tc>
        <w:tc>
          <w:tcPr>
            <w:tcW w:w="2740" w:type="dxa"/>
            <w:vAlign w:val="bottom"/>
            <w:tcBorders>
              <w:bottom w:val="single" w:sz="8" w:color="8C8272"/>
            </w:tcBorders>
            <w:shd w:val="clear" w:color="auto" w:fill="E5E5E5"/>
          </w:tcPr>
          <w:p>
            <w:pPr>
              <w:jc w:val="right"/>
              <w:ind w:right="408"/>
              <w:spacing w:after="0"/>
              <w:rPr>
                <w:sz w:val="20"/>
                <w:szCs w:val="20"/>
                <w:color w:val="auto"/>
              </w:rPr>
            </w:pPr>
            <w:r>
              <w:rPr>
                <w:rFonts w:ascii="Arial" w:cs="Arial" w:eastAsia="Arial" w:hAnsi="Arial"/>
                <w:sz w:val="14"/>
                <w:szCs w:val="14"/>
                <w:color w:val="auto"/>
              </w:rPr>
              <w:t>0.2 %</w:t>
            </w:r>
          </w:p>
        </w:tc>
        <w:tc>
          <w:tcPr>
            <w:tcW w:w="108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0.2 %</w:t>
            </w:r>
          </w:p>
        </w:tc>
        <w:tc>
          <w:tcPr>
            <w:tcW w:w="1940" w:type="dxa"/>
            <w:vAlign w:val="bottom"/>
            <w:tcBorders>
              <w:bottom w:val="single" w:sz="8" w:color="8C8272"/>
            </w:tcBorders>
            <w:shd w:val="clear" w:color="auto" w:fill="E5E5E5"/>
          </w:tcPr>
          <w:p>
            <w:pPr>
              <w:jc w:val="right"/>
              <w:ind w:right="408"/>
              <w:spacing w:after="0"/>
              <w:rPr>
                <w:sz w:val="20"/>
                <w:szCs w:val="20"/>
                <w:color w:val="auto"/>
              </w:rPr>
            </w:pPr>
            <w:r>
              <w:rPr>
                <w:rFonts w:ascii="Arial" w:cs="Arial" w:eastAsia="Arial" w:hAnsi="Arial"/>
                <w:sz w:val="14"/>
                <w:szCs w:val="14"/>
                <w:color w:val="auto"/>
              </w:rPr>
              <w:t>0.2 %</w:t>
            </w:r>
          </w:p>
        </w:tc>
        <w:tc>
          <w:tcPr>
            <w:tcW w:w="104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-102235</wp:posOffset>
            </wp:positionV>
            <wp:extent cx="8255" cy="8255"/>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-85090</wp:posOffset>
            </wp:positionV>
            <wp:extent cx="8255" cy="8255"/>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-67945</wp:posOffset>
            </wp:positionV>
            <wp:extent cx="8255" cy="8255"/>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-50800</wp:posOffset>
            </wp:positionV>
            <wp:extent cx="8255" cy="8255"/>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-33655</wp:posOffset>
            </wp:positionV>
            <wp:extent cx="8255" cy="8890"/>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-16510</wp:posOffset>
            </wp:positionV>
            <wp:extent cx="8255" cy="8255"/>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-222250</wp:posOffset>
            </wp:positionV>
            <wp:extent cx="8255" cy="8255"/>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-205105</wp:posOffset>
            </wp:positionV>
            <wp:extent cx="8255" cy="8890"/>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-187960</wp:posOffset>
            </wp:positionV>
            <wp:extent cx="8255" cy="8255"/>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8255" cy="8255"/>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-153670</wp:posOffset>
            </wp:positionV>
            <wp:extent cx="8255" cy="8255"/>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-136525</wp:posOffset>
            </wp:positionV>
            <wp:extent cx="8255" cy="26035"/>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-367665</wp:posOffset>
            </wp:positionV>
            <wp:extent cx="8255" cy="17145"/>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-342265</wp:posOffset>
            </wp:positionV>
            <wp:extent cx="8255" cy="8890"/>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-325120</wp:posOffset>
            </wp:positionV>
            <wp:extent cx="8255" cy="8255"/>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-307975</wp:posOffset>
            </wp:positionV>
            <wp:extent cx="8255" cy="8255"/>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-290830</wp:posOffset>
            </wp:positionV>
            <wp:extent cx="8255" cy="8255"/>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-273685</wp:posOffset>
            </wp:positionV>
            <wp:extent cx="8255" cy="8255"/>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-256540</wp:posOffset>
            </wp:positionV>
            <wp:extent cx="8255" cy="26035"/>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-582295</wp:posOffset>
            </wp:positionV>
            <wp:extent cx="8255" cy="17145"/>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-556895</wp:posOffset>
            </wp:positionV>
            <wp:extent cx="8255" cy="8890"/>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-539115</wp:posOffset>
            </wp:positionV>
            <wp:extent cx="8255" cy="8255"/>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-521970</wp:posOffset>
            </wp:positionV>
            <wp:extent cx="8255" cy="8255"/>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-504825</wp:posOffset>
            </wp:positionV>
            <wp:extent cx="8255" cy="8255"/>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-487680</wp:posOffset>
            </wp:positionV>
            <wp:extent cx="8255" cy="8255"/>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-471170</wp:posOffset>
            </wp:positionV>
            <wp:extent cx="8255" cy="8890"/>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-453390</wp:posOffset>
            </wp:positionV>
            <wp:extent cx="8255" cy="8255"/>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-436245</wp:posOffset>
            </wp:positionV>
            <wp:extent cx="8255" cy="8255"/>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-419100</wp:posOffset>
            </wp:positionV>
            <wp:extent cx="8255" cy="8255"/>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-401955</wp:posOffset>
            </wp:positionV>
            <wp:extent cx="8255" cy="8255"/>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-385445</wp:posOffset>
            </wp:positionV>
            <wp:extent cx="8255" cy="8890"/>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3">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Capital Requirements and Resources</w:t>
      </w:r>
    </w:p>
    <w:p>
      <w:pPr>
        <w:spacing w:after="0" w:line="18"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During the first quarter of 2021, Con Edison increased its estimates for capital requirements for 2021, 2022 and 2023 from $5,985 million to $6,015 million, $4,380 million to $ 4,644 million and $5,137 million to $5,385 million, respectively. The increase reflects additional investments for the Reliable Clean City (RCC) projects approved by the NYSPSC in April 2021. See “CECONY” – “Electric” – “Electric Supply,” above. The company plans to meet its capital requirements for 2021 through 2023, through internally-generated funds and the issuance of long-term debt and common equity. The company's plans include the issuance of between $1,900 million and $ 2,600 million of long-term debt, including for maturing securities, primarily at the Utilities, in 2021 and approximately $1,400 million in aggregate of long-term debt at the Utilities during 2022 and 2023. The planned debt issuance is in addition to the issuance of long-term debt secured by the Clean Energy Businesses’ renewable electric production projects. The company's plans also include the issuance of up to $800 million of common equity in 2021 and approximately $700 million in aggregate of common equity during 2022 and 2023, in addition to equity under its dividend reinvestment, employee stock purchase and long-term incentive plans. See Note C to the Second Quarter Financial Statements and “Liquidity and Capital Resources - Cash Flows from Financing Activities,”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Companies, the common equity ratio at June 30, 2021 and December 31, 2020 was: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6760" w:type="dxa"/>
            <w:vAlign w:val="bottom"/>
            <w:gridSpan w:val="2"/>
          </w:tcPr>
          <w:p>
            <w:pPr>
              <w:jc w:val="center"/>
              <w:ind w:left="3188"/>
              <w:spacing w:after="0"/>
              <w:rPr>
                <w:sz w:val="20"/>
                <w:szCs w:val="20"/>
                <w:color w:val="auto"/>
              </w:rPr>
            </w:pPr>
            <w:r>
              <w:rPr>
                <w:rFonts w:ascii="Arial" w:cs="Arial" w:eastAsia="Arial" w:hAnsi="Arial"/>
                <w:sz w:val="14"/>
                <w:szCs w:val="14"/>
                <w:b w:val="1"/>
                <w:bCs w:val="1"/>
                <w:color w:val="auto"/>
              </w:rPr>
              <w:t>Common Equity Ratio</w:t>
            </w:r>
          </w:p>
        </w:tc>
      </w:tr>
      <w:tr>
        <w:trPr>
          <w:trHeight w:val="176"/>
        </w:trPr>
        <w:tc>
          <w:tcPr>
            <w:tcW w:w="4440" w:type="dxa"/>
            <w:vAlign w:val="bottom"/>
            <w:tcBorders>
              <w:bottom w:val="single" w:sz="8" w:color="8C8272"/>
            </w:tcBorders>
          </w:tcPr>
          <w:p>
            <w:pPr>
              <w:spacing w:after="0"/>
              <w:rPr>
                <w:sz w:val="15"/>
                <w:szCs w:val="15"/>
                <w:color w:val="auto"/>
              </w:rPr>
            </w:pPr>
          </w:p>
        </w:tc>
        <w:tc>
          <w:tcPr>
            <w:tcW w:w="6760" w:type="dxa"/>
            <w:vAlign w:val="bottom"/>
            <w:tcBorders>
              <w:bottom w:val="single" w:sz="8" w:color="8C8272"/>
            </w:tcBorders>
            <w:gridSpan w:val="2"/>
          </w:tcPr>
          <w:p>
            <w:pPr>
              <w:jc w:val="center"/>
              <w:ind w:left="3188"/>
              <w:spacing w:after="0"/>
              <w:rPr>
                <w:sz w:val="20"/>
                <w:szCs w:val="20"/>
                <w:color w:val="auto"/>
              </w:rPr>
            </w:pPr>
            <w:r>
              <w:rPr>
                <w:rFonts w:ascii="Arial" w:cs="Arial" w:eastAsia="Arial" w:hAnsi="Arial"/>
                <w:sz w:val="14"/>
                <w:szCs w:val="14"/>
                <w:b w:val="1"/>
                <w:bCs w:val="1"/>
                <w:color w:val="auto"/>
              </w:rPr>
              <w:t>(Percent of total capitalization)</w:t>
            </w:r>
          </w:p>
        </w:tc>
      </w:tr>
      <w:tr>
        <w:trPr>
          <w:trHeight w:val="223"/>
        </w:trPr>
        <w:tc>
          <w:tcPr>
            <w:tcW w:w="4440" w:type="dxa"/>
            <w:vAlign w:val="bottom"/>
            <w:tcBorders>
              <w:bottom w:val="single" w:sz="8" w:color="8C8272"/>
            </w:tcBorders>
          </w:tcPr>
          <w:p>
            <w:pPr>
              <w:spacing w:after="0"/>
              <w:rPr>
                <w:sz w:val="19"/>
                <w:szCs w:val="19"/>
                <w:color w:val="auto"/>
              </w:rPr>
            </w:pPr>
          </w:p>
        </w:tc>
        <w:tc>
          <w:tcPr>
            <w:tcW w:w="4920" w:type="dxa"/>
            <w:vAlign w:val="bottom"/>
            <w:tcBorders>
              <w:bottom w:val="single" w:sz="8" w:color="8C8272"/>
            </w:tcBorders>
          </w:tcPr>
          <w:p>
            <w:pPr>
              <w:jc w:val="center"/>
              <w:ind w:left="3288"/>
              <w:spacing w:after="0"/>
              <w:rPr>
                <w:sz w:val="20"/>
                <w:szCs w:val="20"/>
                <w:color w:val="auto"/>
              </w:rPr>
            </w:pPr>
            <w:r>
              <w:rPr>
                <w:rFonts w:ascii="Arial" w:cs="Arial" w:eastAsia="Arial" w:hAnsi="Arial"/>
                <w:sz w:val="14"/>
                <w:szCs w:val="14"/>
                <w:b w:val="1"/>
                <w:bCs w:val="1"/>
                <w:color w:val="auto"/>
              </w:rPr>
              <w:t>June 30, 2021</w:t>
            </w:r>
          </w:p>
        </w:tc>
        <w:tc>
          <w:tcPr>
            <w:tcW w:w="1840" w:type="dxa"/>
            <w:vAlign w:val="bottom"/>
            <w:tcBorders>
              <w:bottom w:val="single" w:sz="8" w:color="8C8272"/>
            </w:tcBorders>
          </w:tcPr>
          <w:p>
            <w:pPr>
              <w:jc w:val="center"/>
              <w:ind w:left="2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444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Con Edison</w:t>
            </w:r>
          </w:p>
        </w:tc>
        <w:tc>
          <w:tcPr>
            <w:tcW w:w="4920" w:type="dxa"/>
            <w:vAlign w:val="bottom"/>
            <w:shd w:val="clear" w:color="auto" w:fill="E5E5E5"/>
          </w:tcPr>
          <w:p>
            <w:pPr>
              <w:jc w:val="center"/>
              <w:ind w:left="3288"/>
              <w:spacing w:after="0"/>
              <w:rPr>
                <w:sz w:val="20"/>
                <w:szCs w:val="20"/>
                <w:color w:val="auto"/>
              </w:rPr>
            </w:pPr>
            <w:r>
              <w:rPr>
                <w:rFonts w:ascii="Arial" w:cs="Arial" w:eastAsia="Arial" w:hAnsi="Arial"/>
                <w:sz w:val="14"/>
                <w:szCs w:val="14"/>
                <w:color w:val="auto"/>
              </w:rPr>
              <w:t>48.1</w:t>
            </w:r>
          </w:p>
        </w:tc>
        <w:tc>
          <w:tcPr>
            <w:tcW w:w="1840" w:type="dxa"/>
            <w:vAlign w:val="bottom"/>
            <w:shd w:val="clear" w:color="auto" w:fill="E5E5E5"/>
          </w:tcPr>
          <w:p>
            <w:pPr>
              <w:jc w:val="center"/>
              <w:ind w:left="48"/>
              <w:spacing w:after="0"/>
              <w:rPr>
                <w:sz w:val="20"/>
                <w:szCs w:val="20"/>
                <w:color w:val="auto"/>
              </w:rPr>
            </w:pPr>
            <w:r>
              <w:rPr>
                <w:rFonts w:ascii="Arial" w:cs="Arial" w:eastAsia="Arial" w:hAnsi="Arial"/>
                <w:sz w:val="14"/>
                <w:szCs w:val="14"/>
                <w:color w:val="auto"/>
              </w:rPr>
              <w:t>48.3</w:t>
            </w:r>
          </w:p>
        </w:tc>
      </w:tr>
      <w:tr>
        <w:trPr>
          <w:trHeight w:val="189"/>
        </w:trPr>
        <w:tc>
          <w:tcPr>
            <w:tcW w:w="4440" w:type="dxa"/>
            <w:vAlign w:val="bottom"/>
            <w:tcBorders>
              <w:bottom w:val="single" w:sz="8" w:color="8C8272"/>
            </w:tcBorders>
          </w:tcPr>
          <w:p>
            <w:pPr>
              <w:ind w:left="20"/>
              <w:spacing w:after="0"/>
              <w:rPr>
                <w:sz w:val="20"/>
                <w:szCs w:val="20"/>
                <w:color w:val="auto"/>
              </w:rPr>
            </w:pPr>
            <w:r>
              <w:rPr>
                <w:rFonts w:ascii="Arial" w:cs="Arial" w:eastAsia="Arial" w:hAnsi="Arial"/>
                <w:sz w:val="14"/>
                <w:szCs w:val="14"/>
                <w:color w:val="auto"/>
              </w:rPr>
              <w:t>CECONY</w:t>
            </w:r>
          </w:p>
        </w:tc>
        <w:tc>
          <w:tcPr>
            <w:tcW w:w="4920" w:type="dxa"/>
            <w:vAlign w:val="bottom"/>
            <w:tcBorders>
              <w:bottom w:val="single" w:sz="8" w:color="8C8272"/>
            </w:tcBorders>
          </w:tcPr>
          <w:p>
            <w:pPr>
              <w:jc w:val="center"/>
              <w:ind w:left="3288"/>
              <w:spacing w:after="0"/>
              <w:rPr>
                <w:sz w:val="20"/>
                <w:szCs w:val="20"/>
                <w:color w:val="auto"/>
              </w:rPr>
            </w:pPr>
            <w:r>
              <w:rPr>
                <w:rFonts w:ascii="Arial" w:cs="Arial" w:eastAsia="Arial" w:hAnsi="Arial"/>
                <w:sz w:val="14"/>
                <w:szCs w:val="14"/>
                <w:color w:val="auto"/>
              </w:rPr>
              <w:t>47.5</w:t>
            </w:r>
          </w:p>
        </w:tc>
        <w:tc>
          <w:tcPr>
            <w:tcW w:w="1840" w:type="dxa"/>
            <w:vAlign w:val="bottom"/>
            <w:tcBorders>
              <w:bottom w:val="single" w:sz="8" w:color="8C8272"/>
            </w:tcBorders>
          </w:tcPr>
          <w:p>
            <w:pPr>
              <w:jc w:val="center"/>
              <w:ind w:left="48"/>
              <w:spacing w:after="0"/>
              <w:rPr>
                <w:sz w:val="20"/>
                <w:szCs w:val="20"/>
                <w:color w:val="auto"/>
              </w:rPr>
            </w:pPr>
            <w:r>
              <w:rPr>
                <w:rFonts w:ascii="Arial" w:cs="Arial" w:eastAsia="Arial" w:hAnsi="Arial"/>
                <w:sz w:val="14"/>
                <w:szCs w:val="14"/>
                <w:color w:val="auto"/>
              </w:rPr>
              <w:t>47.9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8C8272"/>
        </w:rPr>
        <w:t>Assets, Liabilities and Equity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Companies' assets, liabilities, and equity at June 30, 2021 and December 31, 2020 are summarized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CECONY</w:t>
            </w:r>
          </w:p>
        </w:tc>
        <w:tc>
          <w:tcPr>
            <w:tcW w:w="6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O&amp;R</w:t>
            </w:r>
          </w:p>
        </w:tc>
        <w:tc>
          <w:tcPr>
            <w:tcW w:w="640" w:type="dxa"/>
            <w:vAlign w:val="bottom"/>
          </w:tcPr>
          <w:p>
            <w:pPr>
              <w:spacing w:after="0"/>
              <w:rPr>
                <w:sz w:val="14"/>
                <w:szCs w:val="14"/>
                <w:color w:val="auto"/>
              </w:rPr>
            </w:pPr>
          </w:p>
        </w:tc>
        <w:tc>
          <w:tcPr>
            <w:tcW w:w="14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Clean Energy</w:t>
            </w:r>
          </w:p>
        </w:tc>
        <w:tc>
          <w:tcPr>
            <w:tcW w:w="144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Con Edison</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 (a)</w:t>
            </w:r>
          </w:p>
        </w:tc>
        <w:tc>
          <w:tcPr>
            <w:tcW w:w="520" w:type="dxa"/>
            <w:vAlign w:val="bottom"/>
          </w:tcPr>
          <w:p>
            <w:pPr>
              <w:spacing w:after="0"/>
              <w:rPr>
                <w:sz w:val="14"/>
                <w:szCs w:val="14"/>
                <w:color w:val="auto"/>
              </w:rPr>
            </w:pPr>
          </w:p>
        </w:tc>
        <w:tc>
          <w:tcPr>
            <w:tcW w:w="1580" w:type="dxa"/>
            <w:vAlign w:val="bottom"/>
            <w:gridSpan w:val="2"/>
            <w:vMerge w:val="restart"/>
          </w:tcPr>
          <w:p>
            <w:pPr>
              <w:jc w:val="right"/>
              <w:ind w:right="288"/>
              <w:spacing w:after="0"/>
              <w:rPr>
                <w:sz w:val="20"/>
                <w:szCs w:val="20"/>
                <w:color w:val="auto"/>
              </w:rPr>
            </w:pPr>
            <w:r>
              <w:rPr>
                <w:rFonts w:ascii="Arial" w:cs="Arial" w:eastAsia="Arial" w:hAnsi="Arial"/>
                <w:sz w:val="14"/>
                <w:szCs w:val="14"/>
                <w:b w:val="1"/>
                <w:bCs w:val="1"/>
                <w:color w:val="auto"/>
              </w:rPr>
              <w:t>Con Edison (b)</w:t>
            </w:r>
          </w:p>
        </w:tc>
        <w:tc>
          <w:tcPr>
            <w:tcW w:w="0" w:type="dxa"/>
            <w:vAlign w:val="bottom"/>
          </w:tcPr>
          <w:p>
            <w:pPr>
              <w:spacing w:after="0"/>
              <w:rPr>
                <w:sz w:val="1"/>
                <w:szCs w:val="1"/>
                <w:color w:val="auto"/>
              </w:rPr>
            </w:pPr>
          </w:p>
        </w:tc>
      </w:tr>
      <w:tr>
        <w:trPr>
          <w:trHeight w:val="175"/>
        </w:trPr>
        <w:tc>
          <w:tcPr>
            <w:tcW w:w="2100" w:type="dxa"/>
            <w:vAlign w:val="bottom"/>
            <w:tcBorders>
              <w:bottom w:val="single" w:sz="8" w:color="5E5E61"/>
            </w:tcBorders>
          </w:tcPr>
          <w:p>
            <w:pPr>
              <w:spacing w:after="0"/>
              <w:rPr>
                <w:sz w:val="15"/>
                <w:szCs w:val="15"/>
                <w:color w:val="auto"/>
              </w:rPr>
            </w:pPr>
          </w:p>
        </w:tc>
        <w:tc>
          <w:tcPr>
            <w:tcW w:w="1160" w:type="dxa"/>
            <w:vAlign w:val="bottom"/>
            <w:tcBorders>
              <w:bottom w:val="single" w:sz="8" w:color="5E5E61"/>
            </w:tcBorders>
            <w:vMerge w:val="continue"/>
          </w:tcPr>
          <w:p>
            <w:pPr>
              <w:spacing w:after="0"/>
              <w:rPr>
                <w:sz w:val="15"/>
                <w:szCs w:val="15"/>
                <w:color w:val="auto"/>
              </w:rPr>
            </w:pPr>
          </w:p>
        </w:tc>
        <w:tc>
          <w:tcPr>
            <w:tcW w:w="660" w:type="dxa"/>
            <w:vAlign w:val="bottom"/>
            <w:tcBorders>
              <w:bottom w:val="single" w:sz="8" w:color="5E5E61"/>
            </w:tcBorders>
          </w:tcPr>
          <w:p>
            <w:pPr>
              <w:spacing w:after="0"/>
              <w:rPr>
                <w:sz w:val="15"/>
                <w:szCs w:val="15"/>
                <w:color w:val="auto"/>
              </w:rPr>
            </w:pPr>
          </w:p>
        </w:tc>
        <w:tc>
          <w:tcPr>
            <w:tcW w:w="800" w:type="dxa"/>
            <w:vAlign w:val="bottom"/>
            <w:tcBorders>
              <w:bottom w:val="single" w:sz="8" w:color="5E5E61"/>
            </w:tcBorders>
            <w:vMerge w:val="continue"/>
          </w:tcPr>
          <w:p>
            <w:pPr>
              <w:spacing w:after="0"/>
              <w:rPr>
                <w:sz w:val="15"/>
                <w:szCs w:val="15"/>
                <w:color w:val="auto"/>
              </w:rPr>
            </w:pPr>
          </w:p>
        </w:tc>
        <w:tc>
          <w:tcPr>
            <w:tcW w:w="640" w:type="dxa"/>
            <w:vAlign w:val="bottom"/>
            <w:tcBorders>
              <w:bottom w:val="single" w:sz="8" w:color="5E5E61"/>
            </w:tcBorders>
          </w:tcPr>
          <w:p>
            <w:pPr>
              <w:spacing w:after="0"/>
              <w:rPr>
                <w:sz w:val="15"/>
                <w:szCs w:val="15"/>
                <w:color w:val="auto"/>
              </w:rPr>
            </w:pPr>
          </w:p>
        </w:tc>
        <w:tc>
          <w:tcPr>
            <w:tcW w:w="1420" w:type="dxa"/>
            <w:vAlign w:val="bottom"/>
            <w:tcBorders>
              <w:bottom w:val="single" w:sz="8" w:color="5E5E61"/>
            </w:tcBorders>
            <w:gridSpan w:val="2"/>
          </w:tcPr>
          <w:p>
            <w:pPr>
              <w:jc w:val="right"/>
              <w:ind w:right="348"/>
              <w:spacing w:after="0"/>
              <w:rPr>
                <w:sz w:val="20"/>
                <w:szCs w:val="20"/>
                <w:color w:val="auto"/>
              </w:rPr>
            </w:pPr>
            <w:r>
              <w:rPr>
                <w:rFonts w:ascii="Arial" w:cs="Arial" w:eastAsia="Arial" w:hAnsi="Arial"/>
                <w:sz w:val="14"/>
                <w:szCs w:val="14"/>
                <w:b w:val="1"/>
                <w:bCs w:val="1"/>
                <w:color w:val="auto"/>
              </w:rPr>
              <w:t>Businesses</w:t>
            </w:r>
          </w:p>
        </w:tc>
        <w:tc>
          <w:tcPr>
            <w:tcW w:w="1440" w:type="dxa"/>
            <w:vAlign w:val="bottom"/>
            <w:tcBorders>
              <w:bottom w:val="single" w:sz="8" w:color="5E5E61"/>
            </w:tcBorders>
            <w:gridSpan w:val="2"/>
          </w:tcPr>
          <w:p>
            <w:pPr>
              <w:jc w:val="right"/>
              <w:ind w:right="308"/>
              <w:spacing w:after="0"/>
              <w:rPr>
                <w:sz w:val="20"/>
                <w:szCs w:val="20"/>
                <w:color w:val="auto"/>
              </w:rPr>
            </w:pPr>
            <w:r>
              <w:rPr>
                <w:rFonts w:ascii="Arial" w:cs="Arial" w:eastAsia="Arial" w:hAnsi="Arial"/>
                <w:sz w:val="14"/>
                <w:szCs w:val="14"/>
                <w:b w:val="1"/>
                <w:bCs w:val="1"/>
                <w:color w:val="auto"/>
              </w:rPr>
              <w:t>Transmission</w:t>
            </w:r>
          </w:p>
        </w:tc>
        <w:tc>
          <w:tcPr>
            <w:tcW w:w="880" w:type="dxa"/>
            <w:vAlign w:val="bottom"/>
            <w:tcBorders>
              <w:bottom w:val="single" w:sz="8" w:color="5E5E61"/>
            </w:tcBorders>
            <w:vMerge w:val="continue"/>
          </w:tcPr>
          <w:p>
            <w:pPr>
              <w:spacing w:after="0"/>
              <w:rPr>
                <w:sz w:val="15"/>
                <w:szCs w:val="15"/>
                <w:color w:val="auto"/>
              </w:rPr>
            </w:pPr>
          </w:p>
        </w:tc>
        <w:tc>
          <w:tcPr>
            <w:tcW w:w="520" w:type="dxa"/>
            <w:vAlign w:val="bottom"/>
            <w:tcBorders>
              <w:bottom w:val="single" w:sz="8" w:color="5E5E61"/>
            </w:tcBorders>
          </w:tcPr>
          <w:p>
            <w:pPr>
              <w:spacing w:after="0"/>
              <w:rPr>
                <w:sz w:val="15"/>
                <w:szCs w:val="15"/>
                <w:color w:val="auto"/>
              </w:rPr>
            </w:pPr>
          </w:p>
        </w:tc>
        <w:tc>
          <w:tcPr>
            <w:tcW w:w="1580" w:type="dxa"/>
            <w:vAlign w:val="bottom"/>
            <w:tcBorders>
              <w:bottom w:val="single" w:sz="8" w:color="5E5E61"/>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Borders>
              <w:bottom w:val="single" w:sz="8" w:color="5E5E61"/>
            </w:tcBorders>
          </w:tcPr>
          <w:p>
            <w:pPr>
              <w:ind w:left="20"/>
              <w:spacing w:after="0"/>
              <w:rPr>
                <w:sz w:val="20"/>
                <w:szCs w:val="20"/>
                <w:color w:val="auto"/>
              </w:rPr>
            </w:pPr>
            <w:r>
              <w:rPr>
                <w:rFonts w:ascii="Arial" w:cs="Arial" w:eastAsia="Arial" w:hAnsi="Arial"/>
                <w:sz w:val="14"/>
                <w:szCs w:val="14"/>
                <w:b w:val="1"/>
                <w:bCs w:val="1"/>
                <w:i w:val="1"/>
                <w:iCs w:val="1"/>
                <w:color w:val="auto"/>
              </w:rPr>
              <w:t>(Millions of Dollars)</w:t>
            </w:r>
          </w:p>
        </w:tc>
        <w:tc>
          <w:tcPr>
            <w:tcW w:w="1160" w:type="dxa"/>
            <w:vAlign w:val="bottom"/>
            <w:tcBorders>
              <w:bottom w:val="single" w:sz="8" w:color="8C8272"/>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8C8272"/>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8C8272"/>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8C8272"/>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8C8272"/>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8C8272"/>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8C8272"/>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2100" w:type="dxa"/>
            <w:vAlign w:val="bottom"/>
            <w:shd w:val="clear" w:color="auto" w:fill="E5E5E5"/>
          </w:tcPr>
          <w:p>
            <w:pPr>
              <w:ind w:left="20"/>
              <w:spacing w:after="0"/>
              <w:rPr>
                <w:sz w:val="20"/>
                <w:szCs w:val="20"/>
                <w:color w:val="auto"/>
              </w:rPr>
            </w:pPr>
            <w:r>
              <w:rPr>
                <w:rFonts w:ascii="Arial" w:cs="Arial" w:eastAsia="Arial" w:hAnsi="Arial"/>
                <w:sz w:val="14"/>
                <w:szCs w:val="14"/>
                <w:color w:val="auto"/>
              </w:rPr>
              <w:t>ASSETS</w:t>
            </w:r>
          </w:p>
        </w:tc>
        <w:tc>
          <w:tcPr>
            <w:tcW w:w="116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$4,293</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$4,407</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$268</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$277</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$489</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$485</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$42</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$38</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$90</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$5,110</w:t>
            </w:r>
          </w:p>
        </w:tc>
        <w:tc>
          <w:tcPr>
            <w:tcW w:w="720" w:type="dxa"/>
            <w:vAlign w:val="bottom"/>
          </w:tcPr>
          <w:p>
            <w:pPr>
              <w:jc w:val="right"/>
              <w:spacing w:after="0"/>
              <w:rPr>
                <w:sz w:val="20"/>
                <w:szCs w:val="20"/>
                <w:color w:val="auto"/>
              </w:rPr>
            </w:pPr>
            <w:r>
              <w:rPr>
                <w:rFonts w:ascii="Arial" w:cs="Arial" w:eastAsia="Arial" w:hAnsi="Arial"/>
                <w:sz w:val="14"/>
                <w:szCs w:val="14"/>
                <w:color w:val="auto"/>
              </w:rPr>
              <w:t>$5,301</w:t>
            </w:r>
          </w:p>
        </w:tc>
        <w:tc>
          <w:tcPr>
            <w:tcW w:w="0" w:type="dxa"/>
            <w:vAlign w:val="bottom"/>
          </w:tcPr>
          <w:p>
            <w:pPr>
              <w:spacing w:after="0"/>
              <w:rPr>
                <w:sz w:val="1"/>
                <w:szCs w:val="1"/>
                <w:color w:val="auto"/>
              </w:rPr>
            </w:pPr>
          </w:p>
        </w:tc>
      </w:tr>
      <w:tr>
        <w:trPr>
          <w:trHeight w:val="189"/>
        </w:trPr>
        <w:tc>
          <w:tcPr>
            <w:tcW w:w="2100" w:type="dxa"/>
            <w:vAlign w:val="bottom"/>
            <w:shd w:val="clear" w:color="auto" w:fill="E5E5E5"/>
          </w:tcPr>
          <w:p>
            <w:pPr>
              <w:ind w:left="20"/>
              <w:spacing w:after="0"/>
              <w:rPr>
                <w:sz w:val="20"/>
                <w:szCs w:val="20"/>
                <w:color w:val="auto"/>
              </w:rPr>
            </w:pPr>
            <w:r>
              <w:rPr>
                <w:rFonts w:ascii="Arial" w:cs="Arial" w:eastAsia="Arial" w:hAnsi="Arial"/>
                <w:sz w:val="14"/>
                <w:szCs w:val="14"/>
                <w:color w:val="auto"/>
              </w:rPr>
              <w:t>Investments</w:t>
            </w:r>
          </w:p>
        </w:tc>
        <w:tc>
          <w:tcPr>
            <w:tcW w:w="116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594</w:t>
            </w:r>
          </w:p>
        </w:tc>
        <w:tc>
          <w:tcPr>
            <w:tcW w:w="6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541</w:t>
            </w:r>
          </w:p>
        </w:tc>
        <w:tc>
          <w:tcPr>
            <w:tcW w:w="80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27</w:t>
            </w:r>
          </w:p>
        </w:tc>
        <w:tc>
          <w:tcPr>
            <w:tcW w:w="6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26</w:t>
            </w:r>
          </w:p>
        </w:tc>
        <w:tc>
          <w:tcPr>
            <w:tcW w:w="7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11</w:t>
            </w:r>
          </w:p>
        </w:tc>
        <w:tc>
          <w:tcPr>
            <w:tcW w:w="7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1,064</w:t>
            </w: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1,256</w:t>
            </w:r>
          </w:p>
        </w:tc>
        <w:tc>
          <w:tcPr>
            <w:tcW w:w="88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(8)</w:t>
            </w:r>
          </w:p>
        </w:tc>
        <w:tc>
          <w:tcPr>
            <w:tcW w:w="5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(7)</w:t>
            </w:r>
          </w:p>
        </w:tc>
        <w:tc>
          <w:tcPr>
            <w:tcW w:w="8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1,688</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1,816</w:t>
            </w: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Net plant</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40,434</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39,554</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2,517</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2,469</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4,370</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4,515</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880" w:type="dxa"/>
            <w:vAlign w:val="bottom"/>
          </w:tcPr>
          <w:p>
            <w:pPr>
              <w:jc w:val="right"/>
              <w:ind w:right="288"/>
              <w:spacing w:after="0"/>
              <w:rPr>
                <w:sz w:val="20"/>
                <w:szCs w:val="20"/>
                <w:color w:val="auto"/>
              </w:rPr>
            </w:pPr>
            <w:r>
              <w:rPr>
                <w:rFonts w:ascii="Arial" w:cs="Arial" w:eastAsia="Arial" w:hAnsi="Arial"/>
                <w:sz w:val="14"/>
                <w:szCs w:val="14"/>
                <w:color w:val="auto"/>
              </w:rPr>
              <w:t>2</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47,339</w:t>
            </w:r>
          </w:p>
        </w:tc>
        <w:tc>
          <w:tcPr>
            <w:tcW w:w="720" w:type="dxa"/>
            <w:vAlign w:val="bottom"/>
          </w:tcPr>
          <w:p>
            <w:pPr>
              <w:jc w:val="right"/>
              <w:spacing w:after="0"/>
              <w:rPr>
                <w:sz w:val="20"/>
                <w:szCs w:val="20"/>
                <w:color w:val="auto"/>
              </w:rPr>
            </w:pPr>
            <w:r>
              <w:rPr>
                <w:rFonts w:ascii="Arial" w:cs="Arial" w:eastAsia="Arial" w:hAnsi="Arial"/>
                <w:sz w:val="14"/>
                <w:szCs w:val="14"/>
                <w:color w:val="auto"/>
              </w:rPr>
              <w:t>46,555</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5E5E61"/>
            </w:tcBorders>
            <w:shd w:val="clear" w:color="auto" w:fill="E5E5E5"/>
          </w:tcPr>
          <w:p>
            <w:pPr>
              <w:ind w:left="20"/>
              <w:spacing w:after="0"/>
              <w:rPr>
                <w:sz w:val="20"/>
                <w:szCs w:val="20"/>
                <w:color w:val="auto"/>
              </w:rPr>
            </w:pPr>
            <w:r>
              <w:rPr>
                <w:rFonts w:ascii="Arial" w:cs="Arial" w:eastAsia="Arial" w:hAnsi="Arial"/>
                <w:sz w:val="14"/>
                <w:szCs w:val="14"/>
                <w:color w:val="auto"/>
              </w:rPr>
              <w:t>Other noncurrent assets</w:t>
            </w:r>
          </w:p>
        </w:tc>
        <w:tc>
          <w:tcPr>
            <w:tcW w:w="1160" w:type="dxa"/>
            <w:vAlign w:val="bottom"/>
            <w:tcBorders>
              <w:bottom w:val="single" w:sz="8" w:color="5E5E61"/>
            </w:tcBorders>
            <w:shd w:val="clear" w:color="auto" w:fill="E5E5E5"/>
          </w:tcPr>
          <w:p>
            <w:pPr>
              <w:jc w:val="right"/>
              <w:ind w:right="248"/>
              <w:spacing w:after="0"/>
              <w:rPr>
                <w:sz w:val="20"/>
                <w:szCs w:val="20"/>
                <w:color w:val="auto"/>
              </w:rPr>
            </w:pPr>
            <w:r>
              <w:rPr>
                <w:rFonts w:ascii="Arial" w:cs="Arial" w:eastAsia="Arial" w:hAnsi="Arial"/>
                <w:sz w:val="14"/>
                <w:szCs w:val="14"/>
                <w:color w:val="auto"/>
              </w:rPr>
              <w:t>6,194</w:t>
            </w:r>
          </w:p>
        </w:tc>
        <w:tc>
          <w:tcPr>
            <w:tcW w:w="660" w:type="dxa"/>
            <w:vAlign w:val="bottom"/>
            <w:tcBorders>
              <w:bottom w:val="single" w:sz="8" w:color="5E5E61"/>
            </w:tcBorders>
            <w:shd w:val="clear" w:color="auto" w:fill="E5E5E5"/>
          </w:tcPr>
          <w:p>
            <w:pPr>
              <w:jc w:val="right"/>
              <w:ind w:right="68"/>
              <w:spacing w:after="0"/>
              <w:rPr>
                <w:sz w:val="20"/>
                <w:szCs w:val="20"/>
                <w:color w:val="auto"/>
              </w:rPr>
            </w:pPr>
            <w:r>
              <w:rPr>
                <w:rFonts w:ascii="Arial" w:cs="Arial" w:eastAsia="Arial" w:hAnsi="Arial"/>
                <w:sz w:val="14"/>
                <w:szCs w:val="14"/>
                <w:color w:val="auto"/>
              </w:rPr>
              <w:t>6,465</w:t>
            </w:r>
          </w:p>
        </w:tc>
        <w:tc>
          <w:tcPr>
            <w:tcW w:w="800" w:type="dxa"/>
            <w:vAlign w:val="bottom"/>
            <w:tcBorders>
              <w:bottom w:val="single" w:sz="8" w:color="5E5E61"/>
            </w:tcBorders>
            <w:shd w:val="clear" w:color="auto" w:fill="E5E5E5"/>
          </w:tcPr>
          <w:p>
            <w:pPr>
              <w:jc w:val="right"/>
              <w:ind w:right="148"/>
              <w:spacing w:after="0"/>
              <w:rPr>
                <w:sz w:val="20"/>
                <w:szCs w:val="20"/>
                <w:color w:val="auto"/>
              </w:rPr>
            </w:pPr>
            <w:r>
              <w:rPr>
                <w:rFonts w:ascii="Arial" w:cs="Arial" w:eastAsia="Arial" w:hAnsi="Arial"/>
                <w:sz w:val="14"/>
                <w:szCs w:val="14"/>
                <w:color w:val="auto"/>
              </w:rPr>
              <w:t>445</w:t>
            </w:r>
          </w:p>
        </w:tc>
        <w:tc>
          <w:tcPr>
            <w:tcW w:w="640" w:type="dxa"/>
            <w:vAlign w:val="bottom"/>
            <w:tcBorders>
              <w:bottom w:val="single" w:sz="8" w:color="5E5E61"/>
            </w:tcBorders>
            <w:shd w:val="clear" w:color="auto" w:fill="E5E5E5"/>
          </w:tcPr>
          <w:p>
            <w:pPr>
              <w:jc w:val="right"/>
              <w:ind w:right="68"/>
              <w:spacing w:after="0"/>
              <w:rPr>
                <w:sz w:val="20"/>
                <w:szCs w:val="20"/>
                <w:color w:val="auto"/>
              </w:rPr>
            </w:pPr>
            <w:r>
              <w:rPr>
                <w:rFonts w:ascii="Arial" w:cs="Arial" w:eastAsia="Arial" w:hAnsi="Arial"/>
                <w:sz w:val="14"/>
                <w:szCs w:val="14"/>
                <w:color w:val="auto"/>
              </w:rPr>
              <w:t>475</w:t>
            </w:r>
          </w:p>
        </w:tc>
        <w:tc>
          <w:tcPr>
            <w:tcW w:w="700" w:type="dxa"/>
            <w:vAlign w:val="bottom"/>
            <w:tcBorders>
              <w:bottom w:val="single" w:sz="8" w:color="5E5E61"/>
            </w:tcBorders>
            <w:shd w:val="clear" w:color="auto" w:fill="E5E5E5"/>
          </w:tcPr>
          <w:p>
            <w:pPr>
              <w:jc w:val="right"/>
              <w:ind w:right="48"/>
              <w:spacing w:after="0"/>
              <w:rPr>
                <w:sz w:val="20"/>
                <w:szCs w:val="20"/>
                <w:color w:val="auto"/>
              </w:rPr>
            </w:pPr>
            <w:r>
              <w:rPr>
                <w:rFonts w:ascii="Arial" w:cs="Arial" w:eastAsia="Arial" w:hAnsi="Arial"/>
                <w:sz w:val="14"/>
                <w:szCs w:val="14"/>
                <w:color w:val="auto"/>
              </w:rPr>
              <w:t>1,704</w:t>
            </w:r>
          </w:p>
        </w:tc>
        <w:tc>
          <w:tcPr>
            <w:tcW w:w="720" w:type="dxa"/>
            <w:vAlign w:val="bottom"/>
            <w:tcBorders>
              <w:bottom w:val="single" w:sz="8" w:color="5E5E61"/>
            </w:tcBorders>
            <w:shd w:val="clear" w:color="auto" w:fill="E5E5E5"/>
          </w:tcPr>
          <w:p>
            <w:pPr>
              <w:jc w:val="right"/>
              <w:ind w:right="68"/>
              <w:spacing w:after="0"/>
              <w:rPr>
                <w:sz w:val="20"/>
                <w:szCs w:val="20"/>
                <w:color w:val="auto"/>
              </w:rPr>
            </w:pPr>
            <w:r>
              <w:rPr>
                <w:rFonts w:ascii="Arial" w:cs="Arial" w:eastAsia="Arial" w:hAnsi="Arial"/>
                <w:sz w:val="14"/>
                <w:szCs w:val="14"/>
                <w:color w:val="auto"/>
              </w:rPr>
              <w:t>1,848</w:t>
            </w:r>
          </w:p>
        </w:tc>
        <w:tc>
          <w:tcPr>
            <w:tcW w:w="720" w:type="dxa"/>
            <w:vAlign w:val="bottom"/>
            <w:tcBorders>
              <w:bottom w:val="single" w:sz="8" w:color="5E5E61"/>
            </w:tcBorders>
            <w:shd w:val="clear" w:color="auto" w:fill="E5E5E5"/>
          </w:tcPr>
          <w:p>
            <w:pPr>
              <w:jc w:val="right"/>
              <w:ind w:right="68"/>
              <w:spacing w:after="0"/>
              <w:rPr>
                <w:sz w:val="20"/>
                <w:szCs w:val="20"/>
                <w:color w:val="auto"/>
              </w:rPr>
            </w:pPr>
            <w:r>
              <w:rPr>
                <w:rFonts w:ascii="Arial" w:cs="Arial" w:eastAsia="Arial" w:hAnsi="Arial"/>
                <w:sz w:val="14"/>
                <w:szCs w:val="14"/>
                <w:color w:val="auto"/>
              </w:rPr>
              <w:t>34</w:t>
            </w:r>
          </w:p>
        </w:tc>
        <w:tc>
          <w:tcPr>
            <w:tcW w:w="720" w:type="dxa"/>
            <w:vAlign w:val="bottom"/>
            <w:tcBorders>
              <w:bottom w:val="single" w:sz="8" w:color="5E5E61"/>
            </w:tcBorders>
            <w:shd w:val="clear" w:color="auto" w:fill="E5E5E5"/>
          </w:tcPr>
          <w:p>
            <w:pPr>
              <w:jc w:val="right"/>
              <w:ind w:right="68"/>
              <w:spacing w:after="0"/>
              <w:rPr>
                <w:sz w:val="20"/>
                <w:szCs w:val="20"/>
                <w:color w:val="auto"/>
              </w:rPr>
            </w:pPr>
            <w:r>
              <w:rPr>
                <w:rFonts w:ascii="Arial" w:cs="Arial" w:eastAsia="Arial" w:hAnsi="Arial"/>
                <w:sz w:val="14"/>
                <w:szCs w:val="14"/>
                <w:color w:val="auto"/>
              </w:rPr>
              <w:t>33</w:t>
            </w:r>
          </w:p>
        </w:tc>
        <w:tc>
          <w:tcPr>
            <w:tcW w:w="880" w:type="dxa"/>
            <w:vAlign w:val="bottom"/>
            <w:tcBorders>
              <w:bottom w:val="single" w:sz="8" w:color="5E5E61"/>
            </w:tcBorders>
            <w:shd w:val="clear" w:color="auto" w:fill="E5E5E5"/>
          </w:tcPr>
          <w:p>
            <w:pPr>
              <w:jc w:val="right"/>
              <w:ind w:right="228"/>
              <w:spacing w:after="0"/>
              <w:rPr>
                <w:sz w:val="20"/>
                <w:szCs w:val="20"/>
                <w:color w:val="auto"/>
              </w:rPr>
            </w:pPr>
            <w:r>
              <w:rPr>
                <w:rFonts w:ascii="Arial" w:cs="Arial" w:eastAsia="Arial" w:hAnsi="Arial"/>
                <w:sz w:val="14"/>
                <w:szCs w:val="14"/>
                <w:color w:val="auto"/>
              </w:rPr>
              <w:t>405</w:t>
            </w:r>
          </w:p>
        </w:tc>
        <w:tc>
          <w:tcPr>
            <w:tcW w:w="520" w:type="dxa"/>
            <w:vAlign w:val="bottom"/>
            <w:tcBorders>
              <w:bottom w:val="single" w:sz="8" w:color="5E5E61"/>
            </w:tcBorders>
            <w:shd w:val="clear" w:color="auto" w:fill="E5E5E5"/>
          </w:tcPr>
          <w:p>
            <w:pPr>
              <w:jc w:val="right"/>
              <w:ind w:right="88"/>
              <w:spacing w:after="0"/>
              <w:rPr>
                <w:sz w:val="20"/>
                <w:szCs w:val="20"/>
                <w:color w:val="auto"/>
              </w:rPr>
            </w:pPr>
            <w:r>
              <w:rPr>
                <w:rFonts w:ascii="Arial" w:cs="Arial" w:eastAsia="Arial" w:hAnsi="Arial"/>
                <w:sz w:val="14"/>
                <w:szCs w:val="14"/>
                <w:color w:val="auto"/>
              </w:rPr>
              <w:t>402</w:t>
            </w:r>
          </w:p>
        </w:tc>
        <w:tc>
          <w:tcPr>
            <w:tcW w:w="860" w:type="dxa"/>
            <w:vAlign w:val="bottom"/>
            <w:tcBorders>
              <w:bottom w:val="single" w:sz="8" w:color="5E5E61"/>
            </w:tcBorders>
            <w:shd w:val="clear" w:color="auto" w:fill="E5E5E5"/>
          </w:tcPr>
          <w:p>
            <w:pPr>
              <w:jc w:val="right"/>
              <w:ind w:right="88"/>
              <w:spacing w:after="0"/>
              <w:rPr>
                <w:sz w:val="20"/>
                <w:szCs w:val="20"/>
                <w:color w:val="auto"/>
              </w:rPr>
            </w:pPr>
            <w:r>
              <w:rPr>
                <w:rFonts w:ascii="Arial" w:cs="Arial" w:eastAsia="Arial" w:hAnsi="Arial"/>
                <w:sz w:val="14"/>
                <w:szCs w:val="14"/>
                <w:color w:val="auto"/>
              </w:rPr>
              <w:t>8,782</w:t>
            </w:r>
          </w:p>
        </w:tc>
        <w:tc>
          <w:tcPr>
            <w:tcW w:w="720" w:type="dxa"/>
            <w:vAlign w:val="bottom"/>
            <w:tcBorders>
              <w:bottom w:val="single" w:sz="8" w:color="5E5E61"/>
            </w:tcBorders>
            <w:shd w:val="clear" w:color="auto" w:fill="E5E5E5"/>
          </w:tcPr>
          <w:p>
            <w:pPr>
              <w:jc w:val="right"/>
              <w:spacing w:after="0"/>
              <w:rPr>
                <w:sz w:val="20"/>
                <w:szCs w:val="20"/>
                <w:color w:val="auto"/>
              </w:rPr>
            </w:pPr>
            <w:r>
              <w:rPr>
                <w:rFonts w:ascii="Arial" w:cs="Arial" w:eastAsia="Arial" w:hAnsi="Arial"/>
                <w:sz w:val="14"/>
                <w:szCs w:val="14"/>
                <w:color w:val="auto"/>
              </w:rPr>
              <w:t>9,223</w:t>
            </w:r>
          </w:p>
        </w:tc>
        <w:tc>
          <w:tcPr>
            <w:tcW w:w="0" w:type="dxa"/>
            <w:vAlign w:val="bottom"/>
          </w:tcPr>
          <w:p>
            <w:pPr>
              <w:spacing w:after="0"/>
              <w:rPr>
                <w:sz w:val="1"/>
                <w:szCs w:val="1"/>
                <w:color w:val="auto"/>
              </w:rPr>
            </w:pPr>
          </w:p>
        </w:tc>
      </w:tr>
      <w:tr>
        <w:trPr>
          <w:trHeight w:val="183"/>
        </w:trPr>
        <w:tc>
          <w:tcPr>
            <w:tcW w:w="2100" w:type="dxa"/>
            <w:vAlign w:val="bottom"/>
            <w:tcBorders>
              <w:bottom w:val="single" w:sz="8" w:color="5E5E61"/>
            </w:tcBorders>
          </w:tcPr>
          <w:p>
            <w:pPr>
              <w:ind w:left="140"/>
              <w:spacing w:after="0"/>
              <w:rPr>
                <w:sz w:val="20"/>
                <w:szCs w:val="20"/>
                <w:color w:val="auto"/>
              </w:rPr>
            </w:pPr>
            <w:r>
              <w:rPr>
                <w:rFonts w:ascii="Arial" w:cs="Arial" w:eastAsia="Arial" w:hAnsi="Arial"/>
                <w:sz w:val="14"/>
                <w:szCs w:val="14"/>
                <w:color w:val="auto"/>
              </w:rPr>
              <w:t>Total Assets</w:t>
            </w:r>
          </w:p>
        </w:tc>
        <w:tc>
          <w:tcPr>
            <w:tcW w:w="1160" w:type="dxa"/>
            <w:vAlign w:val="bottom"/>
            <w:tcBorders>
              <w:bottom w:val="single" w:sz="8" w:color="5E5E61"/>
            </w:tcBorders>
          </w:tcPr>
          <w:p>
            <w:pPr>
              <w:jc w:val="right"/>
              <w:ind w:right="248"/>
              <w:spacing w:after="0"/>
              <w:rPr>
                <w:sz w:val="20"/>
                <w:szCs w:val="20"/>
                <w:color w:val="auto"/>
              </w:rPr>
            </w:pPr>
            <w:r>
              <w:rPr>
                <w:rFonts w:ascii="Arial" w:cs="Arial" w:eastAsia="Arial" w:hAnsi="Arial"/>
                <w:sz w:val="14"/>
                <w:szCs w:val="14"/>
                <w:color w:val="auto"/>
              </w:rPr>
              <w:t>$51,515</w:t>
            </w:r>
          </w:p>
        </w:tc>
        <w:tc>
          <w:tcPr>
            <w:tcW w:w="660" w:type="dxa"/>
            <w:vAlign w:val="bottom"/>
            <w:tcBorders>
              <w:bottom w:val="single" w:sz="8" w:color="5E5E61"/>
            </w:tcBorders>
          </w:tcPr>
          <w:p>
            <w:pPr>
              <w:jc w:val="right"/>
              <w:ind w:right="68"/>
              <w:spacing w:after="0"/>
              <w:rPr>
                <w:sz w:val="20"/>
                <w:szCs w:val="20"/>
                <w:color w:val="auto"/>
              </w:rPr>
            </w:pPr>
            <w:r>
              <w:rPr>
                <w:rFonts w:ascii="Arial" w:cs="Arial" w:eastAsia="Arial" w:hAnsi="Arial"/>
                <w:sz w:val="14"/>
                <w:szCs w:val="14"/>
                <w:color w:val="auto"/>
                <w:w w:val="98"/>
              </w:rPr>
              <w:t>$50,967</w:t>
            </w:r>
          </w:p>
        </w:tc>
        <w:tc>
          <w:tcPr>
            <w:tcW w:w="800" w:type="dxa"/>
            <w:vAlign w:val="bottom"/>
            <w:tcBorders>
              <w:bottom w:val="single" w:sz="8" w:color="5E5E61"/>
            </w:tcBorders>
          </w:tcPr>
          <w:p>
            <w:pPr>
              <w:jc w:val="right"/>
              <w:ind w:right="148"/>
              <w:spacing w:after="0"/>
              <w:rPr>
                <w:sz w:val="20"/>
                <w:szCs w:val="20"/>
                <w:color w:val="auto"/>
              </w:rPr>
            </w:pPr>
            <w:r>
              <w:rPr>
                <w:rFonts w:ascii="Arial" w:cs="Arial" w:eastAsia="Arial" w:hAnsi="Arial"/>
                <w:sz w:val="14"/>
                <w:szCs w:val="14"/>
                <w:color w:val="auto"/>
              </w:rPr>
              <w:t>$3,257</w:t>
            </w:r>
          </w:p>
        </w:tc>
        <w:tc>
          <w:tcPr>
            <w:tcW w:w="640" w:type="dxa"/>
            <w:vAlign w:val="bottom"/>
            <w:tcBorders>
              <w:bottom w:val="single" w:sz="8" w:color="5E5E61"/>
            </w:tcBorders>
          </w:tcPr>
          <w:p>
            <w:pPr>
              <w:jc w:val="right"/>
              <w:ind w:right="68"/>
              <w:spacing w:after="0"/>
              <w:rPr>
                <w:sz w:val="20"/>
                <w:szCs w:val="20"/>
                <w:color w:val="auto"/>
              </w:rPr>
            </w:pPr>
            <w:r>
              <w:rPr>
                <w:rFonts w:ascii="Arial" w:cs="Arial" w:eastAsia="Arial" w:hAnsi="Arial"/>
                <w:sz w:val="14"/>
                <w:szCs w:val="14"/>
                <w:color w:val="auto"/>
              </w:rPr>
              <w:t>$3,247</w:t>
            </w:r>
          </w:p>
        </w:tc>
        <w:tc>
          <w:tcPr>
            <w:tcW w:w="700" w:type="dxa"/>
            <w:vAlign w:val="bottom"/>
            <w:tcBorders>
              <w:bottom w:val="single" w:sz="8" w:color="5E5E61"/>
            </w:tcBorders>
          </w:tcPr>
          <w:p>
            <w:pPr>
              <w:jc w:val="right"/>
              <w:ind w:right="48"/>
              <w:spacing w:after="0"/>
              <w:rPr>
                <w:sz w:val="20"/>
                <w:szCs w:val="20"/>
                <w:color w:val="auto"/>
              </w:rPr>
            </w:pPr>
            <w:r>
              <w:rPr>
                <w:rFonts w:ascii="Arial" w:cs="Arial" w:eastAsia="Arial" w:hAnsi="Arial"/>
                <w:sz w:val="14"/>
                <w:szCs w:val="14"/>
                <w:color w:val="auto"/>
              </w:rPr>
              <w:t>$6,574</w:t>
            </w:r>
          </w:p>
        </w:tc>
        <w:tc>
          <w:tcPr>
            <w:tcW w:w="720" w:type="dxa"/>
            <w:vAlign w:val="bottom"/>
            <w:tcBorders>
              <w:bottom w:val="single" w:sz="8" w:color="5E5E61"/>
            </w:tcBorders>
          </w:tcPr>
          <w:p>
            <w:pPr>
              <w:jc w:val="right"/>
              <w:ind w:right="68"/>
              <w:spacing w:after="0"/>
              <w:rPr>
                <w:sz w:val="20"/>
                <w:szCs w:val="20"/>
                <w:color w:val="auto"/>
              </w:rPr>
            </w:pPr>
            <w:r>
              <w:rPr>
                <w:rFonts w:ascii="Arial" w:cs="Arial" w:eastAsia="Arial" w:hAnsi="Arial"/>
                <w:sz w:val="14"/>
                <w:szCs w:val="14"/>
                <w:color w:val="auto"/>
              </w:rPr>
              <w:t>$6,848</w:t>
            </w:r>
          </w:p>
        </w:tc>
        <w:tc>
          <w:tcPr>
            <w:tcW w:w="720" w:type="dxa"/>
            <w:vAlign w:val="bottom"/>
            <w:tcBorders>
              <w:bottom w:val="single" w:sz="8" w:color="5E5E61"/>
            </w:tcBorders>
          </w:tcPr>
          <w:p>
            <w:pPr>
              <w:jc w:val="right"/>
              <w:ind w:right="68"/>
              <w:spacing w:after="0"/>
              <w:rPr>
                <w:sz w:val="20"/>
                <w:szCs w:val="20"/>
                <w:color w:val="auto"/>
              </w:rPr>
            </w:pPr>
            <w:r>
              <w:rPr>
                <w:rFonts w:ascii="Arial" w:cs="Arial" w:eastAsia="Arial" w:hAnsi="Arial"/>
                <w:sz w:val="14"/>
                <w:szCs w:val="14"/>
                <w:color w:val="auto"/>
              </w:rPr>
              <w:t>$1,136</w:t>
            </w:r>
          </w:p>
        </w:tc>
        <w:tc>
          <w:tcPr>
            <w:tcW w:w="720" w:type="dxa"/>
            <w:vAlign w:val="bottom"/>
            <w:tcBorders>
              <w:bottom w:val="single" w:sz="8" w:color="5E5E61"/>
            </w:tcBorders>
          </w:tcPr>
          <w:p>
            <w:pPr>
              <w:jc w:val="right"/>
              <w:ind w:right="68"/>
              <w:spacing w:after="0"/>
              <w:rPr>
                <w:sz w:val="20"/>
                <w:szCs w:val="20"/>
                <w:color w:val="auto"/>
              </w:rPr>
            </w:pPr>
            <w:r>
              <w:rPr>
                <w:rFonts w:ascii="Arial" w:cs="Arial" w:eastAsia="Arial" w:hAnsi="Arial"/>
                <w:sz w:val="14"/>
                <w:szCs w:val="14"/>
                <w:color w:val="auto"/>
              </w:rPr>
              <w:t>$1,348</w:t>
            </w:r>
          </w:p>
        </w:tc>
        <w:tc>
          <w:tcPr>
            <w:tcW w:w="880" w:type="dxa"/>
            <w:vAlign w:val="bottom"/>
            <w:tcBorders>
              <w:bottom w:val="single" w:sz="8" w:color="5E5E61"/>
            </w:tcBorders>
          </w:tcPr>
          <w:p>
            <w:pPr>
              <w:jc w:val="right"/>
              <w:ind w:right="228"/>
              <w:spacing w:after="0"/>
              <w:rPr>
                <w:sz w:val="20"/>
                <w:szCs w:val="20"/>
                <w:color w:val="auto"/>
              </w:rPr>
            </w:pPr>
            <w:r>
              <w:rPr>
                <w:rFonts w:ascii="Arial" w:cs="Arial" w:eastAsia="Arial" w:hAnsi="Arial"/>
                <w:sz w:val="14"/>
                <w:szCs w:val="14"/>
                <w:color w:val="auto"/>
              </w:rPr>
              <w:t>$437</w:t>
            </w:r>
          </w:p>
        </w:tc>
        <w:tc>
          <w:tcPr>
            <w:tcW w:w="520" w:type="dxa"/>
            <w:vAlign w:val="bottom"/>
            <w:tcBorders>
              <w:bottom w:val="single" w:sz="8" w:color="5E5E61"/>
            </w:tcBorders>
          </w:tcPr>
          <w:p>
            <w:pPr>
              <w:jc w:val="right"/>
              <w:ind w:right="88"/>
              <w:spacing w:after="0"/>
              <w:rPr>
                <w:sz w:val="20"/>
                <w:szCs w:val="20"/>
                <w:color w:val="auto"/>
              </w:rPr>
            </w:pPr>
            <w:r>
              <w:rPr>
                <w:rFonts w:ascii="Arial" w:cs="Arial" w:eastAsia="Arial" w:hAnsi="Arial"/>
                <w:sz w:val="14"/>
                <w:szCs w:val="14"/>
                <w:color w:val="auto"/>
              </w:rPr>
              <w:t>$485</w:t>
            </w:r>
          </w:p>
        </w:tc>
        <w:tc>
          <w:tcPr>
            <w:tcW w:w="860" w:type="dxa"/>
            <w:vAlign w:val="bottom"/>
            <w:tcBorders>
              <w:bottom w:val="single" w:sz="8" w:color="5E5E61"/>
            </w:tcBorders>
          </w:tcPr>
          <w:p>
            <w:pPr>
              <w:jc w:val="right"/>
              <w:ind w:right="88"/>
              <w:spacing w:after="0"/>
              <w:rPr>
                <w:sz w:val="20"/>
                <w:szCs w:val="20"/>
                <w:color w:val="auto"/>
              </w:rPr>
            </w:pPr>
            <w:r>
              <w:rPr>
                <w:rFonts w:ascii="Arial" w:cs="Arial" w:eastAsia="Arial" w:hAnsi="Arial"/>
                <w:sz w:val="14"/>
                <w:szCs w:val="14"/>
                <w:color w:val="auto"/>
              </w:rPr>
              <w:t>$62,919</w:t>
            </w:r>
          </w:p>
        </w:tc>
        <w:tc>
          <w:tcPr>
            <w:tcW w:w="720" w:type="dxa"/>
            <w:vAlign w:val="bottom"/>
            <w:tcBorders>
              <w:bottom w:val="single" w:sz="8" w:color="5E5E61"/>
            </w:tcBorders>
          </w:tcPr>
          <w:p>
            <w:pPr>
              <w:jc w:val="right"/>
              <w:spacing w:after="0"/>
              <w:rPr>
                <w:sz w:val="20"/>
                <w:szCs w:val="20"/>
                <w:color w:val="auto"/>
              </w:rPr>
            </w:pPr>
            <w:r>
              <w:rPr>
                <w:rFonts w:ascii="Arial" w:cs="Arial" w:eastAsia="Arial" w:hAnsi="Arial"/>
                <w:sz w:val="14"/>
                <w:szCs w:val="14"/>
                <w:color w:val="auto"/>
              </w:rPr>
              <w:t>$62,895</w:t>
            </w:r>
          </w:p>
        </w:tc>
        <w:tc>
          <w:tcPr>
            <w:tcW w:w="0" w:type="dxa"/>
            <w:vAlign w:val="bottom"/>
          </w:tcPr>
          <w:p>
            <w:pPr>
              <w:spacing w:after="0"/>
              <w:rPr>
                <w:sz w:val="1"/>
                <w:szCs w:val="1"/>
                <w:color w:val="auto"/>
              </w:rPr>
            </w:pPr>
          </w:p>
        </w:tc>
      </w:tr>
      <w:tr>
        <w:trPr>
          <w:trHeight w:val="196"/>
        </w:trPr>
        <w:tc>
          <w:tcPr>
            <w:tcW w:w="210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LIABILITIES AND SHAREHOLDERS' EQUITY</w:t>
            </w: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Current liabilities</w:t>
            </w:r>
          </w:p>
        </w:tc>
        <w:tc>
          <w:tcPr>
            <w:tcW w:w="116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$3,644</w:t>
            </w:r>
          </w:p>
        </w:tc>
        <w:tc>
          <w:tcPr>
            <w:tcW w:w="6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$5,247</w:t>
            </w:r>
          </w:p>
        </w:tc>
        <w:tc>
          <w:tcPr>
            <w:tcW w:w="80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$310</w:t>
            </w:r>
          </w:p>
        </w:tc>
        <w:tc>
          <w:tcPr>
            <w:tcW w:w="6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$356</w:t>
            </w:r>
          </w:p>
        </w:tc>
        <w:tc>
          <w:tcPr>
            <w:tcW w:w="7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$1,269</w:t>
            </w: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$1,330</w:t>
            </w: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$592</w:t>
            </w: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$111</w:t>
            </w:r>
          </w:p>
        </w:tc>
        <w:tc>
          <w:tcPr>
            <w:tcW w:w="88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$(258)</w:t>
            </w:r>
          </w:p>
        </w:tc>
        <w:tc>
          <w:tcPr>
            <w:tcW w:w="5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$310</w:t>
            </w:r>
          </w:p>
        </w:tc>
        <w:tc>
          <w:tcPr>
            <w:tcW w:w="8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$5,557</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$7,354</w:t>
            </w: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Noncurrent liabilities</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14,312</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14,722</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1,206</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1,191</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211</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28</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42</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(58)</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15,643</w:t>
            </w:r>
          </w:p>
        </w:tc>
        <w:tc>
          <w:tcPr>
            <w:tcW w:w="720" w:type="dxa"/>
            <w:vAlign w:val="bottom"/>
          </w:tcPr>
          <w:p>
            <w:pPr>
              <w:jc w:val="right"/>
              <w:spacing w:after="0"/>
              <w:rPr>
                <w:sz w:val="20"/>
                <w:szCs w:val="20"/>
                <w:color w:val="auto"/>
              </w:rPr>
            </w:pPr>
            <w:r>
              <w:rPr>
                <w:rFonts w:ascii="Arial" w:cs="Arial" w:eastAsia="Arial" w:hAnsi="Arial"/>
                <w:sz w:val="14"/>
                <w:szCs w:val="14"/>
                <w:color w:val="auto"/>
              </w:rPr>
              <w:t>16,094</w:t>
            </w:r>
          </w:p>
        </w:tc>
        <w:tc>
          <w:tcPr>
            <w:tcW w:w="0" w:type="dxa"/>
            <w:vAlign w:val="bottom"/>
          </w:tcPr>
          <w:p>
            <w:pPr>
              <w:spacing w:after="0"/>
              <w:rPr>
                <w:sz w:val="1"/>
                <w:szCs w:val="1"/>
                <w:color w:val="auto"/>
              </w:rPr>
            </w:pPr>
          </w:p>
        </w:tc>
      </w:tr>
      <w:tr>
        <w:trPr>
          <w:trHeight w:val="189"/>
        </w:trPr>
        <w:tc>
          <w:tcPr>
            <w:tcW w:w="2100" w:type="dxa"/>
            <w:vAlign w:val="bottom"/>
            <w:shd w:val="clear" w:color="auto" w:fill="E5E5E5"/>
          </w:tcPr>
          <w:p>
            <w:pPr>
              <w:ind w:left="20"/>
              <w:spacing w:after="0"/>
              <w:rPr>
                <w:sz w:val="20"/>
                <w:szCs w:val="20"/>
                <w:color w:val="auto"/>
              </w:rPr>
            </w:pPr>
            <w:r>
              <w:rPr>
                <w:rFonts w:ascii="Arial" w:cs="Arial" w:eastAsia="Arial" w:hAnsi="Arial"/>
                <w:sz w:val="14"/>
                <w:szCs w:val="14"/>
                <w:color w:val="auto"/>
              </w:rPr>
              <w:t>Long-term debt</w:t>
            </w:r>
          </w:p>
        </w:tc>
        <w:tc>
          <w:tcPr>
            <w:tcW w:w="116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17,635</w:t>
            </w:r>
          </w:p>
        </w:tc>
        <w:tc>
          <w:tcPr>
            <w:tcW w:w="6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16,149</w:t>
            </w:r>
          </w:p>
        </w:tc>
        <w:tc>
          <w:tcPr>
            <w:tcW w:w="80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893</w:t>
            </w:r>
          </w:p>
        </w:tc>
        <w:tc>
          <w:tcPr>
            <w:tcW w:w="6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893</w:t>
            </w:r>
          </w:p>
        </w:tc>
        <w:tc>
          <w:tcPr>
            <w:tcW w:w="7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2,491</w:t>
            </w: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2,776</w:t>
            </w: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500</w:t>
            </w:r>
          </w:p>
        </w:tc>
        <w:tc>
          <w:tcPr>
            <w:tcW w:w="88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647</w:t>
            </w:r>
          </w:p>
        </w:tc>
        <w:tc>
          <w:tcPr>
            <w:tcW w:w="5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64</w:t>
            </w:r>
          </w:p>
        </w:tc>
        <w:tc>
          <w:tcPr>
            <w:tcW w:w="8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21,666</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20,382</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5E5E61"/>
            </w:tcBorders>
          </w:tcPr>
          <w:p>
            <w:pPr>
              <w:ind w:left="20"/>
              <w:spacing w:after="0"/>
              <w:rPr>
                <w:sz w:val="20"/>
                <w:szCs w:val="20"/>
                <w:color w:val="auto"/>
              </w:rPr>
            </w:pPr>
            <w:r>
              <w:rPr>
                <w:rFonts w:ascii="Arial" w:cs="Arial" w:eastAsia="Arial" w:hAnsi="Arial"/>
                <w:sz w:val="14"/>
                <w:szCs w:val="14"/>
                <w:color w:val="auto"/>
              </w:rPr>
              <w:t>Equity</w:t>
            </w:r>
          </w:p>
        </w:tc>
        <w:tc>
          <w:tcPr>
            <w:tcW w:w="1160" w:type="dxa"/>
            <w:vAlign w:val="bottom"/>
            <w:tcBorders>
              <w:bottom w:val="single" w:sz="8" w:color="5E5E61"/>
            </w:tcBorders>
          </w:tcPr>
          <w:p>
            <w:pPr>
              <w:jc w:val="right"/>
              <w:ind w:right="248"/>
              <w:spacing w:after="0"/>
              <w:rPr>
                <w:sz w:val="20"/>
                <w:szCs w:val="20"/>
                <w:color w:val="auto"/>
              </w:rPr>
            </w:pPr>
            <w:r>
              <w:rPr>
                <w:rFonts w:ascii="Arial" w:cs="Arial" w:eastAsia="Arial" w:hAnsi="Arial"/>
                <w:sz w:val="14"/>
                <w:szCs w:val="14"/>
                <w:color w:val="auto"/>
              </w:rPr>
              <w:t>15,924</w:t>
            </w:r>
          </w:p>
        </w:tc>
        <w:tc>
          <w:tcPr>
            <w:tcW w:w="660" w:type="dxa"/>
            <w:vAlign w:val="bottom"/>
            <w:tcBorders>
              <w:bottom w:val="single" w:sz="8" w:color="5E5E61"/>
            </w:tcBorders>
          </w:tcPr>
          <w:p>
            <w:pPr>
              <w:jc w:val="right"/>
              <w:ind w:right="68"/>
              <w:spacing w:after="0"/>
              <w:rPr>
                <w:sz w:val="20"/>
                <w:szCs w:val="20"/>
                <w:color w:val="auto"/>
              </w:rPr>
            </w:pPr>
            <w:r>
              <w:rPr>
                <w:rFonts w:ascii="Arial" w:cs="Arial" w:eastAsia="Arial" w:hAnsi="Arial"/>
                <w:sz w:val="14"/>
                <w:szCs w:val="14"/>
                <w:color w:val="auto"/>
              </w:rPr>
              <w:t>14,849</w:t>
            </w:r>
          </w:p>
        </w:tc>
        <w:tc>
          <w:tcPr>
            <w:tcW w:w="800" w:type="dxa"/>
            <w:vAlign w:val="bottom"/>
            <w:tcBorders>
              <w:bottom w:val="single" w:sz="8" w:color="5E5E61"/>
            </w:tcBorders>
          </w:tcPr>
          <w:p>
            <w:pPr>
              <w:jc w:val="right"/>
              <w:ind w:right="148"/>
              <w:spacing w:after="0"/>
              <w:rPr>
                <w:sz w:val="20"/>
                <w:szCs w:val="20"/>
                <w:color w:val="auto"/>
              </w:rPr>
            </w:pPr>
            <w:r>
              <w:rPr>
                <w:rFonts w:ascii="Arial" w:cs="Arial" w:eastAsia="Arial" w:hAnsi="Arial"/>
                <w:sz w:val="14"/>
                <w:szCs w:val="14"/>
                <w:color w:val="auto"/>
              </w:rPr>
              <w:t>848</w:t>
            </w:r>
          </w:p>
        </w:tc>
        <w:tc>
          <w:tcPr>
            <w:tcW w:w="640" w:type="dxa"/>
            <w:vAlign w:val="bottom"/>
            <w:tcBorders>
              <w:bottom w:val="single" w:sz="8" w:color="5E5E61"/>
            </w:tcBorders>
          </w:tcPr>
          <w:p>
            <w:pPr>
              <w:jc w:val="right"/>
              <w:ind w:right="68"/>
              <w:spacing w:after="0"/>
              <w:rPr>
                <w:sz w:val="20"/>
                <w:szCs w:val="20"/>
                <w:color w:val="auto"/>
              </w:rPr>
            </w:pPr>
            <w:r>
              <w:rPr>
                <w:rFonts w:ascii="Arial" w:cs="Arial" w:eastAsia="Arial" w:hAnsi="Arial"/>
                <w:sz w:val="14"/>
                <w:szCs w:val="14"/>
                <w:color w:val="auto"/>
              </w:rPr>
              <w:t>807</w:t>
            </w:r>
          </w:p>
        </w:tc>
        <w:tc>
          <w:tcPr>
            <w:tcW w:w="700" w:type="dxa"/>
            <w:vAlign w:val="bottom"/>
            <w:tcBorders>
              <w:bottom w:val="single" w:sz="8" w:color="5E5E61"/>
            </w:tcBorders>
          </w:tcPr>
          <w:p>
            <w:pPr>
              <w:jc w:val="right"/>
              <w:ind w:right="48"/>
              <w:spacing w:after="0"/>
              <w:rPr>
                <w:sz w:val="20"/>
                <w:szCs w:val="20"/>
                <w:color w:val="auto"/>
              </w:rPr>
            </w:pPr>
            <w:r>
              <w:rPr>
                <w:rFonts w:ascii="Arial" w:cs="Arial" w:eastAsia="Arial" w:hAnsi="Arial"/>
                <w:sz w:val="14"/>
                <w:szCs w:val="14"/>
                <w:color w:val="auto"/>
              </w:rPr>
              <w:t>2,709</w:t>
            </w:r>
          </w:p>
        </w:tc>
        <w:tc>
          <w:tcPr>
            <w:tcW w:w="720" w:type="dxa"/>
            <w:vAlign w:val="bottom"/>
            <w:tcBorders>
              <w:bottom w:val="single" w:sz="8" w:color="5E5E61"/>
            </w:tcBorders>
          </w:tcPr>
          <w:p>
            <w:pPr>
              <w:jc w:val="right"/>
              <w:ind w:right="68"/>
              <w:spacing w:after="0"/>
              <w:rPr>
                <w:sz w:val="20"/>
                <w:szCs w:val="20"/>
                <w:color w:val="auto"/>
              </w:rPr>
            </w:pPr>
            <w:r>
              <w:rPr>
                <w:rFonts w:ascii="Arial" w:cs="Arial" w:eastAsia="Arial" w:hAnsi="Arial"/>
                <w:sz w:val="14"/>
                <w:szCs w:val="14"/>
                <w:color w:val="auto"/>
              </w:rPr>
              <w:t>2,531</w:t>
            </w:r>
          </w:p>
        </w:tc>
        <w:tc>
          <w:tcPr>
            <w:tcW w:w="720" w:type="dxa"/>
            <w:vAlign w:val="bottom"/>
            <w:tcBorders>
              <w:bottom w:val="single" w:sz="8" w:color="5E5E61"/>
            </w:tcBorders>
          </w:tcPr>
          <w:p>
            <w:pPr>
              <w:jc w:val="right"/>
              <w:ind w:right="68"/>
              <w:spacing w:after="0"/>
              <w:rPr>
                <w:sz w:val="20"/>
                <w:szCs w:val="20"/>
                <w:color w:val="auto"/>
              </w:rPr>
            </w:pPr>
            <w:r>
              <w:rPr>
                <w:rFonts w:ascii="Arial" w:cs="Arial" w:eastAsia="Arial" w:hAnsi="Arial"/>
                <w:sz w:val="14"/>
                <w:szCs w:val="14"/>
                <w:color w:val="auto"/>
              </w:rPr>
              <w:t>566</w:t>
            </w:r>
          </w:p>
        </w:tc>
        <w:tc>
          <w:tcPr>
            <w:tcW w:w="720" w:type="dxa"/>
            <w:vAlign w:val="bottom"/>
            <w:tcBorders>
              <w:bottom w:val="single" w:sz="8" w:color="5E5E61"/>
            </w:tcBorders>
          </w:tcPr>
          <w:p>
            <w:pPr>
              <w:jc w:val="right"/>
              <w:ind w:right="68"/>
              <w:spacing w:after="0"/>
              <w:rPr>
                <w:sz w:val="20"/>
                <w:szCs w:val="20"/>
                <w:color w:val="auto"/>
              </w:rPr>
            </w:pPr>
            <w:r>
              <w:rPr>
                <w:rFonts w:ascii="Arial" w:cs="Arial" w:eastAsia="Arial" w:hAnsi="Arial"/>
                <w:sz w:val="14"/>
                <w:szCs w:val="14"/>
                <w:color w:val="auto"/>
              </w:rPr>
              <w:t>709</w:t>
            </w:r>
          </w:p>
        </w:tc>
        <w:tc>
          <w:tcPr>
            <w:tcW w:w="880" w:type="dxa"/>
            <w:vAlign w:val="bottom"/>
            <w:tcBorders>
              <w:bottom w:val="single" w:sz="8" w:color="5E5E61"/>
            </w:tcBorders>
          </w:tcPr>
          <w:p>
            <w:pPr>
              <w:jc w:val="right"/>
              <w:ind w:right="228"/>
              <w:spacing w:after="0"/>
              <w:rPr>
                <w:sz w:val="20"/>
                <w:szCs w:val="20"/>
                <w:color w:val="auto"/>
              </w:rPr>
            </w:pPr>
            <w:r>
              <w:rPr>
                <w:rFonts w:ascii="Arial" w:cs="Arial" w:eastAsia="Arial" w:hAnsi="Arial"/>
                <w:sz w:val="14"/>
                <w:szCs w:val="14"/>
                <w:color w:val="auto"/>
              </w:rPr>
              <w:t>6</w:t>
            </w:r>
          </w:p>
        </w:tc>
        <w:tc>
          <w:tcPr>
            <w:tcW w:w="520" w:type="dxa"/>
            <w:vAlign w:val="bottom"/>
            <w:tcBorders>
              <w:bottom w:val="single" w:sz="8" w:color="5E5E61"/>
            </w:tcBorders>
          </w:tcPr>
          <w:p>
            <w:pPr>
              <w:jc w:val="right"/>
              <w:ind w:right="88"/>
              <w:spacing w:after="0"/>
              <w:rPr>
                <w:sz w:val="20"/>
                <w:szCs w:val="20"/>
                <w:color w:val="auto"/>
              </w:rPr>
            </w:pPr>
            <w:r>
              <w:rPr>
                <w:rFonts w:ascii="Arial" w:cs="Arial" w:eastAsia="Arial" w:hAnsi="Arial"/>
                <w:sz w:val="14"/>
                <w:szCs w:val="14"/>
                <w:color w:val="auto"/>
              </w:rPr>
              <w:t>169</w:t>
            </w:r>
          </w:p>
        </w:tc>
        <w:tc>
          <w:tcPr>
            <w:tcW w:w="860" w:type="dxa"/>
            <w:vAlign w:val="bottom"/>
            <w:tcBorders>
              <w:bottom w:val="single" w:sz="8" w:color="5E5E61"/>
            </w:tcBorders>
          </w:tcPr>
          <w:p>
            <w:pPr>
              <w:jc w:val="right"/>
              <w:ind w:right="88"/>
              <w:spacing w:after="0"/>
              <w:rPr>
                <w:sz w:val="20"/>
                <w:szCs w:val="20"/>
                <w:color w:val="auto"/>
              </w:rPr>
            </w:pPr>
            <w:r>
              <w:rPr>
                <w:rFonts w:ascii="Arial" w:cs="Arial" w:eastAsia="Arial" w:hAnsi="Arial"/>
                <w:sz w:val="14"/>
                <w:szCs w:val="14"/>
                <w:color w:val="auto"/>
              </w:rPr>
              <w:t>20,053</w:t>
            </w:r>
          </w:p>
        </w:tc>
        <w:tc>
          <w:tcPr>
            <w:tcW w:w="720" w:type="dxa"/>
            <w:vAlign w:val="bottom"/>
            <w:tcBorders>
              <w:bottom w:val="single" w:sz="8" w:color="5E5E61"/>
            </w:tcBorders>
          </w:tcPr>
          <w:p>
            <w:pPr>
              <w:jc w:val="right"/>
              <w:spacing w:after="0"/>
              <w:rPr>
                <w:sz w:val="20"/>
                <w:szCs w:val="20"/>
                <w:color w:val="auto"/>
              </w:rPr>
            </w:pPr>
            <w:r>
              <w:rPr>
                <w:rFonts w:ascii="Arial" w:cs="Arial" w:eastAsia="Arial" w:hAnsi="Arial"/>
                <w:sz w:val="14"/>
                <w:szCs w:val="14"/>
                <w:color w:val="auto"/>
              </w:rPr>
              <w:t>19,065</w:t>
            </w:r>
          </w:p>
        </w:tc>
        <w:tc>
          <w:tcPr>
            <w:tcW w:w="0" w:type="dxa"/>
            <w:vAlign w:val="bottom"/>
          </w:tcPr>
          <w:p>
            <w:pPr>
              <w:spacing w:after="0"/>
              <w:rPr>
                <w:sz w:val="1"/>
                <w:szCs w:val="1"/>
                <w:color w:val="auto"/>
              </w:rPr>
            </w:pPr>
          </w:p>
        </w:tc>
      </w:tr>
      <w:tr>
        <w:trPr>
          <w:trHeight w:val="183"/>
        </w:trPr>
        <w:tc>
          <w:tcPr>
            <w:tcW w:w="2100" w:type="dxa"/>
            <w:vAlign w:val="bottom"/>
            <w:tcBorders>
              <w:bottom w:val="single" w:sz="8" w:color="5E5E61"/>
            </w:tcBorders>
            <w:shd w:val="clear" w:color="auto" w:fill="E5E5E5"/>
          </w:tcPr>
          <w:p>
            <w:pPr>
              <w:ind w:left="140"/>
              <w:spacing w:after="0"/>
              <w:rPr>
                <w:sz w:val="20"/>
                <w:szCs w:val="20"/>
                <w:color w:val="auto"/>
              </w:rPr>
            </w:pPr>
            <w:r>
              <w:rPr>
                <w:rFonts w:ascii="Arial" w:cs="Arial" w:eastAsia="Arial" w:hAnsi="Arial"/>
                <w:sz w:val="14"/>
                <w:szCs w:val="14"/>
                <w:color w:val="auto"/>
              </w:rPr>
              <w:t>Total Liabilities and Equity</w:t>
            </w:r>
          </w:p>
        </w:tc>
        <w:tc>
          <w:tcPr>
            <w:tcW w:w="1160" w:type="dxa"/>
            <w:vAlign w:val="bottom"/>
            <w:tcBorders>
              <w:bottom w:val="single" w:sz="8" w:color="5E5E61"/>
            </w:tcBorders>
            <w:shd w:val="clear" w:color="auto" w:fill="E5E5E5"/>
          </w:tcPr>
          <w:p>
            <w:pPr>
              <w:jc w:val="right"/>
              <w:ind w:right="248"/>
              <w:spacing w:after="0"/>
              <w:rPr>
                <w:sz w:val="20"/>
                <w:szCs w:val="20"/>
                <w:color w:val="auto"/>
              </w:rPr>
            </w:pPr>
            <w:r>
              <w:rPr>
                <w:rFonts w:ascii="Arial" w:cs="Arial" w:eastAsia="Arial" w:hAnsi="Arial"/>
                <w:sz w:val="14"/>
                <w:szCs w:val="14"/>
                <w:color w:val="auto"/>
              </w:rPr>
              <w:t>$51,515</w:t>
            </w:r>
          </w:p>
        </w:tc>
        <w:tc>
          <w:tcPr>
            <w:tcW w:w="660" w:type="dxa"/>
            <w:vAlign w:val="bottom"/>
            <w:tcBorders>
              <w:bottom w:val="single" w:sz="8" w:color="5E5E61"/>
            </w:tcBorders>
            <w:shd w:val="clear" w:color="auto" w:fill="E5E5E5"/>
          </w:tcPr>
          <w:p>
            <w:pPr>
              <w:jc w:val="right"/>
              <w:ind w:right="68"/>
              <w:spacing w:after="0"/>
              <w:rPr>
                <w:sz w:val="20"/>
                <w:szCs w:val="20"/>
                <w:color w:val="auto"/>
              </w:rPr>
            </w:pPr>
            <w:r>
              <w:rPr>
                <w:rFonts w:ascii="Arial" w:cs="Arial" w:eastAsia="Arial" w:hAnsi="Arial"/>
                <w:sz w:val="14"/>
                <w:szCs w:val="14"/>
                <w:color w:val="auto"/>
                <w:w w:val="98"/>
              </w:rPr>
              <w:t>$50,967</w:t>
            </w:r>
          </w:p>
        </w:tc>
        <w:tc>
          <w:tcPr>
            <w:tcW w:w="800" w:type="dxa"/>
            <w:vAlign w:val="bottom"/>
            <w:tcBorders>
              <w:bottom w:val="single" w:sz="8" w:color="5E5E61"/>
            </w:tcBorders>
            <w:shd w:val="clear" w:color="auto" w:fill="E5E5E5"/>
          </w:tcPr>
          <w:p>
            <w:pPr>
              <w:jc w:val="right"/>
              <w:ind w:right="148"/>
              <w:spacing w:after="0"/>
              <w:rPr>
                <w:sz w:val="20"/>
                <w:szCs w:val="20"/>
                <w:color w:val="auto"/>
              </w:rPr>
            </w:pPr>
            <w:r>
              <w:rPr>
                <w:rFonts w:ascii="Arial" w:cs="Arial" w:eastAsia="Arial" w:hAnsi="Arial"/>
                <w:sz w:val="14"/>
                <w:szCs w:val="14"/>
                <w:color w:val="auto"/>
              </w:rPr>
              <w:t>$3,257</w:t>
            </w:r>
          </w:p>
        </w:tc>
        <w:tc>
          <w:tcPr>
            <w:tcW w:w="640" w:type="dxa"/>
            <w:vAlign w:val="bottom"/>
            <w:tcBorders>
              <w:bottom w:val="single" w:sz="8" w:color="5E5E61"/>
            </w:tcBorders>
            <w:shd w:val="clear" w:color="auto" w:fill="E5E5E5"/>
          </w:tcPr>
          <w:p>
            <w:pPr>
              <w:jc w:val="right"/>
              <w:ind w:right="68"/>
              <w:spacing w:after="0"/>
              <w:rPr>
                <w:sz w:val="20"/>
                <w:szCs w:val="20"/>
                <w:color w:val="auto"/>
              </w:rPr>
            </w:pPr>
            <w:r>
              <w:rPr>
                <w:rFonts w:ascii="Arial" w:cs="Arial" w:eastAsia="Arial" w:hAnsi="Arial"/>
                <w:sz w:val="14"/>
                <w:szCs w:val="14"/>
                <w:color w:val="auto"/>
              </w:rPr>
              <w:t>$3,247</w:t>
            </w:r>
          </w:p>
        </w:tc>
        <w:tc>
          <w:tcPr>
            <w:tcW w:w="700" w:type="dxa"/>
            <w:vAlign w:val="bottom"/>
            <w:tcBorders>
              <w:bottom w:val="single" w:sz="8" w:color="5E5E61"/>
            </w:tcBorders>
            <w:shd w:val="clear" w:color="auto" w:fill="E5E5E5"/>
          </w:tcPr>
          <w:p>
            <w:pPr>
              <w:jc w:val="right"/>
              <w:ind w:right="48"/>
              <w:spacing w:after="0"/>
              <w:rPr>
                <w:sz w:val="20"/>
                <w:szCs w:val="20"/>
                <w:color w:val="auto"/>
              </w:rPr>
            </w:pPr>
            <w:r>
              <w:rPr>
                <w:rFonts w:ascii="Arial" w:cs="Arial" w:eastAsia="Arial" w:hAnsi="Arial"/>
                <w:sz w:val="14"/>
                <w:szCs w:val="14"/>
                <w:color w:val="auto"/>
              </w:rPr>
              <w:t>$6,574</w:t>
            </w:r>
          </w:p>
        </w:tc>
        <w:tc>
          <w:tcPr>
            <w:tcW w:w="720" w:type="dxa"/>
            <w:vAlign w:val="bottom"/>
            <w:tcBorders>
              <w:bottom w:val="single" w:sz="8" w:color="5E5E61"/>
            </w:tcBorders>
            <w:shd w:val="clear" w:color="auto" w:fill="E5E5E5"/>
          </w:tcPr>
          <w:p>
            <w:pPr>
              <w:jc w:val="right"/>
              <w:ind w:right="68"/>
              <w:spacing w:after="0"/>
              <w:rPr>
                <w:sz w:val="20"/>
                <w:szCs w:val="20"/>
                <w:color w:val="auto"/>
              </w:rPr>
            </w:pPr>
            <w:r>
              <w:rPr>
                <w:rFonts w:ascii="Arial" w:cs="Arial" w:eastAsia="Arial" w:hAnsi="Arial"/>
                <w:sz w:val="14"/>
                <w:szCs w:val="14"/>
                <w:color w:val="auto"/>
              </w:rPr>
              <w:t>$6,848</w:t>
            </w:r>
          </w:p>
        </w:tc>
        <w:tc>
          <w:tcPr>
            <w:tcW w:w="720" w:type="dxa"/>
            <w:vAlign w:val="bottom"/>
            <w:tcBorders>
              <w:bottom w:val="single" w:sz="8" w:color="5E5E61"/>
            </w:tcBorders>
            <w:shd w:val="clear" w:color="auto" w:fill="E5E5E5"/>
          </w:tcPr>
          <w:p>
            <w:pPr>
              <w:jc w:val="right"/>
              <w:ind w:right="68"/>
              <w:spacing w:after="0"/>
              <w:rPr>
                <w:sz w:val="20"/>
                <w:szCs w:val="20"/>
                <w:color w:val="auto"/>
              </w:rPr>
            </w:pPr>
            <w:r>
              <w:rPr>
                <w:rFonts w:ascii="Arial" w:cs="Arial" w:eastAsia="Arial" w:hAnsi="Arial"/>
                <w:sz w:val="14"/>
                <w:szCs w:val="14"/>
                <w:color w:val="auto"/>
              </w:rPr>
              <w:t>$1,136</w:t>
            </w:r>
          </w:p>
        </w:tc>
        <w:tc>
          <w:tcPr>
            <w:tcW w:w="720" w:type="dxa"/>
            <w:vAlign w:val="bottom"/>
            <w:tcBorders>
              <w:bottom w:val="single" w:sz="8" w:color="5E5E61"/>
            </w:tcBorders>
            <w:shd w:val="clear" w:color="auto" w:fill="E5E5E5"/>
          </w:tcPr>
          <w:p>
            <w:pPr>
              <w:jc w:val="right"/>
              <w:ind w:right="68"/>
              <w:spacing w:after="0"/>
              <w:rPr>
                <w:sz w:val="20"/>
                <w:szCs w:val="20"/>
                <w:color w:val="auto"/>
              </w:rPr>
            </w:pPr>
            <w:r>
              <w:rPr>
                <w:rFonts w:ascii="Arial" w:cs="Arial" w:eastAsia="Arial" w:hAnsi="Arial"/>
                <w:sz w:val="14"/>
                <w:szCs w:val="14"/>
                <w:color w:val="auto"/>
              </w:rPr>
              <w:t>$1,348</w:t>
            </w:r>
          </w:p>
        </w:tc>
        <w:tc>
          <w:tcPr>
            <w:tcW w:w="880" w:type="dxa"/>
            <w:vAlign w:val="bottom"/>
            <w:tcBorders>
              <w:bottom w:val="single" w:sz="8" w:color="5E5E61"/>
            </w:tcBorders>
            <w:shd w:val="clear" w:color="auto" w:fill="E5E5E5"/>
          </w:tcPr>
          <w:p>
            <w:pPr>
              <w:jc w:val="right"/>
              <w:ind w:right="228"/>
              <w:spacing w:after="0"/>
              <w:rPr>
                <w:sz w:val="20"/>
                <w:szCs w:val="20"/>
                <w:color w:val="auto"/>
              </w:rPr>
            </w:pPr>
            <w:r>
              <w:rPr>
                <w:rFonts w:ascii="Arial" w:cs="Arial" w:eastAsia="Arial" w:hAnsi="Arial"/>
                <w:sz w:val="14"/>
                <w:szCs w:val="14"/>
                <w:color w:val="auto"/>
              </w:rPr>
              <w:t>$437</w:t>
            </w:r>
          </w:p>
        </w:tc>
        <w:tc>
          <w:tcPr>
            <w:tcW w:w="520" w:type="dxa"/>
            <w:vAlign w:val="bottom"/>
            <w:tcBorders>
              <w:bottom w:val="single" w:sz="8" w:color="5E5E61"/>
            </w:tcBorders>
            <w:shd w:val="clear" w:color="auto" w:fill="E5E5E5"/>
          </w:tcPr>
          <w:p>
            <w:pPr>
              <w:jc w:val="right"/>
              <w:ind w:right="88"/>
              <w:spacing w:after="0"/>
              <w:rPr>
                <w:sz w:val="20"/>
                <w:szCs w:val="20"/>
                <w:color w:val="auto"/>
              </w:rPr>
            </w:pPr>
            <w:r>
              <w:rPr>
                <w:rFonts w:ascii="Arial" w:cs="Arial" w:eastAsia="Arial" w:hAnsi="Arial"/>
                <w:sz w:val="14"/>
                <w:szCs w:val="14"/>
                <w:color w:val="auto"/>
              </w:rPr>
              <w:t>$485</w:t>
            </w:r>
          </w:p>
        </w:tc>
        <w:tc>
          <w:tcPr>
            <w:tcW w:w="860" w:type="dxa"/>
            <w:vAlign w:val="bottom"/>
            <w:tcBorders>
              <w:bottom w:val="single" w:sz="8" w:color="5E5E61"/>
            </w:tcBorders>
            <w:shd w:val="clear" w:color="auto" w:fill="E5E5E5"/>
          </w:tcPr>
          <w:p>
            <w:pPr>
              <w:jc w:val="right"/>
              <w:ind w:right="88"/>
              <w:spacing w:after="0"/>
              <w:rPr>
                <w:sz w:val="20"/>
                <w:szCs w:val="20"/>
                <w:color w:val="auto"/>
              </w:rPr>
            </w:pPr>
            <w:r>
              <w:rPr>
                <w:rFonts w:ascii="Arial" w:cs="Arial" w:eastAsia="Arial" w:hAnsi="Arial"/>
                <w:sz w:val="14"/>
                <w:szCs w:val="14"/>
                <w:color w:val="auto"/>
              </w:rPr>
              <w:t>$62,919</w:t>
            </w:r>
          </w:p>
        </w:tc>
        <w:tc>
          <w:tcPr>
            <w:tcW w:w="720" w:type="dxa"/>
            <w:vAlign w:val="bottom"/>
            <w:tcBorders>
              <w:bottom w:val="single" w:sz="8" w:color="5E5E61"/>
            </w:tcBorders>
            <w:shd w:val="clear" w:color="auto" w:fill="E5E5E5"/>
          </w:tcPr>
          <w:p>
            <w:pPr>
              <w:jc w:val="right"/>
              <w:spacing w:after="0"/>
              <w:rPr>
                <w:sz w:val="20"/>
                <w:szCs w:val="20"/>
                <w:color w:val="auto"/>
              </w:rPr>
            </w:pPr>
            <w:r>
              <w:rPr>
                <w:rFonts w:ascii="Arial" w:cs="Arial" w:eastAsia="Arial" w:hAnsi="Arial"/>
                <w:sz w:val="14"/>
                <w:szCs w:val="14"/>
                <w:color w:val="auto"/>
              </w:rPr>
              <w:t>$62,895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-128270</wp:posOffset>
            </wp:positionV>
            <wp:extent cx="8255" cy="17145"/>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-102235</wp:posOffset>
            </wp:positionV>
            <wp:extent cx="8255" cy="8890"/>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-85090</wp:posOffset>
            </wp:positionV>
            <wp:extent cx="8255" cy="8255"/>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-67945</wp:posOffset>
            </wp:positionV>
            <wp:extent cx="8255" cy="8255"/>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-50800</wp:posOffset>
            </wp:positionV>
            <wp:extent cx="8255" cy="8255"/>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-33655</wp:posOffset>
            </wp:positionV>
            <wp:extent cx="8255" cy="8255"/>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-16510</wp:posOffset>
            </wp:positionV>
            <wp:extent cx="8255" cy="8890"/>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-128270</wp:posOffset>
            </wp:positionV>
            <wp:extent cx="8890" cy="17145"/>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-102235</wp:posOffset>
            </wp:positionV>
            <wp:extent cx="8890" cy="8890"/>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-85090</wp:posOffset>
            </wp:positionV>
            <wp:extent cx="8890" cy="8255"/>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-67945</wp:posOffset>
            </wp:positionV>
            <wp:extent cx="8890" cy="8255"/>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-50800</wp:posOffset>
            </wp:positionV>
            <wp:extent cx="8890" cy="8255"/>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-33655</wp:posOffset>
            </wp:positionV>
            <wp:extent cx="8890" cy="8255"/>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-16510</wp:posOffset>
            </wp:positionV>
            <wp:extent cx="8890" cy="8890"/>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-128270</wp:posOffset>
            </wp:positionV>
            <wp:extent cx="8890" cy="17145"/>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6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-102235</wp:posOffset>
            </wp:positionV>
            <wp:extent cx="8890" cy="8890"/>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-85090</wp:posOffset>
            </wp:positionV>
            <wp:extent cx="8890" cy="8255"/>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-67945</wp:posOffset>
            </wp:positionV>
            <wp:extent cx="8890" cy="8255"/>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-50800</wp:posOffset>
            </wp:positionV>
            <wp:extent cx="8890" cy="8255"/>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-33655</wp:posOffset>
            </wp:positionV>
            <wp:extent cx="8890" cy="8255"/>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-16510</wp:posOffset>
            </wp:positionV>
            <wp:extent cx="8890" cy="8890"/>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-128270</wp:posOffset>
            </wp:positionV>
            <wp:extent cx="8255" cy="17145"/>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-102235</wp:posOffset>
            </wp:positionV>
            <wp:extent cx="8255" cy="8890"/>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-85090</wp:posOffset>
            </wp:positionV>
            <wp:extent cx="8255" cy="8255"/>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-67945</wp:posOffset>
            </wp:positionV>
            <wp:extent cx="8255" cy="8255"/>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-50800</wp:posOffset>
            </wp:positionV>
            <wp:extent cx="8255" cy="8255"/>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-33655</wp:posOffset>
            </wp:positionV>
            <wp:extent cx="8255" cy="8255"/>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-16510</wp:posOffset>
            </wp:positionV>
            <wp:extent cx="8255" cy="8890"/>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-128270</wp:posOffset>
            </wp:positionV>
            <wp:extent cx="8890" cy="17145"/>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-102235</wp:posOffset>
            </wp:positionV>
            <wp:extent cx="8890" cy="8890"/>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-85090</wp:posOffset>
            </wp:positionV>
            <wp:extent cx="8890" cy="8255"/>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-67945</wp:posOffset>
            </wp:positionV>
            <wp:extent cx="8890" cy="8255"/>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-50800</wp:posOffset>
            </wp:positionV>
            <wp:extent cx="8890" cy="8255"/>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-33655</wp:posOffset>
            </wp:positionV>
            <wp:extent cx="8890" cy="8255"/>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-16510</wp:posOffset>
            </wp:positionV>
            <wp:extent cx="8890" cy="8890"/>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-231140</wp:posOffset>
            </wp:positionV>
            <wp:extent cx="8255" cy="8890"/>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-213995</wp:posOffset>
            </wp:positionV>
            <wp:extent cx="8255" cy="8255"/>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-196850</wp:posOffset>
            </wp:positionV>
            <wp:extent cx="8255" cy="8255"/>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-179070</wp:posOffset>
            </wp:positionV>
            <wp:extent cx="8255" cy="8255"/>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-162560</wp:posOffset>
            </wp:positionV>
            <wp:extent cx="8255" cy="8255"/>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-145415</wp:posOffset>
            </wp:positionV>
            <wp:extent cx="8255" cy="8890"/>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-231140</wp:posOffset>
            </wp:positionV>
            <wp:extent cx="8890" cy="8890"/>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-213995</wp:posOffset>
            </wp:positionV>
            <wp:extent cx="8890" cy="8255"/>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-196850</wp:posOffset>
            </wp:positionV>
            <wp:extent cx="8890" cy="8255"/>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-179070</wp:posOffset>
            </wp:positionV>
            <wp:extent cx="8890" cy="8255"/>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-162560</wp:posOffset>
            </wp:positionV>
            <wp:extent cx="8890" cy="8255"/>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-145415</wp:posOffset>
            </wp:positionV>
            <wp:extent cx="8890" cy="8890"/>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-231140</wp:posOffset>
            </wp:positionV>
            <wp:extent cx="8890" cy="8890"/>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-213995</wp:posOffset>
            </wp:positionV>
            <wp:extent cx="8890" cy="8255"/>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-196850</wp:posOffset>
            </wp:positionV>
            <wp:extent cx="8890" cy="8255"/>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-179070</wp:posOffset>
            </wp:positionV>
            <wp:extent cx="8890" cy="8255"/>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-162560</wp:posOffset>
            </wp:positionV>
            <wp:extent cx="8890" cy="8255"/>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-145415</wp:posOffset>
            </wp:positionV>
            <wp:extent cx="8890" cy="8890"/>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-231140</wp:posOffset>
            </wp:positionV>
            <wp:extent cx="8255" cy="8890"/>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-213995</wp:posOffset>
            </wp:positionV>
            <wp:extent cx="8255" cy="8255"/>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-196850</wp:posOffset>
            </wp:positionV>
            <wp:extent cx="8255" cy="8255"/>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-179070</wp:posOffset>
            </wp:positionV>
            <wp:extent cx="8255" cy="8255"/>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-162560</wp:posOffset>
            </wp:positionV>
            <wp:extent cx="8255" cy="8255"/>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-145415</wp:posOffset>
            </wp:positionV>
            <wp:extent cx="8255" cy="8890"/>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-231140</wp:posOffset>
            </wp:positionV>
            <wp:extent cx="8890" cy="8890"/>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-213995</wp:posOffset>
            </wp:positionV>
            <wp:extent cx="8890" cy="8255"/>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-196850</wp:posOffset>
            </wp:positionV>
            <wp:extent cx="8890" cy="8255"/>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-179070</wp:posOffset>
            </wp:positionV>
            <wp:extent cx="8890" cy="8255"/>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-162560</wp:posOffset>
            </wp:positionV>
            <wp:extent cx="8890" cy="8255"/>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-145415</wp:posOffset>
            </wp:positionV>
            <wp:extent cx="8890" cy="8890"/>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-350520</wp:posOffset>
            </wp:positionV>
            <wp:extent cx="8255" cy="8255"/>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-334010</wp:posOffset>
            </wp:positionV>
            <wp:extent cx="8255" cy="8255"/>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-316865</wp:posOffset>
            </wp:positionV>
            <wp:extent cx="8255" cy="8890"/>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-299720</wp:posOffset>
            </wp:positionV>
            <wp:extent cx="8255" cy="8255"/>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-282575</wp:posOffset>
            </wp:positionV>
            <wp:extent cx="8255" cy="8255"/>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-264795</wp:posOffset>
            </wp:positionV>
            <wp:extent cx="8255" cy="25400"/>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-350520</wp:posOffset>
            </wp:positionV>
            <wp:extent cx="8890" cy="8255"/>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-334010</wp:posOffset>
            </wp:positionV>
            <wp:extent cx="8890" cy="8255"/>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-316865</wp:posOffset>
            </wp:positionV>
            <wp:extent cx="8890" cy="8890"/>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-299720</wp:posOffset>
            </wp:positionV>
            <wp:extent cx="8890" cy="8255"/>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-282575</wp:posOffset>
            </wp:positionV>
            <wp:extent cx="8890" cy="8255"/>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-264795</wp:posOffset>
            </wp:positionV>
            <wp:extent cx="8890" cy="25400"/>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1">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-350520</wp:posOffset>
            </wp:positionV>
            <wp:extent cx="8890" cy="8255"/>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-334010</wp:posOffset>
            </wp:positionV>
            <wp:extent cx="8890" cy="8255"/>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-316865</wp:posOffset>
            </wp:positionV>
            <wp:extent cx="8890" cy="8890"/>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-299720</wp:posOffset>
            </wp:positionV>
            <wp:extent cx="8890" cy="8255"/>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-282575</wp:posOffset>
            </wp:positionV>
            <wp:extent cx="8890" cy="8255"/>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-264795</wp:posOffset>
            </wp:positionV>
            <wp:extent cx="8890" cy="25400"/>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3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-350520</wp:posOffset>
            </wp:positionV>
            <wp:extent cx="8255" cy="8255"/>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-334010</wp:posOffset>
            </wp:positionV>
            <wp:extent cx="8255" cy="8255"/>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-316865</wp:posOffset>
            </wp:positionV>
            <wp:extent cx="8255" cy="8890"/>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-299720</wp:posOffset>
            </wp:positionV>
            <wp:extent cx="8255" cy="8255"/>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-282575</wp:posOffset>
            </wp:positionV>
            <wp:extent cx="8255" cy="8255"/>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-264795</wp:posOffset>
            </wp:positionV>
            <wp:extent cx="8255" cy="25400"/>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-350520</wp:posOffset>
            </wp:positionV>
            <wp:extent cx="8890" cy="8255"/>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-334010</wp:posOffset>
            </wp:positionV>
            <wp:extent cx="8890" cy="8255"/>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-316865</wp:posOffset>
            </wp:positionV>
            <wp:extent cx="8890" cy="8890"/>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-299720</wp:posOffset>
            </wp:positionV>
            <wp:extent cx="8890" cy="8255"/>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-282575</wp:posOffset>
            </wp:positionV>
            <wp:extent cx="8890" cy="8255"/>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-264795</wp:posOffset>
            </wp:positionV>
            <wp:extent cx="8890" cy="25400"/>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49">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-471170</wp:posOffset>
            </wp:positionV>
            <wp:extent cx="8255" cy="8255"/>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-454025</wp:posOffset>
            </wp:positionV>
            <wp:extent cx="8255" cy="8255"/>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-436245</wp:posOffset>
            </wp:positionV>
            <wp:extent cx="8255" cy="8255"/>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-419735</wp:posOffset>
            </wp:positionV>
            <wp:extent cx="8255" cy="8255"/>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-402590</wp:posOffset>
            </wp:positionV>
            <wp:extent cx="8255" cy="8890"/>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-385445</wp:posOffset>
            </wp:positionV>
            <wp:extent cx="8255" cy="25400"/>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-471170</wp:posOffset>
            </wp:positionV>
            <wp:extent cx="8890" cy="8255"/>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-454025</wp:posOffset>
            </wp:positionV>
            <wp:extent cx="8890" cy="8255"/>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-436245</wp:posOffset>
            </wp:positionV>
            <wp:extent cx="8890" cy="8255"/>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-419735</wp:posOffset>
            </wp:positionV>
            <wp:extent cx="8890" cy="8255"/>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-402590</wp:posOffset>
            </wp:positionV>
            <wp:extent cx="8890" cy="8890"/>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-385445</wp:posOffset>
            </wp:positionV>
            <wp:extent cx="8890" cy="25400"/>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1">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-471170</wp:posOffset>
            </wp:positionV>
            <wp:extent cx="8890" cy="8255"/>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-454025</wp:posOffset>
            </wp:positionV>
            <wp:extent cx="8890" cy="8255"/>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-436245</wp:posOffset>
            </wp:positionV>
            <wp:extent cx="8890" cy="8255"/>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-419735</wp:posOffset>
            </wp:positionV>
            <wp:extent cx="8890" cy="8255"/>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-402590</wp:posOffset>
            </wp:positionV>
            <wp:extent cx="8890" cy="8890"/>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-385445</wp:posOffset>
            </wp:positionV>
            <wp:extent cx="8890" cy="25400"/>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6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-471170</wp:posOffset>
            </wp:positionV>
            <wp:extent cx="8255" cy="8255"/>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-454025</wp:posOffset>
            </wp:positionV>
            <wp:extent cx="8255" cy="8255"/>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-436245</wp:posOffset>
            </wp:positionV>
            <wp:extent cx="8255" cy="8255"/>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-419735</wp:posOffset>
            </wp:positionV>
            <wp:extent cx="8255" cy="8255"/>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-402590</wp:posOffset>
            </wp:positionV>
            <wp:extent cx="8255" cy="8890"/>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-385445</wp:posOffset>
            </wp:positionV>
            <wp:extent cx="8255" cy="25400"/>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-471170</wp:posOffset>
            </wp:positionV>
            <wp:extent cx="8890" cy="8255"/>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-454025</wp:posOffset>
            </wp:positionV>
            <wp:extent cx="8890" cy="8255"/>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-436245</wp:posOffset>
            </wp:positionV>
            <wp:extent cx="8890" cy="8255"/>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-419735</wp:posOffset>
            </wp:positionV>
            <wp:extent cx="8890" cy="8255"/>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-402590</wp:posOffset>
            </wp:positionV>
            <wp:extent cx="8890" cy="8890"/>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-385445</wp:posOffset>
            </wp:positionV>
            <wp:extent cx="8890" cy="25400"/>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79">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-591185</wp:posOffset>
            </wp:positionV>
            <wp:extent cx="8255" cy="8255"/>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-574040</wp:posOffset>
            </wp:positionV>
            <wp:extent cx="8255" cy="8890"/>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-556895</wp:posOffset>
            </wp:positionV>
            <wp:extent cx="8255" cy="8255"/>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-539750</wp:posOffset>
            </wp:positionV>
            <wp:extent cx="8255" cy="8255"/>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-521970</wp:posOffset>
            </wp:positionV>
            <wp:extent cx="8255" cy="8255"/>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-505460</wp:posOffset>
            </wp:positionV>
            <wp:extent cx="8255" cy="26035"/>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5">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-591185</wp:posOffset>
            </wp:positionV>
            <wp:extent cx="8890" cy="8255"/>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-574040</wp:posOffset>
            </wp:positionV>
            <wp:extent cx="8890" cy="8890"/>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-556895</wp:posOffset>
            </wp:positionV>
            <wp:extent cx="8890" cy="8255"/>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-539750</wp:posOffset>
            </wp:positionV>
            <wp:extent cx="8890" cy="8255"/>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-521970</wp:posOffset>
            </wp:positionV>
            <wp:extent cx="8890" cy="8255"/>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-505460</wp:posOffset>
            </wp:positionV>
            <wp:extent cx="8890" cy="26035"/>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-591185</wp:posOffset>
            </wp:positionV>
            <wp:extent cx="8890" cy="8255"/>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-574040</wp:posOffset>
            </wp:positionV>
            <wp:extent cx="8890" cy="8890"/>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-556895</wp:posOffset>
            </wp:positionV>
            <wp:extent cx="8890" cy="8255"/>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-539750</wp:posOffset>
            </wp:positionV>
            <wp:extent cx="8890" cy="8255"/>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-521970</wp:posOffset>
            </wp:positionV>
            <wp:extent cx="8890" cy="8255"/>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-505460</wp:posOffset>
            </wp:positionV>
            <wp:extent cx="8890" cy="26035"/>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69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-591185</wp:posOffset>
            </wp:positionV>
            <wp:extent cx="8255" cy="8255"/>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-574040</wp:posOffset>
            </wp:positionV>
            <wp:extent cx="8255" cy="8890"/>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-556895</wp:posOffset>
            </wp:positionV>
            <wp:extent cx="8255" cy="8255"/>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-539750</wp:posOffset>
            </wp:positionV>
            <wp:extent cx="8255" cy="8255"/>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-521970</wp:posOffset>
            </wp:positionV>
            <wp:extent cx="8255" cy="8255"/>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-505460</wp:posOffset>
            </wp:positionV>
            <wp:extent cx="8255" cy="26035"/>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-591185</wp:posOffset>
            </wp:positionV>
            <wp:extent cx="8890" cy="8255"/>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-574040</wp:posOffset>
            </wp:positionV>
            <wp:extent cx="8890" cy="8890"/>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-556895</wp:posOffset>
            </wp:positionV>
            <wp:extent cx="8890" cy="8255"/>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-539750</wp:posOffset>
            </wp:positionV>
            <wp:extent cx="8890" cy="8255"/>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-521970</wp:posOffset>
            </wp:positionV>
            <wp:extent cx="8890" cy="8255"/>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-505460</wp:posOffset>
            </wp:positionV>
            <wp:extent cx="8890" cy="26035"/>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0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-711200</wp:posOffset>
            </wp:positionV>
            <wp:extent cx="8255" cy="8255"/>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-693420</wp:posOffset>
            </wp:positionV>
            <wp:extent cx="8255" cy="8255"/>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-676910</wp:posOffset>
            </wp:positionV>
            <wp:extent cx="8255" cy="8255"/>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-659765</wp:posOffset>
            </wp:positionV>
            <wp:extent cx="8255" cy="8890"/>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-642620</wp:posOffset>
            </wp:positionV>
            <wp:extent cx="8255" cy="8255"/>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-625475</wp:posOffset>
            </wp:positionV>
            <wp:extent cx="8255" cy="26035"/>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5">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-711200</wp:posOffset>
            </wp:positionV>
            <wp:extent cx="8890" cy="8255"/>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-693420</wp:posOffset>
            </wp:positionV>
            <wp:extent cx="8890" cy="8255"/>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-676910</wp:posOffset>
            </wp:positionV>
            <wp:extent cx="8890" cy="8255"/>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-659765</wp:posOffset>
            </wp:positionV>
            <wp:extent cx="8890" cy="8890"/>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-642620</wp:posOffset>
            </wp:positionV>
            <wp:extent cx="8890" cy="8255"/>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-625475</wp:posOffset>
            </wp:positionV>
            <wp:extent cx="8890" cy="26035"/>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-711200</wp:posOffset>
            </wp:positionV>
            <wp:extent cx="8890" cy="8255"/>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-693420</wp:posOffset>
            </wp:positionV>
            <wp:extent cx="8890" cy="8255"/>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-676910</wp:posOffset>
            </wp:positionV>
            <wp:extent cx="8890" cy="8255"/>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-659765</wp:posOffset>
            </wp:positionV>
            <wp:extent cx="8890" cy="8890"/>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-642620</wp:posOffset>
            </wp:positionV>
            <wp:extent cx="8890" cy="8255"/>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-625475</wp:posOffset>
            </wp:positionV>
            <wp:extent cx="8890" cy="26035"/>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2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-711200</wp:posOffset>
            </wp:positionV>
            <wp:extent cx="8255" cy="8255"/>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-693420</wp:posOffset>
            </wp:positionV>
            <wp:extent cx="8255" cy="8255"/>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-676910</wp:posOffset>
            </wp:positionV>
            <wp:extent cx="8255" cy="8255"/>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-659765</wp:posOffset>
            </wp:positionV>
            <wp:extent cx="8255" cy="8890"/>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-642620</wp:posOffset>
            </wp:positionV>
            <wp:extent cx="8255" cy="8255"/>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-625475</wp:posOffset>
            </wp:positionV>
            <wp:extent cx="8255" cy="26035"/>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-711200</wp:posOffset>
            </wp:positionV>
            <wp:extent cx="8890" cy="8255"/>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-693420</wp:posOffset>
            </wp:positionV>
            <wp:extent cx="8890" cy="8255"/>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-676910</wp:posOffset>
            </wp:positionV>
            <wp:extent cx="8890" cy="8255"/>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-659765</wp:posOffset>
            </wp:positionV>
            <wp:extent cx="8890" cy="8890"/>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-642620</wp:posOffset>
            </wp:positionV>
            <wp:extent cx="8890" cy="8255"/>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-625475</wp:posOffset>
            </wp:positionV>
            <wp:extent cx="8890" cy="26035"/>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3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-864870</wp:posOffset>
            </wp:positionV>
            <wp:extent cx="8255" cy="8255"/>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-848360</wp:posOffset>
            </wp:positionV>
            <wp:extent cx="8255" cy="8255"/>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-831215</wp:posOffset>
            </wp:positionV>
            <wp:extent cx="8255" cy="8890"/>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-814070</wp:posOffset>
            </wp:positionV>
            <wp:extent cx="8255" cy="8255"/>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-796925</wp:posOffset>
            </wp:positionV>
            <wp:extent cx="8255" cy="8255"/>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-779145</wp:posOffset>
            </wp:positionV>
            <wp:extent cx="8255" cy="8255"/>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-762635</wp:posOffset>
            </wp:positionV>
            <wp:extent cx="8255" cy="8255"/>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-745490</wp:posOffset>
            </wp:positionV>
            <wp:extent cx="8255" cy="26035"/>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47">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-864870</wp:posOffset>
            </wp:positionV>
            <wp:extent cx="8890" cy="8255"/>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-848360</wp:posOffset>
            </wp:positionV>
            <wp:extent cx="8890" cy="8255"/>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-831215</wp:posOffset>
            </wp:positionV>
            <wp:extent cx="8890" cy="8890"/>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-814070</wp:posOffset>
            </wp:positionV>
            <wp:extent cx="8890" cy="8255"/>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-796925</wp:posOffset>
            </wp:positionV>
            <wp:extent cx="8890" cy="8255"/>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-779145</wp:posOffset>
            </wp:positionV>
            <wp:extent cx="8890" cy="8255"/>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-762635</wp:posOffset>
            </wp:positionV>
            <wp:extent cx="8890" cy="8255"/>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-745490</wp:posOffset>
            </wp:positionV>
            <wp:extent cx="8890" cy="26035"/>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-864870</wp:posOffset>
            </wp:positionV>
            <wp:extent cx="8890" cy="8255"/>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-848360</wp:posOffset>
            </wp:positionV>
            <wp:extent cx="8890" cy="8255"/>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-831215</wp:posOffset>
            </wp:positionV>
            <wp:extent cx="8890" cy="8890"/>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-814070</wp:posOffset>
            </wp:positionV>
            <wp:extent cx="8890" cy="8255"/>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-796925</wp:posOffset>
            </wp:positionV>
            <wp:extent cx="8890" cy="8255"/>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-779145</wp:posOffset>
            </wp:positionV>
            <wp:extent cx="8890" cy="8255"/>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-762635</wp:posOffset>
            </wp:positionV>
            <wp:extent cx="8890" cy="8255"/>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-745490</wp:posOffset>
            </wp:positionV>
            <wp:extent cx="8890" cy="26035"/>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-864870</wp:posOffset>
            </wp:positionV>
            <wp:extent cx="8255" cy="8255"/>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-848360</wp:posOffset>
            </wp:positionV>
            <wp:extent cx="8255" cy="8255"/>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-831215</wp:posOffset>
            </wp:positionV>
            <wp:extent cx="8255" cy="8890"/>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-814070</wp:posOffset>
            </wp:positionV>
            <wp:extent cx="8255" cy="8255"/>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-796925</wp:posOffset>
            </wp:positionV>
            <wp:extent cx="8255" cy="8255"/>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-779145</wp:posOffset>
            </wp:positionV>
            <wp:extent cx="8255" cy="8255"/>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-762635</wp:posOffset>
            </wp:positionV>
            <wp:extent cx="8255" cy="8255"/>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-745490</wp:posOffset>
            </wp:positionV>
            <wp:extent cx="8255" cy="26035"/>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-864870</wp:posOffset>
            </wp:positionV>
            <wp:extent cx="8890" cy="8255"/>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-848360</wp:posOffset>
            </wp:positionV>
            <wp:extent cx="8890" cy="8255"/>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-831215</wp:posOffset>
            </wp:positionV>
            <wp:extent cx="8890" cy="8890"/>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-814070</wp:posOffset>
            </wp:positionV>
            <wp:extent cx="8890" cy="8255"/>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-796925</wp:posOffset>
            </wp:positionV>
            <wp:extent cx="8890" cy="8255"/>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-779145</wp:posOffset>
            </wp:positionV>
            <wp:extent cx="8890" cy="8255"/>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-762635</wp:posOffset>
            </wp:positionV>
            <wp:extent cx="8890" cy="8255"/>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-745490</wp:posOffset>
            </wp:positionV>
            <wp:extent cx="8890" cy="26035"/>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7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-993775</wp:posOffset>
            </wp:positionV>
            <wp:extent cx="8255" cy="17145"/>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-968375</wp:posOffset>
            </wp:positionV>
            <wp:extent cx="8255" cy="8255"/>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-950595</wp:posOffset>
            </wp:positionV>
            <wp:extent cx="8255" cy="8255"/>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-934085</wp:posOffset>
            </wp:positionV>
            <wp:extent cx="8255" cy="8255"/>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-916940</wp:posOffset>
            </wp:positionV>
            <wp:extent cx="8255" cy="8890"/>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-899795</wp:posOffset>
            </wp:positionV>
            <wp:extent cx="8255" cy="8255"/>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-882650</wp:posOffset>
            </wp:positionV>
            <wp:extent cx="8255" cy="8255"/>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-993775</wp:posOffset>
            </wp:positionV>
            <wp:extent cx="8890" cy="17145"/>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8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-968375</wp:posOffset>
            </wp:positionV>
            <wp:extent cx="8890" cy="8255"/>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-950595</wp:posOffset>
            </wp:positionV>
            <wp:extent cx="8890" cy="8255"/>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-934085</wp:posOffset>
            </wp:positionV>
            <wp:extent cx="8890" cy="8255"/>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-916940</wp:posOffset>
            </wp:positionV>
            <wp:extent cx="8890" cy="8890"/>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-899795</wp:posOffset>
            </wp:positionV>
            <wp:extent cx="8890" cy="8255"/>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-882650</wp:posOffset>
            </wp:positionV>
            <wp:extent cx="8890" cy="8255"/>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-993775</wp:posOffset>
            </wp:positionV>
            <wp:extent cx="8890" cy="17145"/>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-968375</wp:posOffset>
            </wp:positionV>
            <wp:extent cx="8890" cy="8255"/>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-950595</wp:posOffset>
            </wp:positionV>
            <wp:extent cx="8890" cy="8255"/>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-934085</wp:posOffset>
            </wp:positionV>
            <wp:extent cx="8890" cy="8255"/>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-916940</wp:posOffset>
            </wp:positionV>
            <wp:extent cx="8890" cy="8890"/>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-899795</wp:posOffset>
            </wp:positionV>
            <wp:extent cx="8890" cy="8255"/>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-882650</wp:posOffset>
            </wp:positionV>
            <wp:extent cx="8890" cy="8255"/>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-993775</wp:posOffset>
            </wp:positionV>
            <wp:extent cx="8255" cy="17145"/>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-968375</wp:posOffset>
            </wp:positionV>
            <wp:extent cx="8255" cy="8255"/>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-950595</wp:posOffset>
            </wp:positionV>
            <wp:extent cx="8255" cy="8255"/>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-934085</wp:posOffset>
            </wp:positionV>
            <wp:extent cx="8255" cy="8255"/>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-916940</wp:posOffset>
            </wp:positionV>
            <wp:extent cx="8255" cy="8890"/>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-899795</wp:posOffset>
            </wp:positionV>
            <wp:extent cx="8255" cy="8255"/>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-882650</wp:posOffset>
            </wp:positionV>
            <wp:extent cx="8255" cy="8255"/>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-993775</wp:posOffset>
            </wp:positionV>
            <wp:extent cx="8890" cy="17145"/>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0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-968375</wp:posOffset>
            </wp:positionV>
            <wp:extent cx="8890" cy="8255"/>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-950595</wp:posOffset>
            </wp:positionV>
            <wp:extent cx="8890" cy="8255"/>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-934085</wp:posOffset>
            </wp:positionV>
            <wp:extent cx="8890" cy="8255"/>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-916940</wp:posOffset>
            </wp:positionV>
            <wp:extent cx="8890" cy="8890"/>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-899795</wp:posOffset>
            </wp:positionV>
            <wp:extent cx="8890" cy="8255"/>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-882650</wp:posOffset>
            </wp:positionV>
            <wp:extent cx="8890" cy="8255"/>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-1096645</wp:posOffset>
            </wp:positionV>
            <wp:extent cx="8255" cy="8255"/>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-1079500</wp:posOffset>
            </wp:positionV>
            <wp:extent cx="8255" cy="8255"/>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-1062355</wp:posOffset>
            </wp:positionV>
            <wp:extent cx="8255" cy="8255"/>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-1045210</wp:posOffset>
            </wp:positionV>
            <wp:extent cx="8255" cy="8890"/>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-1028065</wp:posOffset>
            </wp:positionV>
            <wp:extent cx="8255" cy="8255"/>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-1010920</wp:posOffset>
            </wp:positionV>
            <wp:extent cx="8255" cy="8255"/>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-1096645</wp:posOffset>
            </wp:positionV>
            <wp:extent cx="8890" cy="8255"/>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-1079500</wp:posOffset>
            </wp:positionV>
            <wp:extent cx="8890" cy="8255"/>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-1062355</wp:posOffset>
            </wp:positionV>
            <wp:extent cx="8890" cy="8255"/>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-1045210</wp:posOffset>
            </wp:positionV>
            <wp:extent cx="8890" cy="8890"/>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-1028065</wp:posOffset>
            </wp:positionV>
            <wp:extent cx="8890" cy="8255"/>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-1010920</wp:posOffset>
            </wp:positionV>
            <wp:extent cx="8890" cy="8255"/>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-1096645</wp:posOffset>
            </wp:positionV>
            <wp:extent cx="8890" cy="8255"/>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-1079500</wp:posOffset>
            </wp:positionV>
            <wp:extent cx="8890" cy="8255"/>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-1062355</wp:posOffset>
            </wp:positionV>
            <wp:extent cx="8890" cy="8255"/>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-1045210</wp:posOffset>
            </wp:positionV>
            <wp:extent cx="8890" cy="8890"/>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-1028065</wp:posOffset>
            </wp:positionV>
            <wp:extent cx="8890" cy="8255"/>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-1010920</wp:posOffset>
            </wp:positionV>
            <wp:extent cx="8890" cy="8255"/>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-1096645</wp:posOffset>
            </wp:positionV>
            <wp:extent cx="8255" cy="8255"/>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-1079500</wp:posOffset>
            </wp:positionV>
            <wp:extent cx="8255" cy="8255"/>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-1062355</wp:posOffset>
            </wp:positionV>
            <wp:extent cx="8255" cy="8255"/>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-1045210</wp:posOffset>
            </wp:positionV>
            <wp:extent cx="8255" cy="8890"/>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-1028065</wp:posOffset>
            </wp:positionV>
            <wp:extent cx="8255" cy="8255"/>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-1010920</wp:posOffset>
            </wp:positionV>
            <wp:extent cx="8255" cy="8255"/>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-1096645</wp:posOffset>
            </wp:positionV>
            <wp:extent cx="8890" cy="8255"/>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-1079500</wp:posOffset>
            </wp:positionV>
            <wp:extent cx="8890" cy="8255"/>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-1062355</wp:posOffset>
            </wp:positionV>
            <wp:extent cx="8890" cy="8255"/>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-1045210</wp:posOffset>
            </wp:positionV>
            <wp:extent cx="8890" cy="8890"/>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-1028065</wp:posOffset>
            </wp:positionV>
            <wp:extent cx="8890" cy="8255"/>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-1010920</wp:posOffset>
            </wp:positionV>
            <wp:extent cx="8890" cy="8255"/>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-1216660</wp:posOffset>
            </wp:positionV>
            <wp:extent cx="8255" cy="8890"/>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-1199515</wp:posOffset>
            </wp:positionV>
            <wp:extent cx="8255" cy="8255"/>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-1182370</wp:posOffset>
            </wp:positionV>
            <wp:extent cx="8255" cy="8255"/>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-1165225</wp:posOffset>
            </wp:positionV>
            <wp:extent cx="8255" cy="8255"/>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-1148080</wp:posOffset>
            </wp:positionV>
            <wp:extent cx="8255" cy="8255"/>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-1130935</wp:posOffset>
            </wp:positionV>
            <wp:extent cx="8255" cy="26035"/>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50">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-1216660</wp:posOffset>
            </wp:positionV>
            <wp:extent cx="8890" cy="8890"/>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-1199515</wp:posOffset>
            </wp:positionV>
            <wp:extent cx="8890" cy="8255"/>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-1182370</wp:posOffset>
            </wp:positionV>
            <wp:extent cx="8890" cy="8255"/>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-1165225</wp:posOffset>
            </wp:positionV>
            <wp:extent cx="8890" cy="8255"/>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-1148080</wp:posOffset>
            </wp:positionV>
            <wp:extent cx="8890" cy="8255"/>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-1130935</wp:posOffset>
            </wp:positionV>
            <wp:extent cx="8890" cy="26035"/>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5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-1216660</wp:posOffset>
            </wp:positionV>
            <wp:extent cx="8890" cy="8890"/>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-1199515</wp:posOffset>
            </wp:positionV>
            <wp:extent cx="8890" cy="8255"/>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-1182370</wp:posOffset>
            </wp:positionV>
            <wp:extent cx="8890" cy="8255"/>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-1165225</wp:posOffset>
            </wp:positionV>
            <wp:extent cx="8890" cy="8255"/>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-1148080</wp:posOffset>
            </wp:positionV>
            <wp:extent cx="8890" cy="8255"/>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-1130935</wp:posOffset>
            </wp:positionV>
            <wp:extent cx="8890" cy="26035"/>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6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-1216660</wp:posOffset>
            </wp:positionV>
            <wp:extent cx="8255" cy="8890"/>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-1199515</wp:posOffset>
            </wp:positionV>
            <wp:extent cx="8255" cy="8255"/>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-1182370</wp:posOffset>
            </wp:positionV>
            <wp:extent cx="8255" cy="8255"/>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-1165225</wp:posOffset>
            </wp:positionV>
            <wp:extent cx="8255" cy="8255"/>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-1148080</wp:posOffset>
            </wp:positionV>
            <wp:extent cx="8255" cy="8255"/>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-1130935</wp:posOffset>
            </wp:positionV>
            <wp:extent cx="8255" cy="26035"/>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68">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-1216660</wp:posOffset>
            </wp:positionV>
            <wp:extent cx="8890" cy="8890"/>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-1199515</wp:posOffset>
            </wp:positionV>
            <wp:extent cx="8890" cy="8255"/>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-1182370</wp:posOffset>
            </wp:positionV>
            <wp:extent cx="8890" cy="8255"/>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-1165225</wp:posOffset>
            </wp:positionV>
            <wp:extent cx="8890" cy="8255"/>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-1148080</wp:posOffset>
            </wp:positionV>
            <wp:extent cx="8890" cy="8255"/>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-1130935</wp:posOffset>
            </wp:positionV>
            <wp:extent cx="8890" cy="26035"/>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7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-1336675</wp:posOffset>
            </wp:positionV>
            <wp:extent cx="8255" cy="8255"/>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-1319530</wp:posOffset>
            </wp:positionV>
            <wp:extent cx="8255" cy="8255"/>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-1302385</wp:posOffset>
            </wp:positionV>
            <wp:extent cx="8255" cy="8890"/>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-1285240</wp:posOffset>
            </wp:positionV>
            <wp:extent cx="8255" cy="8255"/>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-1268095</wp:posOffset>
            </wp:positionV>
            <wp:extent cx="8255" cy="8255"/>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-1250950</wp:posOffset>
            </wp:positionV>
            <wp:extent cx="8255" cy="25400"/>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8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-1336675</wp:posOffset>
            </wp:positionV>
            <wp:extent cx="8890" cy="8255"/>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-1319530</wp:posOffset>
            </wp:positionV>
            <wp:extent cx="8890" cy="8255"/>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-1302385</wp:posOffset>
            </wp:positionV>
            <wp:extent cx="8890" cy="8890"/>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-1285240</wp:posOffset>
            </wp:positionV>
            <wp:extent cx="8890" cy="8255"/>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-1268095</wp:posOffset>
            </wp:positionV>
            <wp:extent cx="8890" cy="8255"/>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-1250950</wp:posOffset>
            </wp:positionV>
            <wp:extent cx="8890" cy="25400"/>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86">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-1336675</wp:posOffset>
            </wp:positionV>
            <wp:extent cx="8890" cy="8255"/>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-1319530</wp:posOffset>
            </wp:positionV>
            <wp:extent cx="8890" cy="8255"/>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-1302385</wp:posOffset>
            </wp:positionV>
            <wp:extent cx="8890" cy="8890"/>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-1285240</wp:posOffset>
            </wp:positionV>
            <wp:extent cx="8890" cy="8255"/>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-1268095</wp:posOffset>
            </wp:positionV>
            <wp:extent cx="8890" cy="8255"/>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-1250950</wp:posOffset>
            </wp:positionV>
            <wp:extent cx="8890" cy="25400"/>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92">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-1336675</wp:posOffset>
            </wp:positionV>
            <wp:extent cx="8255" cy="8255"/>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-1319530</wp:posOffset>
            </wp:positionV>
            <wp:extent cx="8255" cy="8255"/>
            <wp:wrapNone/>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-1302385</wp:posOffset>
            </wp:positionV>
            <wp:extent cx="8255" cy="8890"/>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-1285240</wp:posOffset>
            </wp:positionV>
            <wp:extent cx="8255" cy="8255"/>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-1268095</wp:posOffset>
            </wp:positionV>
            <wp:extent cx="8255" cy="8255"/>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-1250950</wp:posOffset>
            </wp:positionV>
            <wp:extent cx="8255" cy="25400"/>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89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-1336675</wp:posOffset>
            </wp:positionV>
            <wp:extent cx="8890" cy="8255"/>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-1319530</wp:posOffset>
            </wp:positionV>
            <wp:extent cx="8890" cy="8255"/>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-1302385</wp:posOffset>
            </wp:positionV>
            <wp:extent cx="8890" cy="8890"/>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-1285240</wp:posOffset>
            </wp:positionV>
            <wp:extent cx="8890" cy="8255"/>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-1268095</wp:posOffset>
            </wp:positionV>
            <wp:extent cx="8890" cy="8255"/>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-1250950</wp:posOffset>
            </wp:positionV>
            <wp:extent cx="8890" cy="25400"/>
            <wp:wrapNone/>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04">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-1456690</wp:posOffset>
            </wp:positionV>
            <wp:extent cx="8255" cy="8255"/>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-1439545</wp:posOffset>
            </wp:positionV>
            <wp:extent cx="8255" cy="8890"/>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-1422400</wp:posOffset>
            </wp:positionV>
            <wp:extent cx="8255" cy="8255"/>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-1405255</wp:posOffset>
            </wp:positionV>
            <wp:extent cx="8255" cy="8255"/>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-1388110</wp:posOffset>
            </wp:positionV>
            <wp:extent cx="8255" cy="8255"/>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-1370965</wp:posOffset>
            </wp:positionV>
            <wp:extent cx="8255" cy="25400"/>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1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-1456690</wp:posOffset>
            </wp:positionV>
            <wp:extent cx="8890" cy="8255"/>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-1439545</wp:posOffset>
            </wp:positionV>
            <wp:extent cx="8890" cy="8890"/>
            <wp:wrapNone/>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-1422400</wp:posOffset>
            </wp:positionV>
            <wp:extent cx="8890" cy="8255"/>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-1405255</wp:posOffset>
            </wp:positionV>
            <wp:extent cx="8890" cy="8255"/>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-1388110</wp:posOffset>
            </wp:positionV>
            <wp:extent cx="8890" cy="8255"/>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-1370965</wp:posOffset>
            </wp:positionV>
            <wp:extent cx="8890" cy="25400"/>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16">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-1456690</wp:posOffset>
            </wp:positionV>
            <wp:extent cx="8890" cy="8255"/>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-1439545</wp:posOffset>
            </wp:positionV>
            <wp:extent cx="8890" cy="8890"/>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-1422400</wp:posOffset>
            </wp:positionV>
            <wp:extent cx="8890" cy="8255"/>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-1405255</wp:posOffset>
            </wp:positionV>
            <wp:extent cx="8890" cy="8255"/>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-1388110</wp:posOffset>
            </wp:positionV>
            <wp:extent cx="8890" cy="8255"/>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-1370965</wp:posOffset>
            </wp:positionV>
            <wp:extent cx="8890" cy="25400"/>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22">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-1456690</wp:posOffset>
            </wp:positionV>
            <wp:extent cx="8255" cy="8255"/>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-1439545</wp:posOffset>
            </wp:positionV>
            <wp:extent cx="8255" cy="8890"/>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-1422400</wp:posOffset>
            </wp:positionV>
            <wp:extent cx="8255" cy="8255"/>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-1405255</wp:posOffset>
            </wp:positionV>
            <wp:extent cx="8255" cy="8255"/>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-1388110</wp:posOffset>
            </wp:positionV>
            <wp:extent cx="8255" cy="8255"/>
            <wp:wrapNone/>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-1370965</wp:posOffset>
            </wp:positionV>
            <wp:extent cx="8255" cy="25400"/>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2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-1456690</wp:posOffset>
            </wp:positionV>
            <wp:extent cx="8890" cy="8255"/>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-1439545</wp:posOffset>
            </wp:positionV>
            <wp:extent cx="8890" cy="8890"/>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-1422400</wp:posOffset>
            </wp:positionV>
            <wp:extent cx="8890" cy="8255"/>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-1405255</wp:posOffset>
            </wp:positionV>
            <wp:extent cx="8890" cy="8255"/>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-1388110</wp:posOffset>
            </wp:positionV>
            <wp:extent cx="8890" cy="8255"/>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-1370965</wp:posOffset>
            </wp:positionV>
            <wp:extent cx="8890" cy="25400"/>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34">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-1602105</wp:posOffset>
            </wp:positionV>
            <wp:extent cx="8255" cy="17145"/>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-1576705</wp:posOffset>
            </wp:positionV>
            <wp:extent cx="8255" cy="8255"/>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-1559560</wp:posOffset>
            </wp:positionV>
            <wp:extent cx="8255" cy="8255"/>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-1542415</wp:posOffset>
            </wp:positionV>
            <wp:extent cx="8255" cy="8255"/>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-1525270</wp:posOffset>
            </wp:positionV>
            <wp:extent cx="8255" cy="8890"/>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-1508125</wp:posOffset>
            </wp:positionV>
            <wp:extent cx="8255" cy="8255"/>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-1490980</wp:posOffset>
            </wp:positionV>
            <wp:extent cx="8255" cy="26035"/>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4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-1602105</wp:posOffset>
            </wp:positionV>
            <wp:extent cx="8890" cy="17145"/>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4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-1576705</wp:posOffset>
            </wp:positionV>
            <wp:extent cx="8890" cy="8255"/>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-1559560</wp:posOffset>
            </wp:positionV>
            <wp:extent cx="8890" cy="8255"/>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-1542415</wp:posOffset>
            </wp:positionV>
            <wp:extent cx="8890" cy="8255"/>
            <wp:wrapNone/>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-1525270</wp:posOffset>
            </wp:positionV>
            <wp:extent cx="8890" cy="8890"/>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-1508125</wp:posOffset>
            </wp:positionV>
            <wp:extent cx="8890" cy="8255"/>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-1490980</wp:posOffset>
            </wp:positionV>
            <wp:extent cx="8890" cy="26035"/>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4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-1602105</wp:posOffset>
            </wp:positionV>
            <wp:extent cx="8890" cy="17145"/>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4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-1576705</wp:posOffset>
            </wp:positionV>
            <wp:extent cx="8890" cy="8255"/>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-1559560</wp:posOffset>
            </wp:positionV>
            <wp:extent cx="8890" cy="8255"/>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-1542415</wp:posOffset>
            </wp:positionV>
            <wp:extent cx="8890" cy="8255"/>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-1525270</wp:posOffset>
            </wp:positionV>
            <wp:extent cx="8890" cy="8890"/>
            <wp:wrapNone/>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-1508125</wp:posOffset>
            </wp:positionV>
            <wp:extent cx="8890" cy="8255"/>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-1490980</wp:posOffset>
            </wp:positionV>
            <wp:extent cx="8890" cy="26035"/>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-1602105</wp:posOffset>
            </wp:positionV>
            <wp:extent cx="8255" cy="17145"/>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5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-1576705</wp:posOffset>
            </wp:positionV>
            <wp:extent cx="8255" cy="8255"/>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-1559560</wp:posOffset>
            </wp:positionV>
            <wp:extent cx="8255" cy="8255"/>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-1542415</wp:posOffset>
            </wp:positionV>
            <wp:extent cx="8255" cy="8255"/>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-1525270</wp:posOffset>
            </wp:positionV>
            <wp:extent cx="8255" cy="8890"/>
            <wp:wrapNone/>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-1508125</wp:posOffset>
            </wp:positionV>
            <wp:extent cx="8255" cy="8255"/>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-1490980</wp:posOffset>
            </wp:positionV>
            <wp:extent cx="8255" cy="26035"/>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6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-1602105</wp:posOffset>
            </wp:positionV>
            <wp:extent cx="8890" cy="17145"/>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6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-1576705</wp:posOffset>
            </wp:positionV>
            <wp:extent cx="8890" cy="8255"/>
            <wp:wrapNone/>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-1559560</wp:posOffset>
            </wp:positionV>
            <wp:extent cx="8890" cy="8255"/>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-1542415</wp:posOffset>
            </wp:positionV>
            <wp:extent cx="8890" cy="8255"/>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-1525270</wp:posOffset>
            </wp:positionV>
            <wp:extent cx="8890" cy="8890"/>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-1508125</wp:posOffset>
            </wp:positionV>
            <wp:extent cx="8890" cy="8255"/>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-1490980</wp:posOffset>
            </wp:positionV>
            <wp:extent cx="8890" cy="26035"/>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6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-1731010</wp:posOffset>
            </wp:positionV>
            <wp:extent cx="8255" cy="17145"/>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7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-1705610</wp:posOffset>
            </wp:positionV>
            <wp:extent cx="8255" cy="8255"/>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-1687830</wp:posOffset>
            </wp:positionV>
            <wp:extent cx="8255" cy="8255"/>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-1671320</wp:posOffset>
            </wp:positionV>
            <wp:extent cx="8255" cy="8255"/>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-1654175</wp:posOffset>
            </wp:positionV>
            <wp:extent cx="8255" cy="8890"/>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-1636395</wp:posOffset>
            </wp:positionV>
            <wp:extent cx="8255" cy="8255"/>
            <wp:wrapNone/>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-1619885</wp:posOffset>
            </wp:positionV>
            <wp:extent cx="8255" cy="8255"/>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-1731010</wp:posOffset>
            </wp:positionV>
            <wp:extent cx="8890" cy="17145"/>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7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-1705610</wp:posOffset>
            </wp:positionV>
            <wp:extent cx="8890" cy="8255"/>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-1687830</wp:posOffset>
            </wp:positionV>
            <wp:extent cx="8890" cy="8255"/>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-1671320</wp:posOffset>
            </wp:positionV>
            <wp:extent cx="8890" cy="8255"/>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-1654175</wp:posOffset>
            </wp:positionV>
            <wp:extent cx="8890" cy="8890"/>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-1636395</wp:posOffset>
            </wp:positionV>
            <wp:extent cx="8890" cy="8255"/>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-1619885</wp:posOffset>
            </wp:positionV>
            <wp:extent cx="8890" cy="8255"/>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-1731010</wp:posOffset>
            </wp:positionV>
            <wp:extent cx="8890" cy="17145"/>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8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-1705610</wp:posOffset>
            </wp:positionV>
            <wp:extent cx="8890" cy="8255"/>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-1687830</wp:posOffset>
            </wp:positionV>
            <wp:extent cx="8890" cy="8255"/>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-1671320</wp:posOffset>
            </wp:positionV>
            <wp:extent cx="8890" cy="8255"/>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-1654175</wp:posOffset>
            </wp:positionV>
            <wp:extent cx="8890" cy="8890"/>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-1636395</wp:posOffset>
            </wp:positionV>
            <wp:extent cx="8890" cy="8255"/>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-1619885</wp:posOffset>
            </wp:positionV>
            <wp:extent cx="8890" cy="8255"/>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-1731010</wp:posOffset>
            </wp:positionV>
            <wp:extent cx="8255" cy="17145"/>
            <wp:wrapNone/>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9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-1705610</wp:posOffset>
            </wp:positionV>
            <wp:extent cx="8255" cy="8255"/>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-1687830</wp:posOffset>
            </wp:positionV>
            <wp:extent cx="8255" cy="8255"/>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-1671320</wp:posOffset>
            </wp:positionV>
            <wp:extent cx="8255" cy="8255"/>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-1654175</wp:posOffset>
            </wp:positionV>
            <wp:extent cx="8255" cy="8890"/>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-1636395</wp:posOffset>
            </wp:positionV>
            <wp:extent cx="8255" cy="8255"/>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-1619885</wp:posOffset>
            </wp:positionV>
            <wp:extent cx="8255" cy="8255"/>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3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-1731010</wp:posOffset>
            </wp:positionV>
            <wp:extent cx="8890" cy="17145"/>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399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-1705610</wp:posOffset>
            </wp:positionV>
            <wp:extent cx="8890" cy="8255"/>
            <wp:wrapNone/>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3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-1687830</wp:posOffset>
            </wp:positionV>
            <wp:extent cx="8890" cy="8255"/>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-1671320</wp:posOffset>
            </wp:positionV>
            <wp:extent cx="8890" cy="8255"/>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-1654175</wp:posOffset>
            </wp:positionV>
            <wp:extent cx="8890" cy="8890"/>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-1636395</wp:posOffset>
            </wp:positionV>
            <wp:extent cx="8890" cy="8255"/>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-1619885</wp:posOffset>
            </wp:positionV>
            <wp:extent cx="8890" cy="8255"/>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0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66"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parent company and consolidation adjustments.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consolidated results of operations of Con Edison and its businesses.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CECONY</w:t>
      </w:r>
    </w:p>
    <w:p>
      <w:pPr>
        <w:spacing w:after="0" w:line="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Current assets at June 30, 2021 were $114 million lower than at December 31, 2020. The change in current assets primarily reflects a decrease in accounts receivables from affiliated companies ($93 million), a decrease in cash and temporary cash investments ($82 million), offset in part by an increase in revenue decoupling mechanism receivable ($69 million). See “COVID-19 Regulatory Matters” in Note B to the Second Quarter Financial Statements and “Coronavirus Disease 2019 (COVID-19) Impacts - Accounting Considerations” and “Liquidity and Financing,” above.</w:t>
      </w:r>
    </w:p>
    <w:p>
      <w:pPr>
        <w:spacing w:after="0" w:line="23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Investments at June 30, 2021 were $53 million higher than at December 31, 2020. The change in investments primarily reflects an increase in supplemental retirement income plan assets. See Note E to the Second Quarter Financial Statements.</w:t>
      </w:r>
    </w:p>
    <w:p>
      <w:pPr>
        <w:spacing w:after="0" w:line="225"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Net plant at June 30, 2021 was $ 880 million higher than at December 31, 2020. The change in net plant primarily reflects an increase in electric ($744 million), gas ($538 million), steam ($45 million) and general ($121 million) plant balances, offset in part by an increase in accumulated depreciation ($466 million) and a decrease in construction work in progress ($102 million).</w:t>
      </w:r>
    </w:p>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Other noncurrent assets at June 30, 2021 were $271 million lower than at December 31, 2020. The change in other noncurrent assets primarily reflects a decrease in the regulatory asset for unrecognized pension and other postretirement costs to reflect the final actuarial valuation, as measured at December 31, 2020, of the pension and other retiree benefit plans in accordance with the accounting rules for retirement benefits ($458 million) and deferred derivative losses ($42 million). See Notes B, E and F to the Second Quarter Financial Statements. The change in the regulatory asset also reflects the year's amortization of accounting costs. This decrease is offset in part by an increase in the regulatory assets for deferrals for increased costs related to the COVID-19 pandemic ($121 million), deferred pension and other postretirement benefits ($72 million) and deferred storm costs ($29 million). See “Other Regulatory Matters” in Note B and Note G to the Second Quarter Financial Statements.</w:t>
      </w:r>
    </w:p>
    <w:p>
      <w:pPr>
        <w:spacing w:after="0" w:line="232"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Current liabilities at June 30, 2021 were $1,603 million lower than at December 31, 2020. The change in current liabilities primarily reflects decreases in notes payable ($660 million), long-term debt due within one year ($640 million), accounts payable ($250 million) and accrued taxes ($31 million).</w:t>
      </w:r>
    </w:p>
    <w:p>
      <w:pPr>
        <w:spacing w:after="0" w:line="215" w:lineRule="exact"/>
        <w:rPr>
          <w:sz w:val="20"/>
          <w:szCs w:val="20"/>
          <w:color w:val="auto"/>
        </w:rPr>
      </w:pPr>
    </w:p>
    <w:p>
      <w:pPr>
        <w:ind w:right="460"/>
        <w:spacing w:after="0" w:line="229" w:lineRule="auto"/>
        <w:rPr>
          <w:sz w:val="20"/>
          <w:szCs w:val="20"/>
          <w:color w:val="auto"/>
        </w:rPr>
      </w:pPr>
      <w:r>
        <w:rPr>
          <w:rFonts w:ascii="Arial" w:cs="Arial" w:eastAsia="Arial" w:hAnsi="Arial"/>
          <w:sz w:val="18"/>
          <w:szCs w:val="18"/>
          <w:color w:val="auto"/>
        </w:rPr>
        <w:t>Noncurrent liabilities at June 30, 2021 were $410 million lower than at December 31, 2020. The change in noncurrent liabilities primarily reflects a decrease in the liability for pension and retiree benefits ($309 million) that primarily reflects the final actuarial valuation, as measured at December 31, 2020, of the plans in accordance with</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81" w:name="page82"/>
    <w:bookmarkEnd w:id="81"/>
    <w:p>
      <w:pPr>
        <w:ind w:right="400"/>
        <w:spacing w:after="0" w:line="235" w:lineRule="auto"/>
        <w:rPr>
          <w:sz w:val="20"/>
          <w:szCs w:val="20"/>
          <w:color w:val="auto"/>
        </w:rPr>
      </w:pPr>
      <w:r>
        <w:rPr>
          <w:rFonts w:ascii="Arial" w:cs="Arial" w:eastAsia="Arial" w:hAnsi="Arial"/>
          <w:sz w:val="18"/>
          <w:szCs w:val="18"/>
          <w:color w:val="auto"/>
        </w:rPr>
        <w:t>the accounting rules for retirement benefits. See Notes E and F to the Second Quarter Financial Statements. The change also reflects a decrease in the regulatory liability for future income tax ($113 million).</w:t>
      </w:r>
    </w:p>
    <w:p>
      <w:pPr>
        <w:spacing w:after="0" w:line="22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Long-term debt at June 30, 2021 was $1,486 million higher than at December 31, 2020. The change in long-term debt primarily reflects the June 2021 issuance of $1,500 million of debentures. See "Liquidity and Capital Resources - Cash Flows From Financing Activities" above and Note C to the Second Quarter Financial Statements.</w:t>
      </w:r>
    </w:p>
    <w:p>
      <w:pPr>
        <w:spacing w:after="0" w:line="2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Equity at June 30, 2021 was $1,075 million higher than at December 31, 2020. The change in equity primarily reflects net income for the six months ended June 30, 2021 ($593 million) and capital contributions from parent ($976 million) in 2021, offset in part by common stock dividends to parent ($494 million) in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O&amp;R</w:t>
      </w:r>
    </w:p>
    <w:p>
      <w:pPr>
        <w:spacing w:after="0" w:line="3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Net plant at June 30, 2021 was $48 million higher than at December 31, 2020. The change in net plant primarily reflects an increase in electric ($67 million), gas ($23 million), and general ($17 million) plant balances, offset in part by an increase in accumulated depreciation ($36 million) and a decrease in construction work in progress ($23 million).</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Other noncurrent assets at June 30, 2021 were $30 million lower than at December 31, 2020. The change in other noncurrent assets primarily reflects a decrease in the regulatory asset for unrecognized pension and other postretirement costs to reflect the final actuarial valuation, as measured at December 31, 2020, of the pension and other retiree benefit plans in accordance with the accounting rules for retirement benefits ($33 million). See Notes B, E and F to the Second Quarter Financial Statements. The change in the regulatory asset also reflects the year's amortization of accounting costs. This decrease is offset in part by an increase in the deferred storm costs ($1 million).</w:t>
      </w:r>
    </w:p>
    <w:p>
      <w:pPr>
        <w:spacing w:after="0" w:line="21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Current liabilities at June 30, 2021 were $46 million lower than at December 31, 2020. The change in current liabilities primarily reflects lower accounts payable ($47 million).</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Noncurrent liabilities at June 30, 2021 were $15 million higher than at December 31, 2020. The change in noncurrent liabilities primarily reflects increases in regulatory liabilities ($9 million) and deferred income taxes and unamortized investment tax credits ($8 million), primarily due to accelerated tax depreciation and repair deductions.</w:t>
      </w:r>
    </w:p>
    <w:p>
      <w:pPr>
        <w:spacing w:after="0" w:line="22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Equity at June 30, 2021 was $41 million higher than at December 31, 2020. The change in equity primarily reflects net income for the six months ended June 30, 2021 ($27 million), capital contributions from parent ($35 million) in 2021 and an increase in other comprehensive income ($5 million), offset in part by common stock dividends to parent ($26 million) in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 Energy Businesses</w:t>
      </w:r>
    </w:p>
    <w:p>
      <w:pPr>
        <w:spacing w:after="0" w:line="18"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Investments at June 30, 2021 were $11 million higher than at December 31, 2020. The change in investments primarily reflects a tax equity investment.</w:t>
      </w:r>
    </w:p>
    <w:p>
      <w:pPr>
        <w:spacing w:after="0" w:line="216"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Net plant at June 30, 2021 was $145 million lower than at December 31, 2020. The change in net plant primarily reflects the divestiture of renewable electric projects. See Note R to the Second Quarter Financial Statements.</w:t>
      </w:r>
    </w:p>
    <w:p>
      <w:pPr>
        <w:spacing w:after="0" w:line="216"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Other noncurrent assets at June 30, 2021 were $144 million lower than at December 31, 2020. The change in other noncurrent assets primarily reflects the divestiture of renewable electric projects. See Note R to the Second Quarter Financial Statements.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Current liabilities at June 30, 2021 were $61 million lower than at December 31, 2020. The change in current liabilities primarily reflects new borrowing offset in part by a decrease in receivable from associated companies. See Note C to the Second Quarter Financial Statements.</w:t>
      </w:r>
    </w:p>
    <w:p>
      <w:pPr>
        <w:spacing w:after="0" w:line="20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Noncurrent liabilities at June 30, 2021 were $106 million lower than at December 31, 2020. The change in noncurrent liabilities primarily reflects the change in the fair value of derivative liabilities and the change in deferred taxes.</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Long-term debt at June 30, 2021 was $285 million lower than at December 31, 2020. The change in long-term debt primarily reflects the repayment of an intercompany loan from the parent company ($375 million), offset in part by a net increase in project debt ($90 million). See Note C to the Second Quarter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82" w:name="page83"/>
    <w:bookmarkEnd w:id="82"/>
    <w:p>
      <w:pPr>
        <w:jc w:val="both"/>
        <w:ind w:right="580"/>
        <w:spacing w:after="0" w:line="256" w:lineRule="auto"/>
        <w:rPr>
          <w:sz w:val="20"/>
          <w:szCs w:val="20"/>
          <w:color w:val="auto"/>
        </w:rPr>
      </w:pPr>
      <w:r>
        <w:rPr>
          <w:rFonts w:ascii="Arial" w:cs="Arial" w:eastAsia="Arial" w:hAnsi="Arial"/>
          <w:sz w:val="18"/>
          <w:szCs w:val="18"/>
          <w:color w:val="auto"/>
        </w:rPr>
        <w:t>Equity at June 30, 2021 was $178 million higher than at December 31, 2020. The change in equity primarily reflects an increase in net income for the six months ended June 30, 2021 ($117 million) and a noncontrolling tax equity interest ($92 million) (see Note P to the Second Quarter Financial Statements), offset in part by common stock dividends to parent ($32 million) in 2021</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 Transmission</w:t>
      </w:r>
    </w:p>
    <w:p>
      <w:pPr>
        <w:spacing w:after="0" w:line="18"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Current assets at June 30, 2021 were $20 million lower than at December 31, 2020. The change in current assets primarily reflects a reduction in receivables due to receipt of a $19 million payment from Crestwood Pipeline and Storage Northeast LLC (Crestwood), the joint venture partner in Stagecoach, the proceeds of which were used to repay short-term borrowings under an intercompany capital funding facility. The agreement between Crestwood and a subsidiary of CET Gas provides for payments from Crestwood to the subsidiary of CET Gas for shortfalls in meeting certain earnings growth performance targets. Payments totaled $57 million ($19 million of which was paid in the first quarter 2021 and was recorded as a receivable by CET Gas in March 2020, and the remainder of which, plus interest was paid by Crestwood on July 9, 2021). See "Con Edison Transmission" below.</w:t>
      </w:r>
    </w:p>
    <w:p>
      <w:pPr>
        <w:spacing w:after="0" w:line="23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Investments at June 30, 2021 were $192 million lower than at December 31, 2020. The decrease in investments primarily reflects the losses related to Con Edison Transmission's investment in Stagecoach ($211 million), less partnership distribution net of investment income from Stagecoach ($5 million), offset in part by additional investment in and income from NY Transco ($23 million). See "Investments" in Note A to the Second Quarter Financial Statements.</w:t>
      </w:r>
    </w:p>
    <w:p>
      <w:pPr>
        <w:spacing w:after="0" w:line="23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Current liabilities at June 30, 2021 were $481 million higher than at December 31, 2020. The change in current liabilities primarily reflects the use of short-term borrowings to repay $500 million of long-term debt in May 2021, less receipt of the $19 million from Crestwood and cash distributions from Stagecoach ($27 million), offset in part by a cash contribution to NY Transco ($16 million) and other intercompany payables.</w:t>
      </w:r>
    </w:p>
    <w:p>
      <w:pPr>
        <w:spacing w:after="0" w:line="218"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Noncurrent liabilities at June 30, 2021 were $50 million lower than at December 31, 2020. The change in noncurrent liabilities reflects primarily an increase in deferred income taxes and unamortized investment tax credits that reflects primarily timing differences associated with investments in partnerships.</w:t>
      </w:r>
    </w:p>
    <w:p>
      <w:pPr>
        <w:spacing w:after="0" w:line="21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Long-term debt at June 30, 2021 was $500 million lower than at December 31, 2020. The change in long-term debt reflects the repayment of the outstanding $500 million long-term debt.</w:t>
      </w:r>
    </w:p>
    <w:p>
      <w:pPr>
        <w:spacing w:after="0" w:line="229"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Equity at June 30, 2021 was $143 million lower than at December 31, 2020. The change in equity primarily reflects net loss for the six months ended June 30, 2021 ($142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Off-Balance Sheet Arrangements</w:t>
      </w:r>
    </w:p>
    <w:p>
      <w:pPr>
        <w:spacing w:after="0" w:line="3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At June 30, 2021, none of the Companies’ transactions, agreements or other contractual arrangements met the SEC definition of off-balance sheet arrangements.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Regulatory Matters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the Utilities’ regulatory matters, see Note B to the Second Quarter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Environmental Matters</w:t>
      </w:r>
    </w:p>
    <w:p>
      <w:pPr>
        <w:spacing w:after="0" w:line="18"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In July 2021, a feeder failure led to the discharge of thousands of gallons of dielectric fluid from a street manhole in New Rochelle, New York. Dielectric fluid reached nearby streets, properties and the New Rochelle Harbor. CECONY, the U.S. Coast Guard, the New York State Department of Environmental Conservation and other agencies responded to the incident. The company stopped the feeder leak on the same day that the discharge occurred and is continuing to remediate and monitor the affected areas, the costs of which are not expected to have a material adverse effect on its financial condition, results of operations or liquidity. In connection with the incident, the company may incur monetary sanctions of more than $0.3 million for violations of certain provisions regulating the discharge of materials into, and for the protection of, the environment.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the Companies’ environmental matters, see Note G to the Second Quarter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8C8272"/>
        </w:rPr>
        <w:t>Clean Energy Businesses</w:t>
      </w:r>
    </w:p>
    <w:p>
      <w:pPr>
        <w:spacing w:after="0" w:line="7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following table provides information about the Clean Energy Businesses' renewable electric production projects that are in operation and/or in construction at June 30, 2021:</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320" w:type="dxa"/>
            <w:vAlign w:val="bottom"/>
          </w:tcPr>
          <w:p>
            <w:pPr>
              <w:jc w:val="center"/>
              <w:ind w:left="168"/>
              <w:spacing w:after="0"/>
              <w:rPr>
                <w:sz w:val="20"/>
                <w:szCs w:val="20"/>
                <w:color w:val="auto"/>
              </w:rPr>
            </w:pPr>
            <w:r>
              <w:rPr>
                <w:rFonts w:ascii="Arial" w:cs="Arial" w:eastAsia="Arial" w:hAnsi="Arial"/>
                <w:sz w:val="14"/>
                <w:szCs w:val="14"/>
                <w:b w:val="1"/>
                <w:bCs w:val="1"/>
                <w:color w:val="auto"/>
              </w:rPr>
              <w:t>Generating</w:t>
            </w:r>
          </w:p>
        </w:tc>
        <w:tc>
          <w:tcPr>
            <w:tcW w:w="1480" w:type="dxa"/>
            <w:vAlign w:val="bottom"/>
          </w:tcPr>
          <w:p>
            <w:pPr>
              <w:jc w:val="center"/>
              <w:ind w:left="48"/>
              <w:spacing w:after="0"/>
              <w:rPr>
                <w:sz w:val="20"/>
                <w:szCs w:val="20"/>
                <w:color w:val="auto"/>
              </w:rPr>
            </w:pPr>
            <w:r>
              <w:rPr>
                <w:rFonts w:ascii="Arial" w:cs="Arial" w:eastAsia="Arial" w:hAnsi="Arial"/>
                <w:sz w:val="14"/>
                <w:szCs w:val="14"/>
                <w:b w:val="1"/>
                <w:bCs w:val="1"/>
                <w:color w:val="auto"/>
              </w:rPr>
              <w:t>Power Purchase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Actual/Expected</w:t>
            </w:r>
          </w:p>
        </w:tc>
        <w:tc>
          <w:tcPr>
            <w:tcW w:w="1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Project Name</w:t>
            </w:r>
          </w:p>
        </w:tc>
        <w:tc>
          <w:tcPr>
            <w:tcW w:w="1320" w:type="dxa"/>
            <w:vAlign w:val="bottom"/>
          </w:tcPr>
          <w:p>
            <w:pPr>
              <w:jc w:val="center"/>
              <w:ind w:left="128"/>
              <w:spacing w:after="0" w:line="135" w:lineRule="exact"/>
              <w:rPr>
                <w:sz w:val="20"/>
                <w:szCs w:val="20"/>
                <w:color w:val="auto"/>
              </w:rPr>
            </w:pPr>
            <w:r>
              <w:rPr>
                <w:rFonts w:ascii="Arial" w:cs="Arial" w:eastAsia="Arial" w:hAnsi="Arial"/>
                <w:sz w:val="14"/>
                <w:szCs w:val="14"/>
                <w:b w:val="1"/>
                <w:bCs w:val="1"/>
                <w:color w:val="auto"/>
              </w:rPr>
              <w:t>Capacity</w:t>
            </w:r>
          </w:p>
        </w:tc>
        <w:tc>
          <w:tcPr>
            <w:tcW w:w="148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rPr>
              <w:t>Agreement (PPA)</w:t>
            </w:r>
          </w:p>
        </w:tc>
        <w:tc>
          <w:tcPr>
            <w:tcW w:w="1360" w:type="dxa"/>
            <w:vAlign w:val="bottom"/>
            <w:vMerge w:val="continue"/>
          </w:tcPr>
          <w:p>
            <w:pPr>
              <w:spacing w:after="0"/>
              <w:rPr>
                <w:sz w:val="11"/>
                <w:szCs w:val="11"/>
                <w:color w:val="auto"/>
              </w:rPr>
            </w:pPr>
          </w:p>
        </w:tc>
        <w:tc>
          <w:tcPr>
            <w:tcW w:w="166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State</w:t>
            </w:r>
          </w:p>
        </w:tc>
        <w:tc>
          <w:tcPr>
            <w:tcW w:w="19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PPA Counterparty (c)</w:t>
            </w:r>
          </w:p>
        </w:tc>
        <w:tc>
          <w:tcPr>
            <w:tcW w:w="0" w:type="dxa"/>
            <w:vAlign w:val="bottom"/>
          </w:tcPr>
          <w:p>
            <w:pPr>
              <w:spacing w:after="0"/>
              <w:rPr>
                <w:sz w:val="1"/>
                <w:szCs w:val="1"/>
                <w:color w:val="auto"/>
              </w:rPr>
            </w:pPr>
          </w:p>
        </w:tc>
      </w:tr>
      <w:tr>
        <w:trPr>
          <w:trHeight w:val="176"/>
        </w:trPr>
        <w:tc>
          <w:tcPr>
            <w:tcW w:w="3440" w:type="dxa"/>
            <w:vAlign w:val="bottom"/>
            <w:tcBorders>
              <w:bottom w:val="single" w:sz="8" w:color="5E5E61"/>
            </w:tcBorders>
            <w:vMerge w:val="continue"/>
          </w:tcPr>
          <w:p>
            <w:pPr>
              <w:spacing w:after="0"/>
              <w:rPr>
                <w:sz w:val="15"/>
                <w:szCs w:val="15"/>
                <w:color w:val="auto"/>
              </w:rPr>
            </w:pPr>
          </w:p>
        </w:tc>
        <w:tc>
          <w:tcPr>
            <w:tcW w:w="1320" w:type="dxa"/>
            <w:vAlign w:val="bottom"/>
            <w:tcBorders>
              <w:bottom w:val="single" w:sz="8" w:color="5E5E61"/>
            </w:tcBorders>
          </w:tcPr>
          <w:p>
            <w:pPr>
              <w:jc w:val="center"/>
              <w:ind w:left="168"/>
              <w:spacing w:after="0"/>
              <w:rPr>
                <w:sz w:val="20"/>
                <w:szCs w:val="20"/>
                <w:color w:val="auto"/>
              </w:rPr>
            </w:pPr>
            <w:r>
              <w:rPr>
                <w:rFonts w:ascii="Arial" w:cs="Arial" w:eastAsia="Arial" w:hAnsi="Arial"/>
                <w:sz w:val="14"/>
                <w:szCs w:val="14"/>
                <w:b w:val="1"/>
                <w:bCs w:val="1"/>
                <w:color w:val="auto"/>
              </w:rPr>
              <w:t>(MW AC)</w:t>
            </w:r>
          </w:p>
        </w:tc>
        <w:tc>
          <w:tcPr>
            <w:tcW w:w="1480" w:type="dxa"/>
            <w:vAlign w:val="bottom"/>
            <w:tcBorders>
              <w:bottom w:val="single" w:sz="8" w:color="5E5E61"/>
            </w:tcBorders>
          </w:tcPr>
          <w:p>
            <w:pPr>
              <w:jc w:val="center"/>
              <w:ind w:left="48"/>
              <w:spacing w:after="0"/>
              <w:rPr>
                <w:sz w:val="20"/>
                <w:szCs w:val="20"/>
                <w:color w:val="auto"/>
              </w:rPr>
            </w:pPr>
            <w:r>
              <w:rPr>
                <w:rFonts w:ascii="Arial" w:cs="Arial" w:eastAsia="Arial" w:hAnsi="Arial"/>
                <w:sz w:val="14"/>
                <w:szCs w:val="14"/>
                <w:b w:val="1"/>
                <w:bCs w:val="1"/>
                <w:color w:val="auto"/>
              </w:rPr>
              <w:t>Term (In Years) (a)</w:t>
            </w:r>
          </w:p>
        </w:tc>
        <w:tc>
          <w:tcPr>
            <w:tcW w:w="1360" w:type="dxa"/>
            <w:vAlign w:val="bottom"/>
            <w:tcBorders>
              <w:bottom w:val="single" w:sz="8" w:color="5E5E61"/>
            </w:tcBorders>
          </w:tcPr>
          <w:p>
            <w:pPr>
              <w:jc w:val="center"/>
              <w:spacing w:after="0"/>
              <w:rPr>
                <w:sz w:val="20"/>
                <w:szCs w:val="20"/>
                <w:color w:val="auto"/>
              </w:rPr>
            </w:pPr>
            <w:r>
              <w:rPr>
                <w:rFonts w:ascii="Arial" w:cs="Arial" w:eastAsia="Arial" w:hAnsi="Arial"/>
                <w:sz w:val="14"/>
                <w:szCs w:val="14"/>
                <w:b w:val="1"/>
                <w:bCs w:val="1"/>
                <w:color w:val="auto"/>
              </w:rPr>
              <w:t>In-Service Date (b)</w:t>
            </w:r>
          </w:p>
        </w:tc>
        <w:tc>
          <w:tcPr>
            <w:tcW w:w="1660" w:type="dxa"/>
            <w:vAlign w:val="bottom"/>
            <w:tcBorders>
              <w:bottom w:val="single" w:sz="8" w:color="5E5E61"/>
            </w:tcBorders>
            <w:vMerge w:val="continue"/>
          </w:tcPr>
          <w:p>
            <w:pPr>
              <w:spacing w:after="0"/>
              <w:rPr>
                <w:sz w:val="15"/>
                <w:szCs w:val="15"/>
                <w:color w:val="auto"/>
              </w:rPr>
            </w:pPr>
          </w:p>
        </w:tc>
        <w:tc>
          <w:tcPr>
            <w:tcW w:w="1960" w:type="dxa"/>
            <w:vAlign w:val="bottom"/>
            <w:tcBorders>
              <w:bottom w:val="single" w:sz="8" w:color="5E5E61"/>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40" w:type="dxa"/>
            <w:vAlign w:val="bottom"/>
            <w:tcBorders>
              <w:bottom w:val="single" w:sz="8" w:color="5E5E61"/>
            </w:tcBorders>
          </w:tcPr>
          <w:p>
            <w:pPr>
              <w:ind w:left="20"/>
              <w:spacing w:after="0"/>
              <w:rPr>
                <w:sz w:val="20"/>
                <w:szCs w:val="20"/>
                <w:color w:val="auto"/>
              </w:rPr>
            </w:pPr>
            <w:r>
              <w:rPr>
                <w:rFonts w:ascii="Arial" w:cs="Arial" w:eastAsia="Arial" w:hAnsi="Arial"/>
                <w:sz w:val="14"/>
                <w:szCs w:val="14"/>
                <w:b w:val="1"/>
                <w:bCs w:val="1"/>
                <w:color w:val="auto"/>
              </w:rPr>
              <w:t>Utility Scale</w:t>
            </w:r>
          </w:p>
        </w:tc>
        <w:tc>
          <w:tcPr>
            <w:tcW w:w="1320" w:type="dxa"/>
            <w:vAlign w:val="bottom"/>
            <w:tcBorders>
              <w:bottom w:val="single" w:sz="8" w:color="5E5E61"/>
            </w:tcBorders>
          </w:tcPr>
          <w:p>
            <w:pPr>
              <w:spacing w:after="0"/>
              <w:rPr>
                <w:sz w:val="15"/>
                <w:szCs w:val="15"/>
                <w:color w:val="auto"/>
              </w:rPr>
            </w:pPr>
          </w:p>
        </w:tc>
        <w:tc>
          <w:tcPr>
            <w:tcW w:w="1480" w:type="dxa"/>
            <w:vAlign w:val="bottom"/>
            <w:tcBorders>
              <w:bottom w:val="single" w:sz="8" w:color="5E5E61"/>
            </w:tcBorders>
          </w:tcPr>
          <w:p>
            <w:pPr>
              <w:spacing w:after="0"/>
              <w:rPr>
                <w:sz w:val="15"/>
                <w:szCs w:val="15"/>
                <w:color w:val="auto"/>
              </w:rPr>
            </w:pPr>
          </w:p>
        </w:tc>
        <w:tc>
          <w:tcPr>
            <w:tcW w:w="1360" w:type="dxa"/>
            <w:vAlign w:val="bottom"/>
            <w:tcBorders>
              <w:bottom w:val="single" w:sz="8" w:color="5E5E61"/>
            </w:tcBorders>
          </w:tcPr>
          <w:p>
            <w:pPr>
              <w:spacing w:after="0"/>
              <w:rPr>
                <w:sz w:val="15"/>
                <w:szCs w:val="15"/>
                <w:color w:val="auto"/>
              </w:rPr>
            </w:pPr>
          </w:p>
        </w:tc>
        <w:tc>
          <w:tcPr>
            <w:tcW w:w="1660" w:type="dxa"/>
            <w:vAlign w:val="bottom"/>
            <w:tcBorders>
              <w:bottom w:val="single" w:sz="8" w:color="5E5E61"/>
            </w:tcBorders>
          </w:tcPr>
          <w:p>
            <w:pPr>
              <w:spacing w:after="0"/>
              <w:rPr>
                <w:sz w:val="15"/>
                <w:szCs w:val="15"/>
                <w:color w:val="auto"/>
              </w:rPr>
            </w:pPr>
          </w:p>
        </w:tc>
        <w:tc>
          <w:tcPr>
            <w:tcW w:w="1960" w:type="dxa"/>
            <w:vAlign w:val="bottom"/>
            <w:tcBorders>
              <w:bottom w:val="single" w:sz="8" w:color="5E5E6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40" w:type="dxa"/>
            <w:vAlign w:val="bottom"/>
            <w:shd w:val="clear" w:color="auto" w:fill="E5E5E5"/>
          </w:tcPr>
          <w:p>
            <w:pPr>
              <w:ind w:left="20"/>
              <w:spacing w:after="0"/>
              <w:rPr>
                <w:sz w:val="20"/>
                <w:szCs w:val="20"/>
                <w:color w:val="auto"/>
              </w:rPr>
            </w:pPr>
            <w:r>
              <w:rPr>
                <w:rFonts w:ascii="Arial" w:cs="Arial" w:eastAsia="Arial" w:hAnsi="Arial"/>
                <w:sz w:val="14"/>
                <w:szCs w:val="14"/>
                <w:b w:val="1"/>
                <w:bCs w:val="1"/>
                <w:i w:val="1"/>
                <w:iCs w:val="1"/>
                <w:color w:val="auto"/>
              </w:rPr>
              <w:t>Solar</w:t>
            </w:r>
          </w:p>
        </w:tc>
        <w:tc>
          <w:tcPr>
            <w:tcW w:w="1320" w:type="dxa"/>
            <w:vAlign w:val="bottom"/>
            <w:shd w:val="clear" w:color="auto" w:fill="E5E5E5"/>
          </w:tcPr>
          <w:p>
            <w:pPr>
              <w:spacing w:after="0"/>
              <w:rPr>
                <w:sz w:val="15"/>
                <w:szCs w:val="15"/>
                <w:color w:val="auto"/>
              </w:rPr>
            </w:pPr>
          </w:p>
        </w:tc>
        <w:tc>
          <w:tcPr>
            <w:tcW w:w="1480" w:type="dxa"/>
            <w:vAlign w:val="bottom"/>
            <w:shd w:val="clear" w:color="auto" w:fill="E5E5E5"/>
          </w:tcPr>
          <w:p>
            <w:pPr>
              <w:spacing w:after="0"/>
              <w:rPr>
                <w:sz w:val="15"/>
                <w:szCs w:val="15"/>
                <w:color w:val="auto"/>
              </w:rPr>
            </w:pPr>
          </w:p>
        </w:tc>
        <w:tc>
          <w:tcPr>
            <w:tcW w:w="1360" w:type="dxa"/>
            <w:vAlign w:val="bottom"/>
            <w:shd w:val="clear" w:color="auto" w:fill="E5E5E5"/>
          </w:tcPr>
          <w:p>
            <w:pPr>
              <w:spacing w:after="0"/>
              <w:rPr>
                <w:sz w:val="15"/>
                <w:szCs w:val="15"/>
                <w:color w:val="auto"/>
              </w:rPr>
            </w:pPr>
          </w:p>
        </w:tc>
        <w:tc>
          <w:tcPr>
            <w:tcW w:w="1660" w:type="dxa"/>
            <w:vAlign w:val="bottom"/>
            <w:shd w:val="clear" w:color="auto" w:fill="E5E5E5"/>
          </w:tcPr>
          <w:p>
            <w:pPr>
              <w:spacing w:after="0"/>
              <w:rPr>
                <w:sz w:val="15"/>
                <w:szCs w:val="15"/>
                <w:color w:val="auto"/>
              </w:rPr>
            </w:pPr>
          </w:p>
        </w:tc>
        <w:tc>
          <w:tcPr>
            <w:tcW w:w="19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440" w:type="dxa"/>
            <w:vAlign w:val="bottom"/>
            <w:vMerge w:val="restart"/>
          </w:tcPr>
          <w:p>
            <w:pPr>
              <w:ind w:left="180"/>
              <w:spacing w:after="0"/>
              <w:rPr>
                <w:sz w:val="20"/>
                <w:szCs w:val="20"/>
                <w:color w:val="auto"/>
              </w:rPr>
            </w:pPr>
            <w:r>
              <w:rPr>
                <w:rFonts w:ascii="Arial" w:cs="Arial" w:eastAsia="Arial" w:hAnsi="Arial"/>
                <w:sz w:val="14"/>
                <w:szCs w:val="14"/>
                <w:color w:val="auto"/>
              </w:rPr>
              <w:t>PJM assets</w:t>
            </w:r>
          </w:p>
        </w:tc>
        <w:tc>
          <w:tcPr>
            <w:tcW w:w="1320" w:type="dxa"/>
            <w:vAlign w:val="bottom"/>
            <w:vMerge w:val="restart"/>
          </w:tcPr>
          <w:p>
            <w:pPr>
              <w:jc w:val="center"/>
              <w:ind w:left="168"/>
              <w:spacing w:after="0"/>
              <w:rPr>
                <w:sz w:val="20"/>
                <w:szCs w:val="20"/>
                <w:color w:val="auto"/>
              </w:rPr>
            </w:pPr>
            <w:r>
              <w:rPr>
                <w:rFonts w:ascii="Arial" w:cs="Arial" w:eastAsia="Arial" w:hAnsi="Arial"/>
                <w:sz w:val="14"/>
                <w:szCs w:val="14"/>
                <w:color w:val="auto"/>
              </w:rPr>
              <w:t>73</w:t>
            </w:r>
          </w:p>
        </w:tc>
        <w:tc>
          <w:tcPr>
            <w:tcW w:w="1480" w:type="dxa"/>
            <w:vAlign w:val="bottom"/>
            <w:vMerge w:val="restart"/>
          </w:tcPr>
          <w:p>
            <w:pPr>
              <w:jc w:val="center"/>
              <w:ind w:left="28"/>
              <w:spacing w:after="0"/>
              <w:rPr>
                <w:sz w:val="20"/>
                <w:szCs w:val="20"/>
                <w:color w:val="auto"/>
              </w:rPr>
            </w:pPr>
            <w:r>
              <w:rPr>
                <w:rFonts w:ascii="Arial" w:cs="Arial" w:eastAsia="Arial" w:hAnsi="Arial"/>
                <w:sz w:val="14"/>
                <w:szCs w:val="14"/>
                <w:color w:val="auto"/>
              </w:rPr>
              <w:t>(d)</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2011/2013</w:t>
            </w:r>
          </w:p>
        </w:tc>
        <w:tc>
          <w:tcPr>
            <w:tcW w:w="166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New</w:t>
            </w:r>
          </w:p>
        </w:tc>
        <w:tc>
          <w:tcPr>
            <w:tcW w:w="1960" w:type="dxa"/>
            <w:vAlign w:val="bottom"/>
            <w:vMerge w:val="restart"/>
          </w:tcPr>
          <w:p>
            <w:pPr>
              <w:jc w:val="right"/>
              <w:spacing w:after="0"/>
              <w:rPr>
                <w:sz w:val="20"/>
                <w:szCs w:val="20"/>
                <w:color w:val="auto"/>
              </w:rPr>
            </w:pPr>
            <w:r>
              <w:rPr>
                <w:rFonts w:ascii="Arial" w:cs="Arial" w:eastAsia="Arial" w:hAnsi="Arial"/>
                <w:sz w:val="14"/>
                <w:szCs w:val="14"/>
                <w:color w:val="auto"/>
              </w:rPr>
              <w:t>Various</w:t>
            </w:r>
          </w:p>
        </w:tc>
        <w:tc>
          <w:tcPr>
            <w:tcW w:w="0" w:type="dxa"/>
            <w:vAlign w:val="bottom"/>
          </w:tcPr>
          <w:p>
            <w:pPr>
              <w:spacing w:after="0"/>
              <w:rPr>
                <w:sz w:val="1"/>
                <w:szCs w:val="1"/>
                <w:color w:val="auto"/>
              </w:rPr>
            </w:pPr>
          </w:p>
        </w:tc>
      </w:tr>
      <w:tr>
        <w:trPr>
          <w:trHeight w:val="171"/>
        </w:trPr>
        <w:tc>
          <w:tcPr>
            <w:tcW w:w="34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Jersey/Pennsylvania</w:t>
            </w: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440" w:type="dxa"/>
            <w:vAlign w:val="bottom"/>
            <w:vMerge w:val="restart"/>
            <w:shd w:val="clear" w:color="auto" w:fill="E5E5E5"/>
          </w:tcPr>
          <w:p>
            <w:pPr>
              <w:ind w:left="180"/>
              <w:spacing w:after="0"/>
              <w:rPr>
                <w:sz w:val="20"/>
                <w:szCs w:val="20"/>
                <w:color w:val="auto"/>
              </w:rPr>
            </w:pPr>
            <w:r>
              <w:rPr>
                <w:rFonts w:ascii="Arial" w:cs="Arial" w:eastAsia="Arial" w:hAnsi="Arial"/>
                <w:sz w:val="14"/>
                <w:szCs w:val="14"/>
                <w:color w:val="auto"/>
              </w:rPr>
              <w:t>New England assets</w:t>
            </w:r>
          </w:p>
        </w:tc>
        <w:tc>
          <w:tcPr>
            <w:tcW w:w="1320" w:type="dxa"/>
            <w:vAlign w:val="bottom"/>
            <w:vMerge w:val="restart"/>
            <w:shd w:val="clear" w:color="auto" w:fill="E5E5E5"/>
          </w:tcPr>
          <w:p>
            <w:pPr>
              <w:jc w:val="center"/>
              <w:ind w:left="168"/>
              <w:spacing w:after="0"/>
              <w:rPr>
                <w:sz w:val="20"/>
                <w:szCs w:val="20"/>
                <w:color w:val="auto"/>
              </w:rPr>
            </w:pPr>
            <w:r>
              <w:rPr>
                <w:rFonts w:ascii="Arial" w:cs="Arial" w:eastAsia="Arial" w:hAnsi="Arial"/>
                <w:sz w:val="14"/>
                <w:szCs w:val="14"/>
                <w:color w:val="auto"/>
              </w:rPr>
              <w:t>24</w:t>
            </w:r>
          </w:p>
        </w:tc>
        <w:tc>
          <w:tcPr>
            <w:tcW w:w="1480" w:type="dxa"/>
            <w:vAlign w:val="bottom"/>
            <w:vMerge w:val="restart"/>
            <w:shd w:val="clear" w:color="auto" w:fill="E5E5E5"/>
          </w:tcPr>
          <w:p>
            <w:pPr>
              <w:jc w:val="center"/>
              <w:ind w:left="48"/>
              <w:spacing w:after="0"/>
              <w:rPr>
                <w:sz w:val="20"/>
                <w:szCs w:val="20"/>
                <w:color w:val="auto"/>
              </w:rPr>
            </w:pPr>
            <w:r>
              <w:rPr>
                <w:rFonts w:ascii="Arial" w:cs="Arial" w:eastAsia="Arial" w:hAnsi="Arial"/>
                <w:sz w:val="14"/>
                <w:szCs w:val="14"/>
                <w:color w:val="auto"/>
              </w:rPr>
              <w:t>Various</w:t>
            </w:r>
          </w:p>
        </w:tc>
        <w:tc>
          <w:tcPr>
            <w:tcW w:w="136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auto"/>
              </w:rPr>
              <w:t>2011/2017</w:t>
            </w:r>
          </w:p>
        </w:tc>
        <w:tc>
          <w:tcPr>
            <w:tcW w:w="1660" w:type="dxa"/>
            <w:vAlign w:val="bottom"/>
            <w:shd w:val="clear" w:color="auto" w:fill="E5E5E5"/>
          </w:tcPr>
          <w:p>
            <w:pPr>
              <w:jc w:val="right"/>
              <w:ind w:right="108"/>
              <w:spacing w:after="0" w:line="153" w:lineRule="exact"/>
              <w:rPr>
                <w:sz w:val="20"/>
                <w:szCs w:val="20"/>
                <w:color w:val="auto"/>
              </w:rPr>
            </w:pPr>
            <w:r>
              <w:rPr>
                <w:rFonts w:ascii="Arial" w:cs="Arial" w:eastAsia="Arial" w:hAnsi="Arial"/>
                <w:sz w:val="14"/>
                <w:szCs w:val="14"/>
                <w:color w:val="auto"/>
              </w:rPr>
              <w:t>Massachusetts/Rhode</w:t>
            </w:r>
          </w:p>
        </w:tc>
        <w:tc>
          <w:tcPr>
            <w:tcW w:w="196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Various</w:t>
            </w:r>
          </w:p>
        </w:tc>
        <w:tc>
          <w:tcPr>
            <w:tcW w:w="0" w:type="dxa"/>
            <w:vAlign w:val="bottom"/>
          </w:tcPr>
          <w:p>
            <w:pPr>
              <w:spacing w:after="0"/>
              <w:rPr>
                <w:sz w:val="1"/>
                <w:szCs w:val="1"/>
                <w:color w:val="auto"/>
              </w:rPr>
            </w:pPr>
          </w:p>
        </w:tc>
      </w:tr>
      <w:tr>
        <w:trPr>
          <w:trHeight w:val="171"/>
        </w:trPr>
        <w:tc>
          <w:tcPr>
            <w:tcW w:w="3440" w:type="dxa"/>
            <w:vAlign w:val="bottom"/>
            <w:vMerge w:val="continue"/>
            <w:shd w:val="clear" w:color="auto" w:fill="E5E5E5"/>
          </w:tcPr>
          <w:p>
            <w:pPr>
              <w:spacing w:after="0"/>
              <w:rPr>
                <w:sz w:val="14"/>
                <w:szCs w:val="14"/>
                <w:color w:val="auto"/>
              </w:rPr>
            </w:pPr>
          </w:p>
        </w:tc>
        <w:tc>
          <w:tcPr>
            <w:tcW w:w="1320" w:type="dxa"/>
            <w:vAlign w:val="bottom"/>
            <w:vMerge w:val="continue"/>
            <w:shd w:val="clear" w:color="auto" w:fill="E5E5E5"/>
          </w:tcPr>
          <w:p>
            <w:pPr>
              <w:spacing w:after="0"/>
              <w:rPr>
                <w:sz w:val="14"/>
                <w:szCs w:val="14"/>
                <w:color w:val="auto"/>
              </w:rPr>
            </w:pPr>
          </w:p>
        </w:tc>
        <w:tc>
          <w:tcPr>
            <w:tcW w:w="1480" w:type="dxa"/>
            <w:vAlign w:val="bottom"/>
            <w:vMerge w:val="continue"/>
            <w:shd w:val="clear" w:color="auto" w:fill="E5E5E5"/>
          </w:tcPr>
          <w:p>
            <w:pPr>
              <w:spacing w:after="0"/>
              <w:rPr>
                <w:sz w:val="14"/>
                <w:szCs w:val="14"/>
                <w:color w:val="auto"/>
              </w:rPr>
            </w:pPr>
          </w:p>
        </w:tc>
        <w:tc>
          <w:tcPr>
            <w:tcW w:w="1360" w:type="dxa"/>
            <w:vAlign w:val="bottom"/>
            <w:vMerge w:val="continue"/>
            <w:shd w:val="clear" w:color="auto" w:fill="E5E5E5"/>
          </w:tcPr>
          <w:p>
            <w:pPr>
              <w:spacing w:after="0"/>
              <w:rPr>
                <w:sz w:val="14"/>
                <w:szCs w:val="14"/>
                <w:color w:val="auto"/>
              </w:rPr>
            </w:pPr>
          </w:p>
        </w:tc>
        <w:tc>
          <w:tcPr>
            <w:tcW w:w="16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Island</w:t>
            </w:r>
          </w:p>
        </w:tc>
        <w:tc>
          <w:tcPr>
            <w:tcW w:w="1960" w:type="dxa"/>
            <w:vAlign w:val="bottom"/>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40" w:type="dxa"/>
            <w:vAlign w:val="bottom"/>
          </w:tcPr>
          <w:p>
            <w:pPr>
              <w:ind w:left="180"/>
              <w:spacing w:after="0"/>
              <w:rPr>
                <w:sz w:val="20"/>
                <w:szCs w:val="20"/>
                <w:color w:val="auto"/>
              </w:rPr>
            </w:pPr>
            <w:r>
              <w:rPr>
                <w:rFonts w:ascii="Arial" w:cs="Arial" w:eastAsia="Arial" w:hAnsi="Arial"/>
                <w:sz w:val="14"/>
                <w:szCs w:val="14"/>
                <w:color w:val="auto"/>
              </w:rPr>
              <w:t>California Solar (e)</w:t>
            </w:r>
          </w:p>
        </w:tc>
        <w:tc>
          <w:tcPr>
            <w:tcW w:w="1320" w:type="dxa"/>
            <w:vAlign w:val="bottom"/>
          </w:tcPr>
          <w:p>
            <w:pPr>
              <w:jc w:val="center"/>
              <w:ind w:left="168"/>
              <w:spacing w:after="0"/>
              <w:rPr>
                <w:sz w:val="20"/>
                <w:szCs w:val="20"/>
                <w:color w:val="auto"/>
              </w:rPr>
            </w:pPr>
            <w:r>
              <w:rPr>
                <w:rFonts w:ascii="Arial" w:cs="Arial" w:eastAsia="Arial" w:hAnsi="Arial"/>
                <w:sz w:val="14"/>
                <w:szCs w:val="14"/>
                <w:color w:val="auto"/>
              </w:rPr>
              <w:t>110</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25</w:t>
            </w:r>
          </w:p>
        </w:tc>
        <w:tc>
          <w:tcPr>
            <w:tcW w:w="1360" w:type="dxa"/>
            <w:vAlign w:val="bottom"/>
          </w:tcPr>
          <w:p>
            <w:pPr>
              <w:jc w:val="center"/>
              <w:spacing w:after="0"/>
              <w:rPr>
                <w:sz w:val="20"/>
                <w:szCs w:val="20"/>
                <w:color w:val="auto"/>
              </w:rPr>
            </w:pPr>
            <w:r>
              <w:rPr>
                <w:rFonts w:ascii="Arial" w:cs="Arial" w:eastAsia="Arial" w:hAnsi="Arial"/>
                <w:sz w:val="14"/>
                <w:szCs w:val="14"/>
                <w:color w:val="auto"/>
              </w:rPr>
              <w:t>2012/2013</w:t>
            </w: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California</w:t>
            </w:r>
          </w:p>
        </w:tc>
        <w:tc>
          <w:tcPr>
            <w:tcW w:w="1960" w:type="dxa"/>
            <w:vAlign w:val="bottom"/>
          </w:tcPr>
          <w:p>
            <w:pPr>
              <w:jc w:val="right"/>
              <w:spacing w:after="0"/>
              <w:rPr>
                <w:sz w:val="20"/>
                <w:szCs w:val="20"/>
                <w:color w:val="auto"/>
              </w:rPr>
            </w:pPr>
            <w:r>
              <w:rPr>
                <w:rFonts w:ascii="Arial" w:cs="Arial" w:eastAsia="Arial" w:hAnsi="Arial"/>
                <w:sz w:val="14"/>
                <w:szCs w:val="14"/>
                <w:color w:val="auto"/>
              </w:rPr>
              <w:t>PG&amp;E</w:t>
            </w:r>
          </w:p>
        </w:tc>
        <w:tc>
          <w:tcPr>
            <w:tcW w:w="0" w:type="dxa"/>
            <w:vAlign w:val="bottom"/>
          </w:tcPr>
          <w:p>
            <w:pPr>
              <w:spacing w:after="0"/>
              <w:rPr>
                <w:sz w:val="1"/>
                <w:szCs w:val="1"/>
                <w:color w:val="auto"/>
              </w:rPr>
            </w:pPr>
          </w:p>
        </w:tc>
      </w:tr>
      <w:tr>
        <w:trPr>
          <w:trHeight w:val="189"/>
        </w:trPr>
        <w:tc>
          <w:tcPr>
            <w:tcW w:w="3440" w:type="dxa"/>
            <w:vAlign w:val="bottom"/>
            <w:shd w:val="clear" w:color="auto" w:fill="E5E5E5"/>
          </w:tcPr>
          <w:p>
            <w:pPr>
              <w:ind w:left="180"/>
              <w:spacing w:after="0"/>
              <w:rPr>
                <w:sz w:val="20"/>
                <w:szCs w:val="20"/>
                <w:color w:val="auto"/>
              </w:rPr>
            </w:pPr>
            <w:r>
              <w:rPr>
                <w:rFonts w:ascii="Arial" w:cs="Arial" w:eastAsia="Arial" w:hAnsi="Arial"/>
                <w:sz w:val="14"/>
                <w:szCs w:val="14"/>
                <w:color w:val="auto"/>
              </w:rPr>
              <w:t>Mesquite Solar 1 (e)</w:t>
            </w:r>
          </w:p>
        </w:tc>
        <w:tc>
          <w:tcPr>
            <w:tcW w:w="1320" w:type="dxa"/>
            <w:vAlign w:val="bottom"/>
            <w:shd w:val="clear" w:color="auto" w:fill="E5E5E5"/>
          </w:tcPr>
          <w:p>
            <w:pPr>
              <w:jc w:val="center"/>
              <w:ind w:left="168"/>
              <w:spacing w:after="0"/>
              <w:rPr>
                <w:sz w:val="20"/>
                <w:szCs w:val="20"/>
                <w:color w:val="auto"/>
              </w:rPr>
            </w:pPr>
            <w:r>
              <w:rPr>
                <w:rFonts w:ascii="Arial" w:cs="Arial" w:eastAsia="Arial" w:hAnsi="Arial"/>
                <w:sz w:val="14"/>
                <w:szCs w:val="14"/>
                <w:color w:val="auto"/>
              </w:rPr>
              <w:t>165</w:t>
            </w:r>
          </w:p>
        </w:tc>
        <w:tc>
          <w:tcPr>
            <w:tcW w:w="1480" w:type="dxa"/>
            <w:vAlign w:val="bottom"/>
            <w:shd w:val="clear" w:color="auto" w:fill="E5E5E5"/>
          </w:tcPr>
          <w:p>
            <w:pPr>
              <w:jc w:val="center"/>
              <w:ind w:left="48"/>
              <w:spacing w:after="0"/>
              <w:rPr>
                <w:sz w:val="20"/>
                <w:szCs w:val="20"/>
                <w:color w:val="auto"/>
              </w:rPr>
            </w:pPr>
            <w:r>
              <w:rPr>
                <w:rFonts w:ascii="Arial" w:cs="Arial" w:eastAsia="Arial" w:hAnsi="Arial"/>
                <w:sz w:val="14"/>
                <w:szCs w:val="14"/>
                <w:color w:val="auto"/>
              </w:rPr>
              <w:t>20</w:t>
            </w:r>
          </w:p>
        </w:tc>
        <w:tc>
          <w:tcPr>
            <w:tcW w:w="13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2013</w:t>
            </w:r>
          </w:p>
        </w:tc>
        <w:tc>
          <w:tcPr>
            <w:tcW w:w="16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Arizona</w:t>
            </w:r>
          </w:p>
        </w:tc>
        <w:tc>
          <w:tcPr>
            <w:tcW w:w="1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PG&amp;E</w:t>
            </w:r>
          </w:p>
        </w:tc>
        <w:tc>
          <w:tcPr>
            <w:tcW w:w="0" w:type="dxa"/>
            <w:vAlign w:val="bottom"/>
          </w:tcPr>
          <w:p>
            <w:pPr>
              <w:spacing w:after="0"/>
              <w:rPr>
                <w:sz w:val="1"/>
                <w:szCs w:val="1"/>
                <w:color w:val="auto"/>
              </w:rPr>
            </w:pPr>
          </w:p>
        </w:tc>
      </w:tr>
      <w:tr>
        <w:trPr>
          <w:trHeight w:val="189"/>
        </w:trPr>
        <w:tc>
          <w:tcPr>
            <w:tcW w:w="3440" w:type="dxa"/>
            <w:vAlign w:val="bottom"/>
          </w:tcPr>
          <w:p>
            <w:pPr>
              <w:ind w:left="180"/>
              <w:spacing w:after="0"/>
              <w:rPr>
                <w:sz w:val="20"/>
                <w:szCs w:val="20"/>
                <w:color w:val="auto"/>
              </w:rPr>
            </w:pPr>
            <w:r>
              <w:rPr>
                <w:rFonts w:ascii="Arial" w:cs="Arial" w:eastAsia="Arial" w:hAnsi="Arial"/>
                <w:sz w:val="14"/>
                <w:szCs w:val="14"/>
                <w:color w:val="auto"/>
              </w:rPr>
              <w:t>Copper Mountain Solar 2 (e)</w:t>
            </w:r>
          </w:p>
        </w:tc>
        <w:tc>
          <w:tcPr>
            <w:tcW w:w="1320" w:type="dxa"/>
            <w:vAlign w:val="bottom"/>
          </w:tcPr>
          <w:p>
            <w:pPr>
              <w:jc w:val="center"/>
              <w:ind w:left="168"/>
              <w:spacing w:after="0"/>
              <w:rPr>
                <w:sz w:val="20"/>
                <w:szCs w:val="20"/>
                <w:color w:val="auto"/>
              </w:rPr>
            </w:pPr>
            <w:r>
              <w:rPr>
                <w:rFonts w:ascii="Arial" w:cs="Arial" w:eastAsia="Arial" w:hAnsi="Arial"/>
                <w:sz w:val="14"/>
                <w:szCs w:val="14"/>
                <w:color w:val="auto"/>
              </w:rPr>
              <w:t>150</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25</w:t>
            </w:r>
          </w:p>
        </w:tc>
        <w:tc>
          <w:tcPr>
            <w:tcW w:w="1360" w:type="dxa"/>
            <w:vAlign w:val="bottom"/>
          </w:tcPr>
          <w:p>
            <w:pPr>
              <w:jc w:val="center"/>
              <w:spacing w:after="0"/>
              <w:rPr>
                <w:sz w:val="20"/>
                <w:szCs w:val="20"/>
                <w:color w:val="auto"/>
              </w:rPr>
            </w:pPr>
            <w:r>
              <w:rPr>
                <w:rFonts w:ascii="Arial" w:cs="Arial" w:eastAsia="Arial" w:hAnsi="Arial"/>
                <w:sz w:val="14"/>
                <w:szCs w:val="14"/>
                <w:color w:val="auto"/>
              </w:rPr>
              <w:t>2013/2015</w:t>
            </w: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Nevada</w:t>
            </w:r>
          </w:p>
        </w:tc>
        <w:tc>
          <w:tcPr>
            <w:tcW w:w="1960" w:type="dxa"/>
            <w:vAlign w:val="bottom"/>
          </w:tcPr>
          <w:p>
            <w:pPr>
              <w:jc w:val="right"/>
              <w:spacing w:after="0"/>
              <w:rPr>
                <w:sz w:val="20"/>
                <w:szCs w:val="20"/>
                <w:color w:val="auto"/>
              </w:rPr>
            </w:pPr>
            <w:r>
              <w:rPr>
                <w:rFonts w:ascii="Arial" w:cs="Arial" w:eastAsia="Arial" w:hAnsi="Arial"/>
                <w:sz w:val="14"/>
                <w:szCs w:val="14"/>
                <w:color w:val="auto"/>
              </w:rPr>
              <w:t>PG&amp;E</w:t>
            </w:r>
          </w:p>
        </w:tc>
        <w:tc>
          <w:tcPr>
            <w:tcW w:w="0" w:type="dxa"/>
            <w:vAlign w:val="bottom"/>
          </w:tcPr>
          <w:p>
            <w:pPr>
              <w:spacing w:after="0"/>
              <w:rPr>
                <w:sz w:val="1"/>
                <w:szCs w:val="1"/>
                <w:color w:val="auto"/>
              </w:rPr>
            </w:pPr>
          </w:p>
        </w:tc>
      </w:tr>
      <w:tr>
        <w:trPr>
          <w:trHeight w:val="189"/>
        </w:trPr>
        <w:tc>
          <w:tcPr>
            <w:tcW w:w="3440" w:type="dxa"/>
            <w:vAlign w:val="bottom"/>
            <w:shd w:val="clear" w:color="auto" w:fill="E5E5E5"/>
          </w:tcPr>
          <w:p>
            <w:pPr>
              <w:ind w:left="180"/>
              <w:spacing w:after="0"/>
              <w:rPr>
                <w:sz w:val="20"/>
                <w:szCs w:val="20"/>
                <w:color w:val="auto"/>
              </w:rPr>
            </w:pPr>
            <w:r>
              <w:rPr>
                <w:rFonts w:ascii="Arial" w:cs="Arial" w:eastAsia="Arial" w:hAnsi="Arial"/>
                <w:sz w:val="14"/>
                <w:szCs w:val="14"/>
                <w:color w:val="auto"/>
              </w:rPr>
              <w:t>Copper Mountain Solar 3 (e)</w:t>
            </w:r>
          </w:p>
        </w:tc>
        <w:tc>
          <w:tcPr>
            <w:tcW w:w="1320" w:type="dxa"/>
            <w:vAlign w:val="bottom"/>
            <w:shd w:val="clear" w:color="auto" w:fill="E5E5E5"/>
          </w:tcPr>
          <w:p>
            <w:pPr>
              <w:jc w:val="center"/>
              <w:ind w:left="168"/>
              <w:spacing w:after="0"/>
              <w:rPr>
                <w:sz w:val="20"/>
                <w:szCs w:val="20"/>
                <w:color w:val="auto"/>
              </w:rPr>
            </w:pPr>
            <w:r>
              <w:rPr>
                <w:rFonts w:ascii="Arial" w:cs="Arial" w:eastAsia="Arial" w:hAnsi="Arial"/>
                <w:sz w:val="14"/>
                <w:szCs w:val="14"/>
                <w:color w:val="auto"/>
              </w:rPr>
              <w:t>255</w:t>
            </w:r>
          </w:p>
        </w:tc>
        <w:tc>
          <w:tcPr>
            <w:tcW w:w="1480" w:type="dxa"/>
            <w:vAlign w:val="bottom"/>
            <w:shd w:val="clear" w:color="auto" w:fill="E5E5E5"/>
          </w:tcPr>
          <w:p>
            <w:pPr>
              <w:jc w:val="center"/>
              <w:ind w:left="48"/>
              <w:spacing w:after="0"/>
              <w:rPr>
                <w:sz w:val="20"/>
                <w:szCs w:val="20"/>
                <w:color w:val="auto"/>
              </w:rPr>
            </w:pPr>
            <w:r>
              <w:rPr>
                <w:rFonts w:ascii="Arial" w:cs="Arial" w:eastAsia="Arial" w:hAnsi="Arial"/>
                <w:sz w:val="14"/>
                <w:szCs w:val="14"/>
                <w:color w:val="auto"/>
              </w:rPr>
              <w:t>20</w:t>
            </w:r>
          </w:p>
        </w:tc>
        <w:tc>
          <w:tcPr>
            <w:tcW w:w="13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2014/2015</w:t>
            </w:r>
          </w:p>
        </w:tc>
        <w:tc>
          <w:tcPr>
            <w:tcW w:w="16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Nevada</w:t>
            </w:r>
          </w:p>
        </w:tc>
        <w:tc>
          <w:tcPr>
            <w:tcW w:w="1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SCPPA</w:t>
            </w:r>
          </w:p>
        </w:tc>
        <w:tc>
          <w:tcPr>
            <w:tcW w:w="0" w:type="dxa"/>
            <w:vAlign w:val="bottom"/>
          </w:tcPr>
          <w:p>
            <w:pPr>
              <w:spacing w:after="0"/>
              <w:rPr>
                <w:sz w:val="1"/>
                <w:szCs w:val="1"/>
                <w:color w:val="auto"/>
              </w:rPr>
            </w:pPr>
          </w:p>
        </w:tc>
      </w:tr>
      <w:tr>
        <w:trPr>
          <w:trHeight w:val="189"/>
        </w:trPr>
        <w:tc>
          <w:tcPr>
            <w:tcW w:w="3440" w:type="dxa"/>
            <w:vAlign w:val="bottom"/>
          </w:tcPr>
          <w:p>
            <w:pPr>
              <w:ind w:left="180"/>
              <w:spacing w:after="0"/>
              <w:rPr>
                <w:sz w:val="20"/>
                <w:szCs w:val="20"/>
                <w:color w:val="auto"/>
              </w:rPr>
            </w:pPr>
            <w:r>
              <w:rPr>
                <w:rFonts w:ascii="Arial" w:cs="Arial" w:eastAsia="Arial" w:hAnsi="Arial"/>
                <w:sz w:val="14"/>
                <w:szCs w:val="14"/>
                <w:color w:val="auto"/>
              </w:rPr>
              <w:t>California Solar 2 (e)</w:t>
            </w:r>
          </w:p>
        </w:tc>
        <w:tc>
          <w:tcPr>
            <w:tcW w:w="1320" w:type="dxa"/>
            <w:vAlign w:val="bottom"/>
          </w:tcPr>
          <w:p>
            <w:pPr>
              <w:jc w:val="center"/>
              <w:ind w:left="168"/>
              <w:spacing w:after="0"/>
              <w:rPr>
                <w:sz w:val="20"/>
                <w:szCs w:val="20"/>
                <w:color w:val="auto"/>
              </w:rPr>
            </w:pPr>
            <w:r>
              <w:rPr>
                <w:rFonts w:ascii="Arial" w:cs="Arial" w:eastAsia="Arial" w:hAnsi="Arial"/>
                <w:sz w:val="14"/>
                <w:szCs w:val="14"/>
                <w:color w:val="auto"/>
              </w:rPr>
              <w:t>80</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20</w:t>
            </w:r>
          </w:p>
        </w:tc>
        <w:tc>
          <w:tcPr>
            <w:tcW w:w="1360" w:type="dxa"/>
            <w:vAlign w:val="bottom"/>
          </w:tcPr>
          <w:p>
            <w:pPr>
              <w:jc w:val="center"/>
              <w:spacing w:after="0"/>
              <w:rPr>
                <w:sz w:val="20"/>
                <w:szCs w:val="20"/>
                <w:color w:val="auto"/>
              </w:rPr>
            </w:pPr>
            <w:r>
              <w:rPr>
                <w:rFonts w:ascii="Arial" w:cs="Arial" w:eastAsia="Arial" w:hAnsi="Arial"/>
                <w:sz w:val="14"/>
                <w:szCs w:val="14"/>
                <w:color w:val="auto"/>
              </w:rPr>
              <w:t>2014/2016</w:t>
            </w: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California</w:t>
            </w:r>
          </w:p>
        </w:tc>
        <w:tc>
          <w:tcPr>
            <w:tcW w:w="1960" w:type="dxa"/>
            <w:vAlign w:val="bottom"/>
          </w:tcPr>
          <w:p>
            <w:pPr>
              <w:jc w:val="right"/>
              <w:spacing w:after="0"/>
              <w:rPr>
                <w:sz w:val="20"/>
                <w:szCs w:val="20"/>
                <w:color w:val="auto"/>
              </w:rPr>
            </w:pPr>
            <w:r>
              <w:rPr>
                <w:rFonts w:ascii="Arial" w:cs="Arial" w:eastAsia="Arial" w:hAnsi="Arial"/>
                <w:sz w:val="14"/>
                <w:szCs w:val="14"/>
                <w:color w:val="auto"/>
              </w:rPr>
              <w:t>SCE/PG&amp;E</w:t>
            </w:r>
          </w:p>
        </w:tc>
        <w:tc>
          <w:tcPr>
            <w:tcW w:w="0" w:type="dxa"/>
            <w:vAlign w:val="bottom"/>
          </w:tcPr>
          <w:p>
            <w:pPr>
              <w:spacing w:after="0"/>
              <w:rPr>
                <w:sz w:val="1"/>
                <w:szCs w:val="1"/>
                <w:color w:val="auto"/>
              </w:rPr>
            </w:pPr>
          </w:p>
        </w:tc>
      </w:tr>
      <w:tr>
        <w:trPr>
          <w:trHeight w:val="189"/>
        </w:trPr>
        <w:tc>
          <w:tcPr>
            <w:tcW w:w="3440" w:type="dxa"/>
            <w:vAlign w:val="bottom"/>
            <w:shd w:val="clear" w:color="auto" w:fill="E5E5E5"/>
          </w:tcPr>
          <w:p>
            <w:pPr>
              <w:ind w:left="180"/>
              <w:spacing w:after="0"/>
              <w:rPr>
                <w:sz w:val="20"/>
                <w:szCs w:val="20"/>
                <w:color w:val="auto"/>
              </w:rPr>
            </w:pPr>
            <w:r>
              <w:rPr>
                <w:rFonts w:ascii="Arial" w:cs="Arial" w:eastAsia="Arial" w:hAnsi="Arial"/>
                <w:sz w:val="14"/>
                <w:szCs w:val="14"/>
                <w:color w:val="auto"/>
              </w:rPr>
              <w:t>Texas Solar 4 (e)</w:t>
            </w:r>
          </w:p>
        </w:tc>
        <w:tc>
          <w:tcPr>
            <w:tcW w:w="1320" w:type="dxa"/>
            <w:vAlign w:val="bottom"/>
            <w:shd w:val="clear" w:color="auto" w:fill="E5E5E5"/>
          </w:tcPr>
          <w:p>
            <w:pPr>
              <w:jc w:val="center"/>
              <w:ind w:left="168"/>
              <w:spacing w:after="0"/>
              <w:rPr>
                <w:sz w:val="20"/>
                <w:szCs w:val="20"/>
                <w:color w:val="auto"/>
              </w:rPr>
            </w:pPr>
            <w:r>
              <w:rPr>
                <w:rFonts w:ascii="Arial" w:cs="Arial" w:eastAsia="Arial" w:hAnsi="Arial"/>
                <w:sz w:val="14"/>
                <w:szCs w:val="14"/>
                <w:color w:val="auto"/>
              </w:rPr>
              <w:t>40</w:t>
            </w:r>
          </w:p>
        </w:tc>
        <w:tc>
          <w:tcPr>
            <w:tcW w:w="1480" w:type="dxa"/>
            <w:vAlign w:val="bottom"/>
            <w:shd w:val="clear" w:color="auto" w:fill="E5E5E5"/>
          </w:tcPr>
          <w:p>
            <w:pPr>
              <w:jc w:val="center"/>
              <w:ind w:left="48"/>
              <w:spacing w:after="0"/>
              <w:rPr>
                <w:sz w:val="20"/>
                <w:szCs w:val="20"/>
                <w:color w:val="auto"/>
              </w:rPr>
            </w:pPr>
            <w:r>
              <w:rPr>
                <w:rFonts w:ascii="Arial" w:cs="Arial" w:eastAsia="Arial" w:hAnsi="Arial"/>
                <w:sz w:val="14"/>
                <w:szCs w:val="14"/>
                <w:color w:val="auto"/>
              </w:rPr>
              <w:t>25</w:t>
            </w:r>
          </w:p>
        </w:tc>
        <w:tc>
          <w:tcPr>
            <w:tcW w:w="13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2014</w:t>
            </w:r>
          </w:p>
        </w:tc>
        <w:tc>
          <w:tcPr>
            <w:tcW w:w="16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Texas</w:t>
            </w:r>
          </w:p>
        </w:tc>
        <w:tc>
          <w:tcPr>
            <w:tcW w:w="1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City of San Antonio</w:t>
            </w:r>
          </w:p>
        </w:tc>
        <w:tc>
          <w:tcPr>
            <w:tcW w:w="0" w:type="dxa"/>
            <w:vAlign w:val="bottom"/>
          </w:tcPr>
          <w:p>
            <w:pPr>
              <w:spacing w:after="0"/>
              <w:rPr>
                <w:sz w:val="1"/>
                <w:szCs w:val="1"/>
                <w:color w:val="auto"/>
              </w:rPr>
            </w:pPr>
          </w:p>
        </w:tc>
      </w:tr>
      <w:tr>
        <w:trPr>
          <w:trHeight w:val="189"/>
        </w:trPr>
        <w:tc>
          <w:tcPr>
            <w:tcW w:w="3440" w:type="dxa"/>
            <w:vAlign w:val="bottom"/>
          </w:tcPr>
          <w:p>
            <w:pPr>
              <w:ind w:left="180"/>
              <w:spacing w:after="0"/>
              <w:rPr>
                <w:sz w:val="20"/>
                <w:szCs w:val="20"/>
                <w:color w:val="auto"/>
              </w:rPr>
            </w:pPr>
            <w:r>
              <w:rPr>
                <w:rFonts w:ascii="Arial" w:cs="Arial" w:eastAsia="Arial" w:hAnsi="Arial"/>
                <w:sz w:val="14"/>
                <w:szCs w:val="14"/>
                <w:color w:val="auto"/>
              </w:rPr>
              <w:t>Texas Solar 5 (e)</w:t>
            </w:r>
          </w:p>
        </w:tc>
        <w:tc>
          <w:tcPr>
            <w:tcW w:w="1320" w:type="dxa"/>
            <w:vAlign w:val="bottom"/>
          </w:tcPr>
          <w:p>
            <w:pPr>
              <w:jc w:val="center"/>
              <w:ind w:left="168"/>
              <w:spacing w:after="0"/>
              <w:rPr>
                <w:sz w:val="20"/>
                <w:szCs w:val="20"/>
                <w:color w:val="auto"/>
              </w:rPr>
            </w:pPr>
            <w:r>
              <w:rPr>
                <w:rFonts w:ascii="Arial" w:cs="Arial" w:eastAsia="Arial" w:hAnsi="Arial"/>
                <w:sz w:val="14"/>
                <w:szCs w:val="14"/>
                <w:color w:val="auto"/>
              </w:rPr>
              <w:t>100</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25</w:t>
            </w:r>
          </w:p>
        </w:tc>
        <w:tc>
          <w:tcPr>
            <w:tcW w:w="1360" w:type="dxa"/>
            <w:vAlign w:val="bottom"/>
          </w:tcPr>
          <w:p>
            <w:pPr>
              <w:jc w:val="center"/>
              <w:spacing w:after="0"/>
              <w:rPr>
                <w:sz w:val="20"/>
                <w:szCs w:val="20"/>
                <w:color w:val="auto"/>
              </w:rPr>
            </w:pPr>
            <w:r>
              <w:rPr>
                <w:rFonts w:ascii="Arial" w:cs="Arial" w:eastAsia="Arial" w:hAnsi="Arial"/>
                <w:sz w:val="14"/>
                <w:szCs w:val="14"/>
                <w:color w:val="auto"/>
              </w:rPr>
              <w:t>2015</w:t>
            </w: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Texas</w:t>
            </w:r>
          </w:p>
        </w:tc>
        <w:tc>
          <w:tcPr>
            <w:tcW w:w="1960" w:type="dxa"/>
            <w:vAlign w:val="bottom"/>
          </w:tcPr>
          <w:p>
            <w:pPr>
              <w:jc w:val="right"/>
              <w:spacing w:after="0"/>
              <w:rPr>
                <w:sz w:val="20"/>
                <w:szCs w:val="20"/>
                <w:color w:val="auto"/>
              </w:rPr>
            </w:pPr>
            <w:r>
              <w:rPr>
                <w:rFonts w:ascii="Arial" w:cs="Arial" w:eastAsia="Arial" w:hAnsi="Arial"/>
                <w:sz w:val="14"/>
                <w:szCs w:val="14"/>
                <w:color w:val="auto"/>
              </w:rPr>
              <w:t>City of San Antonio</w:t>
            </w:r>
          </w:p>
        </w:tc>
        <w:tc>
          <w:tcPr>
            <w:tcW w:w="0" w:type="dxa"/>
            <w:vAlign w:val="bottom"/>
          </w:tcPr>
          <w:p>
            <w:pPr>
              <w:spacing w:after="0"/>
              <w:rPr>
                <w:sz w:val="1"/>
                <w:szCs w:val="1"/>
                <w:color w:val="auto"/>
              </w:rPr>
            </w:pPr>
          </w:p>
        </w:tc>
      </w:tr>
      <w:tr>
        <w:trPr>
          <w:trHeight w:val="189"/>
        </w:trPr>
        <w:tc>
          <w:tcPr>
            <w:tcW w:w="3440" w:type="dxa"/>
            <w:vAlign w:val="bottom"/>
            <w:shd w:val="clear" w:color="auto" w:fill="E5E5E5"/>
          </w:tcPr>
          <w:p>
            <w:pPr>
              <w:ind w:left="180"/>
              <w:spacing w:after="0"/>
              <w:rPr>
                <w:sz w:val="20"/>
                <w:szCs w:val="20"/>
                <w:color w:val="auto"/>
              </w:rPr>
            </w:pPr>
            <w:r>
              <w:rPr>
                <w:rFonts w:ascii="Arial" w:cs="Arial" w:eastAsia="Arial" w:hAnsi="Arial"/>
                <w:sz w:val="14"/>
                <w:szCs w:val="14"/>
                <w:color w:val="auto"/>
              </w:rPr>
              <w:t>Texas Solar 7 (e)</w:t>
            </w:r>
          </w:p>
        </w:tc>
        <w:tc>
          <w:tcPr>
            <w:tcW w:w="1320" w:type="dxa"/>
            <w:vAlign w:val="bottom"/>
            <w:shd w:val="clear" w:color="auto" w:fill="E5E5E5"/>
          </w:tcPr>
          <w:p>
            <w:pPr>
              <w:jc w:val="center"/>
              <w:ind w:left="168"/>
              <w:spacing w:after="0"/>
              <w:rPr>
                <w:sz w:val="20"/>
                <w:szCs w:val="20"/>
                <w:color w:val="auto"/>
              </w:rPr>
            </w:pPr>
            <w:r>
              <w:rPr>
                <w:rFonts w:ascii="Arial" w:cs="Arial" w:eastAsia="Arial" w:hAnsi="Arial"/>
                <w:sz w:val="14"/>
                <w:szCs w:val="14"/>
                <w:color w:val="auto"/>
              </w:rPr>
              <w:t>112</w:t>
            </w:r>
          </w:p>
        </w:tc>
        <w:tc>
          <w:tcPr>
            <w:tcW w:w="1480" w:type="dxa"/>
            <w:vAlign w:val="bottom"/>
            <w:shd w:val="clear" w:color="auto" w:fill="E5E5E5"/>
          </w:tcPr>
          <w:p>
            <w:pPr>
              <w:jc w:val="center"/>
              <w:ind w:left="48"/>
              <w:spacing w:after="0"/>
              <w:rPr>
                <w:sz w:val="20"/>
                <w:szCs w:val="20"/>
                <w:color w:val="auto"/>
              </w:rPr>
            </w:pPr>
            <w:r>
              <w:rPr>
                <w:rFonts w:ascii="Arial" w:cs="Arial" w:eastAsia="Arial" w:hAnsi="Arial"/>
                <w:sz w:val="14"/>
                <w:szCs w:val="14"/>
                <w:color w:val="auto"/>
              </w:rPr>
              <w:t>25</w:t>
            </w:r>
          </w:p>
        </w:tc>
        <w:tc>
          <w:tcPr>
            <w:tcW w:w="13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2016</w:t>
            </w:r>
          </w:p>
        </w:tc>
        <w:tc>
          <w:tcPr>
            <w:tcW w:w="16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Texas</w:t>
            </w:r>
          </w:p>
        </w:tc>
        <w:tc>
          <w:tcPr>
            <w:tcW w:w="1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City of San Antonio</w:t>
            </w:r>
          </w:p>
        </w:tc>
        <w:tc>
          <w:tcPr>
            <w:tcW w:w="0" w:type="dxa"/>
            <w:vAlign w:val="bottom"/>
          </w:tcPr>
          <w:p>
            <w:pPr>
              <w:spacing w:after="0"/>
              <w:rPr>
                <w:sz w:val="1"/>
                <w:szCs w:val="1"/>
                <w:color w:val="auto"/>
              </w:rPr>
            </w:pPr>
          </w:p>
        </w:tc>
      </w:tr>
      <w:tr>
        <w:trPr>
          <w:trHeight w:val="189"/>
        </w:trPr>
        <w:tc>
          <w:tcPr>
            <w:tcW w:w="3440" w:type="dxa"/>
            <w:vAlign w:val="bottom"/>
          </w:tcPr>
          <w:p>
            <w:pPr>
              <w:ind w:left="180"/>
              <w:spacing w:after="0"/>
              <w:rPr>
                <w:sz w:val="20"/>
                <w:szCs w:val="20"/>
                <w:color w:val="auto"/>
              </w:rPr>
            </w:pPr>
            <w:r>
              <w:rPr>
                <w:rFonts w:ascii="Arial" w:cs="Arial" w:eastAsia="Arial" w:hAnsi="Arial"/>
                <w:sz w:val="14"/>
                <w:szCs w:val="14"/>
                <w:color w:val="auto"/>
              </w:rPr>
              <w:t>California Solar 3 (e)</w:t>
            </w:r>
          </w:p>
        </w:tc>
        <w:tc>
          <w:tcPr>
            <w:tcW w:w="1320" w:type="dxa"/>
            <w:vAlign w:val="bottom"/>
          </w:tcPr>
          <w:p>
            <w:pPr>
              <w:jc w:val="center"/>
              <w:ind w:left="168"/>
              <w:spacing w:after="0"/>
              <w:rPr>
                <w:sz w:val="20"/>
                <w:szCs w:val="20"/>
                <w:color w:val="auto"/>
              </w:rPr>
            </w:pPr>
            <w:r>
              <w:rPr>
                <w:rFonts w:ascii="Arial" w:cs="Arial" w:eastAsia="Arial" w:hAnsi="Arial"/>
                <w:sz w:val="14"/>
                <w:szCs w:val="14"/>
                <w:color w:val="auto"/>
              </w:rPr>
              <w:t>110</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20</w:t>
            </w:r>
          </w:p>
        </w:tc>
        <w:tc>
          <w:tcPr>
            <w:tcW w:w="1360" w:type="dxa"/>
            <w:vAlign w:val="bottom"/>
          </w:tcPr>
          <w:p>
            <w:pPr>
              <w:jc w:val="center"/>
              <w:spacing w:after="0"/>
              <w:rPr>
                <w:sz w:val="20"/>
                <w:szCs w:val="20"/>
                <w:color w:val="auto"/>
              </w:rPr>
            </w:pPr>
            <w:r>
              <w:rPr>
                <w:rFonts w:ascii="Arial" w:cs="Arial" w:eastAsia="Arial" w:hAnsi="Arial"/>
                <w:sz w:val="14"/>
                <w:szCs w:val="14"/>
                <w:color w:val="auto"/>
              </w:rPr>
              <w:t>2016/2017</w:t>
            </w: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California</w:t>
            </w:r>
          </w:p>
        </w:tc>
        <w:tc>
          <w:tcPr>
            <w:tcW w:w="1960" w:type="dxa"/>
            <w:vAlign w:val="bottom"/>
          </w:tcPr>
          <w:p>
            <w:pPr>
              <w:jc w:val="right"/>
              <w:spacing w:after="0"/>
              <w:rPr>
                <w:sz w:val="20"/>
                <w:szCs w:val="20"/>
                <w:color w:val="auto"/>
              </w:rPr>
            </w:pPr>
            <w:r>
              <w:rPr>
                <w:rFonts w:ascii="Arial" w:cs="Arial" w:eastAsia="Arial" w:hAnsi="Arial"/>
                <w:sz w:val="14"/>
                <w:szCs w:val="14"/>
                <w:color w:val="auto"/>
              </w:rPr>
              <w:t>SCE/PG&amp;E</w:t>
            </w:r>
          </w:p>
        </w:tc>
        <w:tc>
          <w:tcPr>
            <w:tcW w:w="0" w:type="dxa"/>
            <w:vAlign w:val="bottom"/>
          </w:tcPr>
          <w:p>
            <w:pPr>
              <w:spacing w:after="0"/>
              <w:rPr>
                <w:sz w:val="1"/>
                <w:szCs w:val="1"/>
                <w:color w:val="auto"/>
              </w:rPr>
            </w:pPr>
          </w:p>
        </w:tc>
      </w:tr>
      <w:tr>
        <w:trPr>
          <w:trHeight w:val="189"/>
        </w:trPr>
        <w:tc>
          <w:tcPr>
            <w:tcW w:w="3440" w:type="dxa"/>
            <w:vAlign w:val="bottom"/>
            <w:shd w:val="clear" w:color="auto" w:fill="E5E5E5"/>
          </w:tcPr>
          <w:p>
            <w:pPr>
              <w:ind w:left="180"/>
              <w:spacing w:after="0"/>
              <w:rPr>
                <w:sz w:val="20"/>
                <w:szCs w:val="20"/>
                <w:color w:val="auto"/>
              </w:rPr>
            </w:pPr>
            <w:r>
              <w:rPr>
                <w:rFonts w:ascii="Arial" w:cs="Arial" w:eastAsia="Arial" w:hAnsi="Arial"/>
                <w:sz w:val="14"/>
                <w:szCs w:val="14"/>
                <w:color w:val="auto"/>
              </w:rPr>
              <w:t>Upton Solar (e)</w:t>
            </w:r>
          </w:p>
        </w:tc>
        <w:tc>
          <w:tcPr>
            <w:tcW w:w="1320" w:type="dxa"/>
            <w:vAlign w:val="bottom"/>
            <w:shd w:val="clear" w:color="auto" w:fill="E5E5E5"/>
          </w:tcPr>
          <w:p>
            <w:pPr>
              <w:jc w:val="center"/>
              <w:ind w:left="168"/>
              <w:spacing w:after="0"/>
              <w:rPr>
                <w:sz w:val="20"/>
                <w:szCs w:val="20"/>
                <w:color w:val="auto"/>
              </w:rPr>
            </w:pPr>
            <w:r>
              <w:rPr>
                <w:rFonts w:ascii="Arial" w:cs="Arial" w:eastAsia="Arial" w:hAnsi="Arial"/>
                <w:sz w:val="14"/>
                <w:szCs w:val="14"/>
                <w:color w:val="auto"/>
              </w:rPr>
              <w:t>158</w:t>
            </w:r>
          </w:p>
        </w:tc>
        <w:tc>
          <w:tcPr>
            <w:tcW w:w="1480" w:type="dxa"/>
            <w:vAlign w:val="bottom"/>
            <w:shd w:val="clear" w:color="auto" w:fill="E5E5E5"/>
          </w:tcPr>
          <w:p>
            <w:pPr>
              <w:jc w:val="center"/>
              <w:ind w:left="48"/>
              <w:spacing w:after="0"/>
              <w:rPr>
                <w:sz w:val="20"/>
                <w:szCs w:val="20"/>
                <w:color w:val="auto"/>
              </w:rPr>
            </w:pPr>
            <w:r>
              <w:rPr>
                <w:rFonts w:ascii="Arial" w:cs="Arial" w:eastAsia="Arial" w:hAnsi="Arial"/>
                <w:sz w:val="14"/>
                <w:szCs w:val="14"/>
                <w:color w:val="auto"/>
              </w:rPr>
              <w:t>25</w:t>
            </w:r>
          </w:p>
        </w:tc>
        <w:tc>
          <w:tcPr>
            <w:tcW w:w="13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2017</w:t>
            </w:r>
          </w:p>
        </w:tc>
        <w:tc>
          <w:tcPr>
            <w:tcW w:w="16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Texas</w:t>
            </w:r>
          </w:p>
        </w:tc>
        <w:tc>
          <w:tcPr>
            <w:tcW w:w="1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City of Austin</w:t>
            </w:r>
          </w:p>
        </w:tc>
        <w:tc>
          <w:tcPr>
            <w:tcW w:w="0" w:type="dxa"/>
            <w:vAlign w:val="bottom"/>
          </w:tcPr>
          <w:p>
            <w:pPr>
              <w:spacing w:after="0"/>
              <w:rPr>
                <w:sz w:val="1"/>
                <w:szCs w:val="1"/>
                <w:color w:val="auto"/>
              </w:rPr>
            </w:pPr>
          </w:p>
        </w:tc>
      </w:tr>
      <w:tr>
        <w:trPr>
          <w:trHeight w:val="189"/>
        </w:trPr>
        <w:tc>
          <w:tcPr>
            <w:tcW w:w="3440" w:type="dxa"/>
            <w:vAlign w:val="bottom"/>
          </w:tcPr>
          <w:p>
            <w:pPr>
              <w:ind w:left="180"/>
              <w:spacing w:after="0"/>
              <w:rPr>
                <w:sz w:val="20"/>
                <w:szCs w:val="20"/>
                <w:color w:val="auto"/>
              </w:rPr>
            </w:pPr>
            <w:r>
              <w:rPr>
                <w:rFonts w:ascii="Arial" w:cs="Arial" w:eastAsia="Arial" w:hAnsi="Arial"/>
                <w:sz w:val="14"/>
                <w:szCs w:val="14"/>
                <w:color w:val="auto"/>
              </w:rPr>
              <w:t>California Solar 4 (e)</w:t>
            </w:r>
          </w:p>
        </w:tc>
        <w:tc>
          <w:tcPr>
            <w:tcW w:w="1320" w:type="dxa"/>
            <w:vAlign w:val="bottom"/>
          </w:tcPr>
          <w:p>
            <w:pPr>
              <w:jc w:val="center"/>
              <w:ind w:left="168"/>
              <w:spacing w:after="0"/>
              <w:rPr>
                <w:sz w:val="20"/>
                <w:szCs w:val="20"/>
                <w:color w:val="auto"/>
              </w:rPr>
            </w:pPr>
            <w:r>
              <w:rPr>
                <w:rFonts w:ascii="Arial" w:cs="Arial" w:eastAsia="Arial" w:hAnsi="Arial"/>
                <w:sz w:val="14"/>
                <w:szCs w:val="14"/>
                <w:color w:val="auto"/>
              </w:rPr>
              <w:t>240</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20</w:t>
            </w:r>
          </w:p>
        </w:tc>
        <w:tc>
          <w:tcPr>
            <w:tcW w:w="1360" w:type="dxa"/>
            <w:vAlign w:val="bottom"/>
          </w:tcPr>
          <w:p>
            <w:pPr>
              <w:jc w:val="center"/>
              <w:spacing w:after="0"/>
              <w:rPr>
                <w:sz w:val="20"/>
                <w:szCs w:val="20"/>
                <w:color w:val="auto"/>
              </w:rPr>
            </w:pPr>
            <w:r>
              <w:rPr>
                <w:rFonts w:ascii="Arial" w:cs="Arial" w:eastAsia="Arial" w:hAnsi="Arial"/>
                <w:sz w:val="14"/>
                <w:szCs w:val="14"/>
                <w:color w:val="auto"/>
              </w:rPr>
              <w:t>2017/2018</w:t>
            </w: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California</w:t>
            </w:r>
          </w:p>
        </w:tc>
        <w:tc>
          <w:tcPr>
            <w:tcW w:w="1960" w:type="dxa"/>
            <w:vAlign w:val="bottom"/>
          </w:tcPr>
          <w:p>
            <w:pPr>
              <w:jc w:val="right"/>
              <w:spacing w:after="0"/>
              <w:rPr>
                <w:sz w:val="20"/>
                <w:szCs w:val="20"/>
                <w:color w:val="auto"/>
              </w:rPr>
            </w:pPr>
            <w:r>
              <w:rPr>
                <w:rFonts w:ascii="Arial" w:cs="Arial" w:eastAsia="Arial" w:hAnsi="Arial"/>
                <w:sz w:val="14"/>
                <w:szCs w:val="14"/>
                <w:color w:val="auto"/>
              </w:rPr>
              <w:t>SCE</w:t>
            </w:r>
          </w:p>
        </w:tc>
        <w:tc>
          <w:tcPr>
            <w:tcW w:w="0" w:type="dxa"/>
            <w:vAlign w:val="bottom"/>
          </w:tcPr>
          <w:p>
            <w:pPr>
              <w:spacing w:after="0"/>
              <w:rPr>
                <w:sz w:val="1"/>
                <w:szCs w:val="1"/>
                <w:color w:val="auto"/>
              </w:rPr>
            </w:pPr>
          </w:p>
        </w:tc>
      </w:tr>
      <w:tr>
        <w:trPr>
          <w:trHeight w:val="189"/>
        </w:trPr>
        <w:tc>
          <w:tcPr>
            <w:tcW w:w="3440" w:type="dxa"/>
            <w:vAlign w:val="bottom"/>
            <w:shd w:val="clear" w:color="auto" w:fill="E5E5E5"/>
          </w:tcPr>
          <w:p>
            <w:pPr>
              <w:ind w:left="180"/>
              <w:spacing w:after="0"/>
              <w:rPr>
                <w:sz w:val="20"/>
                <w:szCs w:val="20"/>
                <w:color w:val="auto"/>
              </w:rPr>
            </w:pPr>
            <w:r>
              <w:rPr>
                <w:rFonts w:ascii="Arial" w:cs="Arial" w:eastAsia="Arial" w:hAnsi="Arial"/>
                <w:sz w:val="14"/>
                <w:szCs w:val="14"/>
                <w:color w:val="auto"/>
              </w:rPr>
              <w:t>Copper Mountain Solar 1 (e)</w:t>
            </w:r>
          </w:p>
        </w:tc>
        <w:tc>
          <w:tcPr>
            <w:tcW w:w="1320" w:type="dxa"/>
            <w:vAlign w:val="bottom"/>
            <w:shd w:val="clear" w:color="auto" w:fill="E5E5E5"/>
          </w:tcPr>
          <w:p>
            <w:pPr>
              <w:jc w:val="center"/>
              <w:ind w:left="168"/>
              <w:spacing w:after="0"/>
              <w:rPr>
                <w:sz w:val="20"/>
                <w:szCs w:val="20"/>
                <w:color w:val="auto"/>
              </w:rPr>
            </w:pPr>
            <w:r>
              <w:rPr>
                <w:rFonts w:ascii="Arial" w:cs="Arial" w:eastAsia="Arial" w:hAnsi="Arial"/>
                <w:sz w:val="14"/>
                <w:szCs w:val="14"/>
                <w:color w:val="auto"/>
              </w:rPr>
              <w:t>58</w:t>
            </w:r>
          </w:p>
        </w:tc>
        <w:tc>
          <w:tcPr>
            <w:tcW w:w="1480" w:type="dxa"/>
            <w:vAlign w:val="bottom"/>
            <w:shd w:val="clear" w:color="auto" w:fill="E5E5E5"/>
          </w:tcPr>
          <w:p>
            <w:pPr>
              <w:jc w:val="center"/>
              <w:ind w:left="48"/>
              <w:spacing w:after="0"/>
              <w:rPr>
                <w:sz w:val="20"/>
                <w:szCs w:val="20"/>
                <w:color w:val="auto"/>
              </w:rPr>
            </w:pPr>
            <w:r>
              <w:rPr>
                <w:rFonts w:ascii="Arial" w:cs="Arial" w:eastAsia="Arial" w:hAnsi="Arial"/>
                <w:sz w:val="14"/>
                <w:szCs w:val="14"/>
                <w:color w:val="auto"/>
              </w:rPr>
              <w:t>12</w:t>
            </w:r>
          </w:p>
        </w:tc>
        <w:tc>
          <w:tcPr>
            <w:tcW w:w="13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2018</w:t>
            </w:r>
          </w:p>
        </w:tc>
        <w:tc>
          <w:tcPr>
            <w:tcW w:w="16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Nevada</w:t>
            </w:r>
          </w:p>
        </w:tc>
        <w:tc>
          <w:tcPr>
            <w:tcW w:w="1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PG&amp;E</w:t>
            </w:r>
          </w:p>
        </w:tc>
        <w:tc>
          <w:tcPr>
            <w:tcW w:w="0" w:type="dxa"/>
            <w:vAlign w:val="bottom"/>
          </w:tcPr>
          <w:p>
            <w:pPr>
              <w:spacing w:after="0"/>
              <w:rPr>
                <w:sz w:val="1"/>
                <w:szCs w:val="1"/>
                <w:color w:val="auto"/>
              </w:rPr>
            </w:pPr>
          </w:p>
        </w:tc>
      </w:tr>
      <w:tr>
        <w:trPr>
          <w:trHeight w:val="189"/>
        </w:trPr>
        <w:tc>
          <w:tcPr>
            <w:tcW w:w="3440" w:type="dxa"/>
            <w:vAlign w:val="bottom"/>
          </w:tcPr>
          <w:p>
            <w:pPr>
              <w:ind w:left="180"/>
              <w:spacing w:after="0"/>
              <w:rPr>
                <w:sz w:val="20"/>
                <w:szCs w:val="20"/>
                <w:color w:val="auto"/>
              </w:rPr>
            </w:pPr>
            <w:r>
              <w:rPr>
                <w:rFonts w:ascii="Arial" w:cs="Arial" w:eastAsia="Arial" w:hAnsi="Arial"/>
                <w:sz w:val="14"/>
                <w:szCs w:val="14"/>
                <w:color w:val="auto"/>
              </w:rPr>
              <w:t>Copper Mountain Solar 4 (e) (f)</w:t>
            </w:r>
          </w:p>
        </w:tc>
        <w:tc>
          <w:tcPr>
            <w:tcW w:w="1320" w:type="dxa"/>
            <w:vAlign w:val="bottom"/>
          </w:tcPr>
          <w:p>
            <w:pPr>
              <w:jc w:val="center"/>
              <w:ind w:left="168"/>
              <w:spacing w:after="0"/>
              <w:rPr>
                <w:sz w:val="20"/>
                <w:szCs w:val="20"/>
                <w:color w:val="auto"/>
              </w:rPr>
            </w:pPr>
            <w:r>
              <w:rPr>
                <w:rFonts w:ascii="Arial" w:cs="Arial" w:eastAsia="Arial" w:hAnsi="Arial"/>
                <w:sz w:val="14"/>
                <w:szCs w:val="14"/>
                <w:color w:val="auto"/>
              </w:rPr>
              <w:t>94</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20</w:t>
            </w:r>
          </w:p>
        </w:tc>
        <w:tc>
          <w:tcPr>
            <w:tcW w:w="1360" w:type="dxa"/>
            <w:vAlign w:val="bottom"/>
          </w:tcPr>
          <w:p>
            <w:pPr>
              <w:jc w:val="center"/>
              <w:spacing w:after="0"/>
              <w:rPr>
                <w:sz w:val="20"/>
                <w:szCs w:val="20"/>
                <w:color w:val="auto"/>
              </w:rPr>
            </w:pPr>
            <w:r>
              <w:rPr>
                <w:rFonts w:ascii="Arial" w:cs="Arial" w:eastAsia="Arial" w:hAnsi="Arial"/>
                <w:sz w:val="14"/>
                <w:szCs w:val="14"/>
                <w:color w:val="auto"/>
              </w:rPr>
              <w:t>2018</w:t>
            </w: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Nevada</w:t>
            </w:r>
          </w:p>
        </w:tc>
        <w:tc>
          <w:tcPr>
            <w:tcW w:w="1960" w:type="dxa"/>
            <w:vAlign w:val="bottom"/>
          </w:tcPr>
          <w:p>
            <w:pPr>
              <w:jc w:val="right"/>
              <w:spacing w:after="0"/>
              <w:rPr>
                <w:sz w:val="20"/>
                <w:szCs w:val="20"/>
                <w:color w:val="auto"/>
              </w:rPr>
            </w:pPr>
            <w:r>
              <w:rPr>
                <w:rFonts w:ascii="Arial" w:cs="Arial" w:eastAsia="Arial" w:hAnsi="Arial"/>
                <w:sz w:val="14"/>
                <w:szCs w:val="14"/>
                <w:color w:val="auto"/>
              </w:rPr>
              <w:t>SCE</w:t>
            </w:r>
          </w:p>
        </w:tc>
        <w:tc>
          <w:tcPr>
            <w:tcW w:w="0" w:type="dxa"/>
            <w:vAlign w:val="bottom"/>
          </w:tcPr>
          <w:p>
            <w:pPr>
              <w:spacing w:after="0"/>
              <w:rPr>
                <w:sz w:val="1"/>
                <w:szCs w:val="1"/>
                <w:color w:val="auto"/>
              </w:rPr>
            </w:pPr>
          </w:p>
        </w:tc>
      </w:tr>
      <w:tr>
        <w:trPr>
          <w:trHeight w:val="189"/>
        </w:trPr>
        <w:tc>
          <w:tcPr>
            <w:tcW w:w="3440" w:type="dxa"/>
            <w:vAlign w:val="bottom"/>
            <w:shd w:val="clear" w:color="auto" w:fill="E5E5E5"/>
          </w:tcPr>
          <w:p>
            <w:pPr>
              <w:ind w:left="180"/>
              <w:spacing w:after="0"/>
              <w:rPr>
                <w:sz w:val="20"/>
                <w:szCs w:val="20"/>
                <w:color w:val="auto"/>
              </w:rPr>
            </w:pPr>
            <w:r>
              <w:rPr>
                <w:rFonts w:ascii="Arial" w:cs="Arial" w:eastAsia="Arial" w:hAnsi="Arial"/>
                <w:sz w:val="14"/>
                <w:szCs w:val="14"/>
                <w:color w:val="auto"/>
              </w:rPr>
              <w:t>Mesquite Solar 2 (e) (f)</w:t>
            </w:r>
          </w:p>
        </w:tc>
        <w:tc>
          <w:tcPr>
            <w:tcW w:w="1320" w:type="dxa"/>
            <w:vAlign w:val="bottom"/>
            <w:shd w:val="clear" w:color="auto" w:fill="E5E5E5"/>
          </w:tcPr>
          <w:p>
            <w:pPr>
              <w:jc w:val="center"/>
              <w:ind w:left="168"/>
              <w:spacing w:after="0"/>
              <w:rPr>
                <w:sz w:val="20"/>
                <w:szCs w:val="20"/>
                <w:color w:val="auto"/>
              </w:rPr>
            </w:pPr>
            <w:r>
              <w:rPr>
                <w:rFonts w:ascii="Arial" w:cs="Arial" w:eastAsia="Arial" w:hAnsi="Arial"/>
                <w:sz w:val="14"/>
                <w:szCs w:val="14"/>
                <w:color w:val="auto"/>
              </w:rPr>
              <w:t>100</w:t>
            </w:r>
          </w:p>
        </w:tc>
        <w:tc>
          <w:tcPr>
            <w:tcW w:w="1480" w:type="dxa"/>
            <w:vAlign w:val="bottom"/>
            <w:shd w:val="clear" w:color="auto" w:fill="E5E5E5"/>
          </w:tcPr>
          <w:p>
            <w:pPr>
              <w:jc w:val="center"/>
              <w:ind w:left="48"/>
              <w:spacing w:after="0"/>
              <w:rPr>
                <w:sz w:val="20"/>
                <w:szCs w:val="20"/>
                <w:color w:val="auto"/>
              </w:rPr>
            </w:pPr>
            <w:r>
              <w:rPr>
                <w:rFonts w:ascii="Arial" w:cs="Arial" w:eastAsia="Arial" w:hAnsi="Arial"/>
                <w:sz w:val="14"/>
                <w:szCs w:val="14"/>
                <w:color w:val="auto"/>
              </w:rPr>
              <w:t>18</w:t>
            </w:r>
          </w:p>
        </w:tc>
        <w:tc>
          <w:tcPr>
            <w:tcW w:w="13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2018</w:t>
            </w:r>
          </w:p>
        </w:tc>
        <w:tc>
          <w:tcPr>
            <w:tcW w:w="16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Arizona</w:t>
            </w:r>
          </w:p>
        </w:tc>
        <w:tc>
          <w:tcPr>
            <w:tcW w:w="1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SCE</w:t>
            </w:r>
          </w:p>
        </w:tc>
        <w:tc>
          <w:tcPr>
            <w:tcW w:w="0" w:type="dxa"/>
            <w:vAlign w:val="bottom"/>
          </w:tcPr>
          <w:p>
            <w:pPr>
              <w:spacing w:after="0"/>
              <w:rPr>
                <w:sz w:val="1"/>
                <w:szCs w:val="1"/>
                <w:color w:val="auto"/>
              </w:rPr>
            </w:pPr>
          </w:p>
        </w:tc>
      </w:tr>
      <w:tr>
        <w:trPr>
          <w:trHeight w:val="189"/>
        </w:trPr>
        <w:tc>
          <w:tcPr>
            <w:tcW w:w="3440" w:type="dxa"/>
            <w:vAlign w:val="bottom"/>
          </w:tcPr>
          <w:p>
            <w:pPr>
              <w:ind w:left="180"/>
              <w:spacing w:after="0"/>
              <w:rPr>
                <w:sz w:val="20"/>
                <w:szCs w:val="20"/>
                <w:color w:val="auto"/>
              </w:rPr>
            </w:pPr>
            <w:r>
              <w:rPr>
                <w:rFonts w:ascii="Arial" w:cs="Arial" w:eastAsia="Arial" w:hAnsi="Arial"/>
                <w:sz w:val="14"/>
                <w:szCs w:val="14"/>
                <w:color w:val="auto"/>
              </w:rPr>
              <w:t>Mesquite Solar 3 (e) (f)</w:t>
            </w:r>
          </w:p>
        </w:tc>
        <w:tc>
          <w:tcPr>
            <w:tcW w:w="1320" w:type="dxa"/>
            <w:vAlign w:val="bottom"/>
          </w:tcPr>
          <w:p>
            <w:pPr>
              <w:jc w:val="center"/>
              <w:ind w:left="168"/>
              <w:spacing w:after="0"/>
              <w:rPr>
                <w:sz w:val="20"/>
                <w:szCs w:val="20"/>
                <w:color w:val="auto"/>
              </w:rPr>
            </w:pPr>
            <w:r>
              <w:rPr>
                <w:rFonts w:ascii="Arial" w:cs="Arial" w:eastAsia="Arial" w:hAnsi="Arial"/>
                <w:sz w:val="14"/>
                <w:szCs w:val="14"/>
                <w:color w:val="auto"/>
              </w:rPr>
              <w:t>150</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23</w:t>
            </w:r>
          </w:p>
        </w:tc>
        <w:tc>
          <w:tcPr>
            <w:tcW w:w="1360" w:type="dxa"/>
            <w:vAlign w:val="bottom"/>
          </w:tcPr>
          <w:p>
            <w:pPr>
              <w:jc w:val="center"/>
              <w:spacing w:after="0"/>
              <w:rPr>
                <w:sz w:val="20"/>
                <w:szCs w:val="20"/>
                <w:color w:val="auto"/>
              </w:rPr>
            </w:pPr>
            <w:r>
              <w:rPr>
                <w:rFonts w:ascii="Arial" w:cs="Arial" w:eastAsia="Arial" w:hAnsi="Arial"/>
                <w:sz w:val="14"/>
                <w:szCs w:val="14"/>
                <w:color w:val="auto"/>
              </w:rPr>
              <w:t>2018</w:t>
            </w: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Arizona</w:t>
            </w:r>
          </w:p>
        </w:tc>
        <w:tc>
          <w:tcPr>
            <w:tcW w:w="1960" w:type="dxa"/>
            <w:vAlign w:val="bottom"/>
          </w:tcPr>
          <w:p>
            <w:pPr>
              <w:jc w:val="right"/>
              <w:spacing w:after="0"/>
              <w:rPr>
                <w:sz w:val="20"/>
                <w:szCs w:val="20"/>
                <w:color w:val="auto"/>
              </w:rPr>
            </w:pPr>
            <w:r>
              <w:rPr>
                <w:rFonts w:ascii="Arial" w:cs="Arial" w:eastAsia="Arial" w:hAnsi="Arial"/>
                <w:sz w:val="14"/>
                <w:szCs w:val="14"/>
                <w:color w:val="auto"/>
              </w:rPr>
              <w:t>WAPA (U.S. Navy)</w:t>
            </w:r>
          </w:p>
        </w:tc>
        <w:tc>
          <w:tcPr>
            <w:tcW w:w="0" w:type="dxa"/>
            <w:vAlign w:val="bottom"/>
          </w:tcPr>
          <w:p>
            <w:pPr>
              <w:spacing w:after="0"/>
              <w:rPr>
                <w:sz w:val="1"/>
                <w:szCs w:val="1"/>
                <w:color w:val="auto"/>
              </w:rPr>
            </w:pPr>
          </w:p>
        </w:tc>
      </w:tr>
      <w:tr>
        <w:trPr>
          <w:trHeight w:val="189"/>
        </w:trPr>
        <w:tc>
          <w:tcPr>
            <w:tcW w:w="3440" w:type="dxa"/>
            <w:vAlign w:val="bottom"/>
            <w:shd w:val="clear" w:color="auto" w:fill="E5E5E5"/>
          </w:tcPr>
          <w:p>
            <w:pPr>
              <w:ind w:left="180"/>
              <w:spacing w:after="0"/>
              <w:rPr>
                <w:sz w:val="20"/>
                <w:szCs w:val="20"/>
                <w:color w:val="auto"/>
              </w:rPr>
            </w:pPr>
            <w:r>
              <w:rPr>
                <w:rFonts w:ascii="Arial" w:cs="Arial" w:eastAsia="Arial" w:hAnsi="Arial"/>
                <w:sz w:val="14"/>
                <w:szCs w:val="14"/>
                <w:color w:val="auto"/>
              </w:rPr>
              <w:t>Great Valley Solar (e) (f)</w:t>
            </w:r>
          </w:p>
        </w:tc>
        <w:tc>
          <w:tcPr>
            <w:tcW w:w="1320" w:type="dxa"/>
            <w:vAlign w:val="bottom"/>
            <w:shd w:val="clear" w:color="auto" w:fill="E5E5E5"/>
          </w:tcPr>
          <w:p>
            <w:pPr>
              <w:jc w:val="center"/>
              <w:ind w:left="168"/>
              <w:spacing w:after="0"/>
              <w:rPr>
                <w:sz w:val="20"/>
                <w:szCs w:val="20"/>
                <w:color w:val="auto"/>
              </w:rPr>
            </w:pPr>
            <w:r>
              <w:rPr>
                <w:rFonts w:ascii="Arial" w:cs="Arial" w:eastAsia="Arial" w:hAnsi="Arial"/>
                <w:sz w:val="14"/>
                <w:szCs w:val="14"/>
                <w:color w:val="auto"/>
              </w:rPr>
              <w:t>200</w:t>
            </w:r>
          </w:p>
        </w:tc>
        <w:tc>
          <w:tcPr>
            <w:tcW w:w="1480" w:type="dxa"/>
            <w:vAlign w:val="bottom"/>
            <w:shd w:val="clear" w:color="auto" w:fill="E5E5E5"/>
          </w:tcPr>
          <w:p>
            <w:pPr>
              <w:jc w:val="center"/>
              <w:ind w:left="48"/>
              <w:spacing w:after="0"/>
              <w:rPr>
                <w:sz w:val="20"/>
                <w:szCs w:val="20"/>
                <w:color w:val="auto"/>
              </w:rPr>
            </w:pPr>
            <w:r>
              <w:rPr>
                <w:rFonts w:ascii="Arial" w:cs="Arial" w:eastAsia="Arial" w:hAnsi="Arial"/>
                <w:sz w:val="14"/>
                <w:szCs w:val="14"/>
                <w:color w:val="auto"/>
              </w:rPr>
              <w:t>17</w:t>
            </w:r>
          </w:p>
        </w:tc>
        <w:tc>
          <w:tcPr>
            <w:tcW w:w="13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2018</w:t>
            </w:r>
          </w:p>
        </w:tc>
        <w:tc>
          <w:tcPr>
            <w:tcW w:w="16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California</w:t>
            </w:r>
          </w:p>
        </w:tc>
        <w:tc>
          <w:tcPr>
            <w:tcW w:w="1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MCE/SMUD/PG&amp;E/SCE</w:t>
            </w:r>
          </w:p>
        </w:tc>
        <w:tc>
          <w:tcPr>
            <w:tcW w:w="0" w:type="dxa"/>
            <w:vAlign w:val="bottom"/>
          </w:tcPr>
          <w:p>
            <w:pPr>
              <w:spacing w:after="0"/>
              <w:rPr>
                <w:sz w:val="1"/>
                <w:szCs w:val="1"/>
                <w:color w:val="auto"/>
              </w:rPr>
            </w:pPr>
          </w:p>
        </w:tc>
      </w:tr>
      <w:tr>
        <w:trPr>
          <w:trHeight w:val="189"/>
        </w:trPr>
        <w:tc>
          <w:tcPr>
            <w:tcW w:w="3440" w:type="dxa"/>
            <w:vAlign w:val="bottom"/>
          </w:tcPr>
          <w:p>
            <w:pPr>
              <w:ind w:left="180"/>
              <w:spacing w:after="0"/>
              <w:rPr>
                <w:sz w:val="20"/>
                <w:szCs w:val="20"/>
                <w:color w:val="auto"/>
              </w:rPr>
            </w:pPr>
            <w:r>
              <w:rPr>
                <w:rFonts w:ascii="Arial" w:cs="Arial" w:eastAsia="Arial" w:hAnsi="Arial"/>
                <w:sz w:val="14"/>
                <w:szCs w:val="14"/>
                <w:color w:val="auto"/>
              </w:rPr>
              <w:t>Water Strider Solar (e) (f)</w:t>
            </w:r>
          </w:p>
        </w:tc>
        <w:tc>
          <w:tcPr>
            <w:tcW w:w="1320" w:type="dxa"/>
            <w:vAlign w:val="bottom"/>
          </w:tcPr>
          <w:p>
            <w:pPr>
              <w:jc w:val="center"/>
              <w:ind w:left="168"/>
              <w:spacing w:after="0"/>
              <w:rPr>
                <w:sz w:val="20"/>
                <w:szCs w:val="20"/>
                <w:color w:val="auto"/>
              </w:rPr>
            </w:pPr>
            <w:r>
              <w:rPr>
                <w:rFonts w:ascii="Arial" w:cs="Arial" w:eastAsia="Arial" w:hAnsi="Arial"/>
                <w:sz w:val="14"/>
                <w:szCs w:val="14"/>
                <w:color w:val="auto"/>
              </w:rPr>
              <w:t>80</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20</w:t>
            </w:r>
          </w:p>
        </w:tc>
        <w:tc>
          <w:tcPr>
            <w:tcW w:w="1360" w:type="dxa"/>
            <w:vAlign w:val="bottom"/>
          </w:tcPr>
          <w:p>
            <w:pPr>
              <w:jc w:val="center"/>
              <w:spacing w:after="0"/>
              <w:rPr>
                <w:sz w:val="20"/>
                <w:szCs w:val="20"/>
                <w:color w:val="auto"/>
              </w:rPr>
            </w:pPr>
            <w:r>
              <w:rPr>
                <w:rFonts w:ascii="Arial" w:cs="Arial" w:eastAsia="Arial" w:hAnsi="Arial"/>
                <w:sz w:val="14"/>
                <w:szCs w:val="14"/>
                <w:color w:val="auto"/>
              </w:rPr>
              <w:t>2021</w:t>
            </w: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Virginia</w:t>
            </w:r>
          </w:p>
        </w:tc>
        <w:tc>
          <w:tcPr>
            <w:tcW w:w="1960" w:type="dxa"/>
            <w:vAlign w:val="bottom"/>
          </w:tcPr>
          <w:p>
            <w:pPr>
              <w:jc w:val="right"/>
              <w:spacing w:after="0"/>
              <w:rPr>
                <w:sz w:val="20"/>
                <w:szCs w:val="20"/>
                <w:color w:val="auto"/>
              </w:rPr>
            </w:pPr>
            <w:r>
              <w:rPr>
                <w:rFonts w:ascii="Arial" w:cs="Arial" w:eastAsia="Arial" w:hAnsi="Arial"/>
                <w:sz w:val="14"/>
                <w:szCs w:val="14"/>
                <w:color w:val="auto"/>
              </w:rPr>
              <w:t>VEPCO</w:t>
            </w:r>
          </w:p>
        </w:tc>
        <w:tc>
          <w:tcPr>
            <w:tcW w:w="0" w:type="dxa"/>
            <w:vAlign w:val="bottom"/>
          </w:tcPr>
          <w:p>
            <w:pPr>
              <w:spacing w:after="0"/>
              <w:rPr>
                <w:sz w:val="1"/>
                <w:szCs w:val="1"/>
                <w:color w:val="auto"/>
              </w:rPr>
            </w:pPr>
          </w:p>
        </w:tc>
      </w:tr>
      <w:tr>
        <w:trPr>
          <w:trHeight w:val="153"/>
        </w:trPr>
        <w:tc>
          <w:tcPr>
            <w:tcW w:w="3440" w:type="dxa"/>
            <w:vAlign w:val="bottom"/>
            <w:shd w:val="clear" w:color="auto" w:fill="E5E5E5"/>
          </w:tcPr>
          <w:p>
            <w:pPr>
              <w:ind w:left="140"/>
              <w:spacing w:after="0" w:line="153" w:lineRule="exact"/>
              <w:rPr>
                <w:sz w:val="20"/>
                <w:szCs w:val="20"/>
                <w:color w:val="auto"/>
              </w:rPr>
            </w:pPr>
            <w:r>
              <w:rPr>
                <w:rFonts w:ascii="Arial" w:cs="Arial" w:eastAsia="Arial" w:hAnsi="Arial"/>
                <w:sz w:val="14"/>
                <w:szCs w:val="14"/>
                <w:color w:val="auto"/>
              </w:rPr>
              <w:t>Battle Mountain Solar/Battery Energy Storage</w:t>
            </w:r>
          </w:p>
        </w:tc>
        <w:tc>
          <w:tcPr>
            <w:tcW w:w="1320" w:type="dxa"/>
            <w:vAlign w:val="bottom"/>
            <w:vMerge w:val="restart"/>
            <w:shd w:val="clear" w:color="auto" w:fill="E5E5E5"/>
          </w:tcPr>
          <w:p>
            <w:pPr>
              <w:jc w:val="center"/>
              <w:ind w:left="168"/>
              <w:spacing w:after="0"/>
              <w:rPr>
                <w:sz w:val="20"/>
                <w:szCs w:val="20"/>
                <w:color w:val="auto"/>
              </w:rPr>
            </w:pPr>
            <w:r>
              <w:rPr>
                <w:rFonts w:ascii="Arial" w:cs="Arial" w:eastAsia="Arial" w:hAnsi="Arial"/>
                <w:sz w:val="14"/>
                <w:szCs w:val="14"/>
                <w:color w:val="auto"/>
              </w:rPr>
              <w:t>101</w:t>
            </w:r>
          </w:p>
        </w:tc>
        <w:tc>
          <w:tcPr>
            <w:tcW w:w="1480" w:type="dxa"/>
            <w:vAlign w:val="bottom"/>
            <w:vMerge w:val="restart"/>
            <w:shd w:val="clear" w:color="auto" w:fill="E5E5E5"/>
          </w:tcPr>
          <w:p>
            <w:pPr>
              <w:jc w:val="center"/>
              <w:ind w:left="48"/>
              <w:spacing w:after="0"/>
              <w:rPr>
                <w:sz w:val="20"/>
                <w:szCs w:val="20"/>
                <w:color w:val="auto"/>
              </w:rPr>
            </w:pPr>
            <w:r>
              <w:rPr>
                <w:rFonts w:ascii="Arial" w:cs="Arial" w:eastAsia="Arial" w:hAnsi="Arial"/>
                <w:sz w:val="14"/>
                <w:szCs w:val="14"/>
                <w:color w:val="5E5E61"/>
              </w:rPr>
              <w:t>25</w:t>
            </w:r>
          </w:p>
        </w:tc>
        <w:tc>
          <w:tcPr>
            <w:tcW w:w="136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auto"/>
              </w:rPr>
              <w:t>2021</w:t>
            </w:r>
          </w:p>
        </w:tc>
        <w:tc>
          <w:tcPr>
            <w:tcW w:w="1660" w:type="dxa"/>
            <w:vAlign w:val="bottom"/>
            <w:vMerge w:val="restart"/>
            <w:shd w:val="clear" w:color="auto" w:fill="E5E5E5"/>
          </w:tcPr>
          <w:p>
            <w:pPr>
              <w:jc w:val="right"/>
              <w:ind w:right="108"/>
              <w:spacing w:after="0"/>
              <w:rPr>
                <w:sz w:val="20"/>
                <w:szCs w:val="20"/>
                <w:color w:val="auto"/>
              </w:rPr>
            </w:pPr>
            <w:r>
              <w:rPr>
                <w:rFonts w:ascii="Arial" w:cs="Arial" w:eastAsia="Arial" w:hAnsi="Arial"/>
                <w:sz w:val="14"/>
                <w:szCs w:val="14"/>
                <w:color w:val="auto"/>
              </w:rPr>
              <w:t>Nevada</w:t>
            </w:r>
          </w:p>
        </w:tc>
        <w:tc>
          <w:tcPr>
            <w:tcW w:w="196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SPP</w:t>
            </w:r>
          </w:p>
        </w:tc>
        <w:tc>
          <w:tcPr>
            <w:tcW w:w="0" w:type="dxa"/>
            <w:vAlign w:val="bottom"/>
          </w:tcPr>
          <w:p>
            <w:pPr>
              <w:spacing w:after="0"/>
              <w:rPr>
                <w:sz w:val="1"/>
                <w:szCs w:val="1"/>
                <w:color w:val="auto"/>
              </w:rPr>
            </w:pPr>
          </w:p>
        </w:tc>
      </w:tr>
      <w:tr>
        <w:trPr>
          <w:trHeight w:val="171"/>
        </w:trPr>
        <w:tc>
          <w:tcPr>
            <w:tcW w:w="34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System (f) (g)</w:t>
            </w:r>
          </w:p>
        </w:tc>
        <w:tc>
          <w:tcPr>
            <w:tcW w:w="1320" w:type="dxa"/>
            <w:vAlign w:val="bottom"/>
            <w:vMerge w:val="continue"/>
            <w:shd w:val="clear" w:color="auto" w:fill="E5E5E5"/>
          </w:tcPr>
          <w:p>
            <w:pPr>
              <w:spacing w:after="0"/>
              <w:rPr>
                <w:sz w:val="14"/>
                <w:szCs w:val="14"/>
                <w:color w:val="auto"/>
              </w:rPr>
            </w:pPr>
          </w:p>
        </w:tc>
        <w:tc>
          <w:tcPr>
            <w:tcW w:w="1480" w:type="dxa"/>
            <w:vAlign w:val="bottom"/>
            <w:vMerge w:val="continue"/>
            <w:shd w:val="clear" w:color="auto" w:fill="E5E5E5"/>
          </w:tcPr>
          <w:p>
            <w:pPr>
              <w:spacing w:after="0"/>
              <w:rPr>
                <w:sz w:val="14"/>
                <w:szCs w:val="14"/>
                <w:color w:val="auto"/>
              </w:rPr>
            </w:pPr>
          </w:p>
        </w:tc>
        <w:tc>
          <w:tcPr>
            <w:tcW w:w="1360" w:type="dxa"/>
            <w:vAlign w:val="bottom"/>
            <w:vMerge w:val="continue"/>
            <w:shd w:val="clear" w:color="auto" w:fill="E5E5E5"/>
          </w:tcPr>
          <w:p>
            <w:pPr>
              <w:spacing w:after="0"/>
              <w:rPr>
                <w:sz w:val="14"/>
                <w:szCs w:val="14"/>
                <w:color w:val="auto"/>
              </w:rPr>
            </w:pPr>
          </w:p>
        </w:tc>
        <w:tc>
          <w:tcPr>
            <w:tcW w:w="1660" w:type="dxa"/>
            <w:vAlign w:val="bottom"/>
            <w:vMerge w:val="continue"/>
            <w:shd w:val="clear" w:color="auto" w:fill="E5E5E5"/>
          </w:tcPr>
          <w:p>
            <w:pPr>
              <w:spacing w:after="0"/>
              <w:rPr>
                <w:sz w:val="14"/>
                <w:szCs w:val="14"/>
                <w:color w:val="auto"/>
              </w:rPr>
            </w:pPr>
          </w:p>
        </w:tc>
        <w:tc>
          <w:tcPr>
            <w:tcW w:w="1960" w:type="dxa"/>
            <w:vAlign w:val="bottom"/>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40" w:type="dxa"/>
            <w:vAlign w:val="bottom"/>
          </w:tcPr>
          <w:p>
            <w:pPr>
              <w:ind w:left="180"/>
              <w:spacing w:after="0"/>
              <w:rPr>
                <w:sz w:val="20"/>
                <w:szCs w:val="20"/>
                <w:color w:val="auto"/>
              </w:rPr>
            </w:pPr>
            <w:r>
              <w:rPr>
                <w:rFonts w:ascii="Arial" w:cs="Arial" w:eastAsia="Arial" w:hAnsi="Arial"/>
                <w:sz w:val="14"/>
                <w:szCs w:val="14"/>
                <w:color w:val="auto"/>
              </w:rPr>
              <w:t>Other</w:t>
            </w:r>
          </w:p>
        </w:tc>
        <w:tc>
          <w:tcPr>
            <w:tcW w:w="1320" w:type="dxa"/>
            <w:vAlign w:val="bottom"/>
          </w:tcPr>
          <w:p>
            <w:pPr>
              <w:jc w:val="center"/>
              <w:ind w:left="168"/>
              <w:spacing w:after="0"/>
              <w:rPr>
                <w:sz w:val="20"/>
                <w:szCs w:val="20"/>
                <w:color w:val="auto"/>
              </w:rPr>
            </w:pPr>
            <w:r>
              <w:rPr>
                <w:rFonts w:ascii="Arial" w:cs="Arial" w:eastAsia="Arial" w:hAnsi="Arial"/>
                <w:sz w:val="14"/>
                <w:szCs w:val="14"/>
                <w:color w:val="auto"/>
              </w:rPr>
              <w:t>26</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Various</w:t>
            </w:r>
          </w:p>
        </w:tc>
        <w:tc>
          <w:tcPr>
            <w:tcW w:w="1360" w:type="dxa"/>
            <w:vAlign w:val="bottom"/>
          </w:tcPr>
          <w:p>
            <w:pPr>
              <w:jc w:val="center"/>
              <w:spacing w:after="0"/>
              <w:rPr>
                <w:sz w:val="20"/>
                <w:szCs w:val="20"/>
                <w:color w:val="auto"/>
              </w:rPr>
            </w:pPr>
            <w:r>
              <w:rPr>
                <w:rFonts w:ascii="Arial" w:cs="Arial" w:eastAsia="Arial" w:hAnsi="Arial"/>
                <w:sz w:val="14"/>
                <w:szCs w:val="14"/>
                <w:color w:val="auto"/>
              </w:rPr>
              <w:t>Various</w:t>
            </w: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Various</w:t>
            </w:r>
          </w:p>
        </w:tc>
        <w:tc>
          <w:tcPr>
            <w:tcW w:w="1960" w:type="dxa"/>
            <w:vAlign w:val="bottom"/>
          </w:tcPr>
          <w:p>
            <w:pPr>
              <w:jc w:val="right"/>
              <w:spacing w:after="0"/>
              <w:rPr>
                <w:sz w:val="20"/>
                <w:szCs w:val="20"/>
                <w:color w:val="auto"/>
              </w:rPr>
            </w:pPr>
            <w:r>
              <w:rPr>
                <w:rFonts w:ascii="Arial" w:cs="Arial" w:eastAsia="Arial" w:hAnsi="Arial"/>
                <w:sz w:val="14"/>
                <w:szCs w:val="14"/>
                <w:color w:val="auto"/>
              </w:rPr>
              <w:t>Various</w:t>
            </w:r>
          </w:p>
        </w:tc>
        <w:tc>
          <w:tcPr>
            <w:tcW w:w="0" w:type="dxa"/>
            <w:vAlign w:val="bottom"/>
          </w:tcPr>
          <w:p>
            <w:pPr>
              <w:spacing w:after="0"/>
              <w:rPr>
                <w:sz w:val="1"/>
                <w:szCs w:val="1"/>
                <w:color w:val="auto"/>
              </w:rPr>
            </w:pPr>
          </w:p>
        </w:tc>
      </w:tr>
      <w:tr>
        <w:trPr>
          <w:trHeight w:val="189"/>
        </w:trPr>
        <w:tc>
          <w:tcPr>
            <w:tcW w:w="3440" w:type="dxa"/>
            <w:vAlign w:val="bottom"/>
            <w:shd w:val="clear" w:color="auto" w:fill="E5E5E5"/>
          </w:tcPr>
          <w:p>
            <w:pPr>
              <w:ind w:left="360"/>
              <w:spacing w:after="0"/>
              <w:rPr>
                <w:sz w:val="20"/>
                <w:szCs w:val="20"/>
                <w:color w:val="auto"/>
              </w:rPr>
            </w:pPr>
            <w:r>
              <w:rPr>
                <w:rFonts w:ascii="Arial" w:cs="Arial" w:eastAsia="Arial" w:hAnsi="Arial"/>
                <w:sz w:val="14"/>
                <w:szCs w:val="14"/>
                <w:b w:val="1"/>
                <w:bCs w:val="1"/>
                <w:i w:val="1"/>
                <w:iCs w:val="1"/>
                <w:color w:val="auto"/>
              </w:rPr>
              <w:t>Total Solar</w:t>
            </w:r>
          </w:p>
        </w:tc>
        <w:tc>
          <w:tcPr>
            <w:tcW w:w="1320" w:type="dxa"/>
            <w:vAlign w:val="bottom"/>
            <w:shd w:val="clear" w:color="auto" w:fill="E5E5E5"/>
          </w:tcPr>
          <w:p>
            <w:pPr>
              <w:jc w:val="center"/>
              <w:ind w:left="168"/>
              <w:spacing w:after="0"/>
              <w:rPr>
                <w:sz w:val="20"/>
                <w:szCs w:val="20"/>
                <w:color w:val="auto"/>
              </w:rPr>
            </w:pPr>
            <w:r>
              <w:rPr>
                <w:rFonts w:ascii="Arial" w:cs="Arial" w:eastAsia="Arial" w:hAnsi="Arial"/>
                <w:sz w:val="14"/>
                <w:szCs w:val="14"/>
                <w:b w:val="1"/>
                <w:bCs w:val="1"/>
                <w:color w:val="auto"/>
              </w:rPr>
              <w:t>2,426</w:t>
            </w:r>
          </w:p>
        </w:tc>
        <w:tc>
          <w:tcPr>
            <w:tcW w:w="1480" w:type="dxa"/>
            <w:vAlign w:val="bottom"/>
            <w:shd w:val="clear" w:color="auto" w:fill="E5E5E5"/>
          </w:tcPr>
          <w:p>
            <w:pPr>
              <w:spacing w:after="0"/>
              <w:rPr>
                <w:sz w:val="16"/>
                <w:szCs w:val="16"/>
                <w:color w:val="auto"/>
              </w:rPr>
            </w:pPr>
          </w:p>
        </w:tc>
        <w:tc>
          <w:tcPr>
            <w:tcW w:w="136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19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Wind</w:t>
            </w:r>
          </w:p>
        </w:tc>
        <w:tc>
          <w:tcPr>
            <w:tcW w:w="1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E5E5E5"/>
          </w:tcPr>
          <w:p>
            <w:pPr>
              <w:ind w:left="180"/>
              <w:spacing w:after="0"/>
              <w:rPr>
                <w:sz w:val="20"/>
                <w:szCs w:val="20"/>
                <w:color w:val="auto"/>
              </w:rPr>
            </w:pPr>
            <w:r>
              <w:rPr>
                <w:rFonts w:ascii="Arial" w:cs="Arial" w:eastAsia="Arial" w:hAnsi="Arial"/>
                <w:sz w:val="14"/>
                <w:szCs w:val="14"/>
                <w:color w:val="auto"/>
              </w:rPr>
              <w:t>Broken Bow II (e)</w:t>
            </w:r>
          </w:p>
        </w:tc>
        <w:tc>
          <w:tcPr>
            <w:tcW w:w="1320" w:type="dxa"/>
            <w:vAlign w:val="bottom"/>
            <w:shd w:val="clear" w:color="auto" w:fill="E5E5E5"/>
          </w:tcPr>
          <w:p>
            <w:pPr>
              <w:jc w:val="center"/>
              <w:ind w:left="168"/>
              <w:spacing w:after="0"/>
              <w:rPr>
                <w:sz w:val="20"/>
                <w:szCs w:val="20"/>
                <w:color w:val="auto"/>
              </w:rPr>
            </w:pPr>
            <w:r>
              <w:rPr>
                <w:rFonts w:ascii="Arial" w:cs="Arial" w:eastAsia="Arial" w:hAnsi="Arial"/>
                <w:sz w:val="14"/>
                <w:szCs w:val="14"/>
                <w:color w:val="auto"/>
              </w:rPr>
              <w:t>75</w:t>
            </w:r>
          </w:p>
        </w:tc>
        <w:tc>
          <w:tcPr>
            <w:tcW w:w="1480" w:type="dxa"/>
            <w:vAlign w:val="bottom"/>
            <w:shd w:val="clear" w:color="auto" w:fill="E5E5E5"/>
          </w:tcPr>
          <w:p>
            <w:pPr>
              <w:jc w:val="center"/>
              <w:ind w:left="48"/>
              <w:spacing w:after="0"/>
              <w:rPr>
                <w:sz w:val="20"/>
                <w:szCs w:val="20"/>
                <w:color w:val="auto"/>
              </w:rPr>
            </w:pPr>
            <w:r>
              <w:rPr>
                <w:rFonts w:ascii="Arial" w:cs="Arial" w:eastAsia="Arial" w:hAnsi="Arial"/>
                <w:sz w:val="14"/>
                <w:szCs w:val="14"/>
                <w:color w:val="auto"/>
              </w:rPr>
              <w:t>25</w:t>
            </w:r>
          </w:p>
        </w:tc>
        <w:tc>
          <w:tcPr>
            <w:tcW w:w="13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2014</w:t>
            </w:r>
          </w:p>
        </w:tc>
        <w:tc>
          <w:tcPr>
            <w:tcW w:w="16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Nebraska</w:t>
            </w:r>
          </w:p>
        </w:tc>
        <w:tc>
          <w:tcPr>
            <w:tcW w:w="1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NPPD</w:t>
            </w:r>
          </w:p>
        </w:tc>
        <w:tc>
          <w:tcPr>
            <w:tcW w:w="0" w:type="dxa"/>
            <w:vAlign w:val="bottom"/>
          </w:tcPr>
          <w:p>
            <w:pPr>
              <w:spacing w:after="0"/>
              <w:rPr>
                <w:sz w:val="1"/>
                <w:szCs w:val="1"/>
                <w:color w:val="auto"/>
              </w:rPr>
            </w:pPr>
          </w:p>
        </w:tc>
      </w:tr>
      <w:tr>
        <w:trPr>
          <w:trHeight w:val="153"/>
        </w:trPr>
        <w:tc>
          <w:tcPr>
            <w:tcW w:w="3440" w:type="dxa"/>
            <w:vAlign w:val="bottom"/>
            <w:vMerge w:val="restart"/>
          </w:tcPr>
          <w:p>
            <w:pPr>
              <w:ind w:left="180"/>
              <w:spacing w:after="0"/>
              <w:rPr>
                <w:sz w:val="20"/>
                <w:szCs w:val="20"/>
                <w:color w:val="auto"/>
              </w:rPr>
            </w:pPr>
            <w:r>
              <w:rPr>
                <w:rFonts w:ascii="Arial" w:cs="Arial" w:eastAsia="Arial" w:hAnsi="Arial"/>
                <w:sz w:val="14"/>
                <w:szCs w:val="14"/>
                <w:color w:val="auto"/>
              </w:rPr>
              <w:t>Wind Holdings (e)</w:t>
            </w:r>
          </w:p>
        </w:tc>
        <w:tc>
          <w:tcPr>
            <w:tcW w:w="1320" w:type="dxa"/>
            <w:vAlign w:val="bottom"/>
            <w:vMerge w:val="restart"/>
          </w:tcPr>
          <w:p>
            <w:pPr>
              <w:jc w:val="center"/>
              <w:ind w:left="168"/>
              <w:spacing w:after="0"/>
              <w:rPr>
                <w:sz w:val="20"/>
                <w:szCs w:val="20"/>
                <w:color w:val="auto"/>
              </w:rPr>
            </w:pPr>
            <w:r>
              <w:rPr>
                <w:rFonts w:ascii="Arial" w:cs="Arial" w:eastAsia="Arial" w:hAnsi="Arial"/>
                <w:sz w:val="14"/>
                <w:szCs w:val="14"/>
                <w:color w:val="auto"/>
              </w:rPr>
              <w:t>180</w:t>
            </w:r>
          </w:p>
        </w:tc>
        <w:tc>
          <w:tcPr>
            <w:tcW w:w="1480" w:type="dxa"/>
            <w:vAlign w:val="bottom"/>
            <w:vMerge w:val="restart"/>
          </w:tcPr>
          <w:p>
            <w:pPr>
              <w:jc w:val="center"/>
              <w:ind w:left="48"/>
              <w:spacing w:after="0"/>
              <w:rPr>
                <w:sz w:val="20"/>
                <w:szCs w:val="20"/>
                <w:color w:val="auto"/>
              </w:rPr>
            </w:pPr>
            <w:r>
              <w:rPr>
                <w:rFonts w:ascii="Arial" w:cs="Arial" w:eastAsia="Arial" w:hAnsi="Arial"/>
                <w:sz w:val="14"/>
                <w:szCs w:val="14"/>
                <w:color w:val="auto"/>
              </w:rPr>
              <w:t>Various</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Various</w:t>
            </w:r>
          </w:p>
        </w:tc>
        <w:tc>
          <w:tcPr>
            <w:tcW w:w="166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South Dakota/</w:t>
            </w:r>
          </w:p>
        </w:tc>
        <w:tc>
          <w:tcPr>
            <w:tcW w:w="1960" w:type="dxa"/>
            <w:vAlign w:val="bottom"/>
            <w:vMerge w:val="restart"/>
          </w:tcPr>
          <w:p>
            <w:pPr>
              <w:jc w:val="right"/>
              <w:spacing w:after="0"/>
              <w:rPr>
                <w:sz w:val="20"/>
                <w:szCs w:val="20"/>
                <w:color w:val="auto"/>
              </w:rPr>
            </w:pPr>
            <w:r>
              <w:rPr>
                <w:rFonts w:ascii="Arial" w:cs="Arial" w:eastAsia="Arial" w:hAnsi="Arial"/>
                <w:sz w:val="14"/>
                <w:szCs w:val="14"/>
                <w:color w:val="auto"/>
              </w:rPr>
              <w:t>NWE/Basin Electric</w:t>
            </w:r>
          </w:p>
        </w:tc>
        <w:tc>
          <w:tcPr>
            <w:tcW w:w="0" w:type="dxa"/>
            <w:vAlign w:val="bottom"/>
          </w:tcPr>
          <w:p>
            <w:pPr>
              <w:spacing w:after="0"/>
              <w:rPr>
                <w:sz w:val="1"/>
                <w:szCs w:val="1"/>
                <w:color w:val="auto"/>
              </w:rPr>
            </w:pPr>
          </w:p>
        </w:tc>
      </w:tr>
      <w:tr>
        <w:trPr>
          <w:trHeight w:val="171"/>
        </w:trPr>
        <w:tc>
          <w:tcPr>
            <w:tcW w:w="34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Montana</w:t>
            </w: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E5E5E5"/>
          </w:tcPr>
          <w:p>
            <w:pPr>
              <w:ind w:left="180"/>
              <w:spacing w:after="0"/>
              <w:rPr>
                <w:sz w:val="20"/>
                <w:szCs w:val="20"/>
                <w:color w:val="auto"/>
              </w:rPr>
            </w:pPr>
            <w:r>
              <w:rPr>
                <w:rFonts w:ascii="Arial" w:cs="Arial" w:eastAsia="Arial" w:hAnsi="Arial"/>
                <w:sz w:val="14"/>
                <w:szCs w:val="14"/>
                <w:color w:val="auto"/>
              </w:rPr>
              <w:t>Adams Rose Wind (e)</w:t>
            </w:r>
          </w:p>
        </w:tc>
        <w:tc>
          <w:tcPr>
            <w:tcW w:w="1320" w:type="dxa"/>
            <w:vAlign w:val="bottom"/>
            <w:shd w:val="clear" w:color="auto" w:fill="E5E5E5"/>
          </w:tcPr>
          <w:p>
            <w:pPr>
              <w:jc w:val="center"/>
              <w:ind w:left="168"/>
              <w:spacing w:after="0"/>
              <w:rPr>
                <w:sz w:val="20"/>
                <w:szCs w:val="20"/>
                <w:color w:val="auto"/>
              </w:rPr>
            </w:pPr>
            <w:r>
              <w:rPr>
                <w:rFonts w:ascii="Arial" w:cs="Arial" w:eastAsia="Arial" w:hAnsi="Arial"/>
                <w:sz w:val="14"/>
                <w:szCs w:val="14"/>
                <w:color w:val="auto"/>
              </w:rPr>
              <w:t>23</w:t>
            </w:r>
          </w:p>
        </w:tc>
        <w:tc>
          <w:tcPr>
            <w:tcW w:w="1480" w:type="dxa"/>
            <w:vAlign w:val="bottom"/>
            <w:shd w:val="clear" w:color="auto" w:fill="E5E5E5"/>
          </w:tcPr>
          <w:p>
            <w:pPr>
              <w:jc w:val="center"/>
              <w:ind w:left="48"/>
              <w:spacing w:after="0"/>
              <w:rPr>
                <w:sz w:val="20"/>
                <w:szCs w:val="20"/>
                <w:color w:val="auto"/>
              </w:rPr>
            </w:pPr>
            <w:r>
              <w:rPr>
                <w:rFonts w:ascii="Arial" w:cs="Arial" w:eastAsia="Arial" w:hAnsi="Arial"/>
                <w:sz w:val="14"/>
                <w:szCs w:val="14"/>
                <w:color w:val="auto"/>
              </w:rPr>
              <w:t>7</w:t>
            </w:r>
          </w:p>
        </w:tc>
        <w:tc>
          <w:tcPr>
            <w:tcW w:w="13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2016</w:t>
            </w:r>
          </w:p>
        </w:tc>
        <w:tc>
          <w:tcPr>
            <w:tcW w:w="16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Minnesota</w:t>
            </w:r>
          </w:p>
        </w:tc>
        <w:tc>
          <w:tcPr>
            <w:tcW w:w="1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Dairyland</w:t>
            </w:r>
          </w:p>
        </w:tc>
        <w:tc>
          <w:tcPr>
            <w:tcW w:w="0" w:type="dxa"/>
            <w:vAlign w:val="bottom"/>
          </w:tcPr>
          <w:p>
            <w:pPr>
              <w:spacing w:after="0"/>
              <w:rPr>
                <w:sz w:val="1"/>
                <w:szCs w:val="1"/>
                <w:color w:val="auto"/>
              </w:rPr>
            </w:pPr>
          </w:p>
        </w:tc>
      </w:tr>
      <w:tr>
        <w:trPr>
          <w:trHeight w:val="189"/>
        </w:trPr>
        <w:tc>
          <w:tcPr>
            <w:tcW w:w="3440" w:type="dxa"/>
            <w:vAlign w:val="bottom"/>
          </w:tcPr>
          <w:p>
            <w:pPr>
              <w:ind w:left="180"/>
              <w:spacing w:after="0"/>
              <w:rPr>
                <w:sz w:val="20"/>
                <w:szCs w:val="20"/>
                <w:color w:val="auto"/>
              </w:rPr>
            </w:pPr>
            <w:r>
              <w:rPr>
                <w:rFonts w:ascii="Arial" w:cs="Arial" w:eastAsia="Arial" w:hAnsi="Arial"/>
                <w:sz w:val="14"/>
                <w:szCs w:val="14"/>
                <w:color w:val="auto"/>
              </w:rPr>
              <w:t>Other</w:t>
            </w:r>
          </w:p>
        </w:tc>
        <w:tc>
          <w:tcPr>
            <w:tcW w:w="1320" w:type="dxa"/>
            <w:vAlign w:val="bottom"/>
          </w:tcPr>
          <w:p>
            <w:pPr>
              <w:jc w:val="center"/>
              <w:ind w:left="168"/>
              <w:spacing w:after="0"/>
              <w:rPr>
                <w:sz w:val="20"/>
                <w:szCs w:val="20"/>
                <w:color w:val="auto"/>
              </w:rPr>
            </w:pPr>
            <w:r>
              <w:rPr>
                <w:rFonts w:ascii="Arial" w:cs="Arial" w:eastAsia="Arial" w:hAnsi="Arial"/>
                <w:sz w:val="14"/>
                <w:szCs w:val="14"/>
                <w:color w:val="auto"/>
              </w:rPr>
              <w:t>34</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Various</w:t>
            </w:r>
          </w:p>
        </w:tc>
        <w:tc>
          <w:tcPr>
            <w:tcW w:w="1360" w:type="dxa"/>
            <w:vAlign w:val="bottom"/>
          </w:tcPr>
          <w:p>
            <w:pPr>
              <w:jc w:val="center"/>
              <w:spacing w:after="0"/>
              <w:rPr>
                <w:sz w:val="20"/>
                <w:szCs w:val="20"/>
                <w:color w:val="auto"/>
              </w:rPr>
            </w:pPr>
            <w:r>
              <w:rPr>
                <w:rFonts w:ascii="Arial" w:cs="Arial" w:eastAsia="Arial" w:hAnsi="Arial"/>
                <w:sz w:val="14"/>
                <w:szCs w:val="14"/>
                <w:color w:val="auto"/>
              </w:rPr>
              <w:t>Various</w:t>
            </w: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Various</w:t>
            </w:r>
          </w:p>
        </w:tc>
        <w:tc>
          <w:tcPr>
            <w:tcW w:w="1960" w:type="dxa"/>
            <w:vAlign w:val="bottom"/>
          </w:tcPr>
          <w:p>
            <w:pPr>
              <w:jc w:val="right"/>
              <w:spacing w:after="0"/>
              <w:rPr>
                <w:sz w:val="20"/>
                <w:szCs w:val="20"/>
                <w:color w:val="auto"/>
              </w:rPr>
            </w:pPr>
            <w:r>
              <w:rPr>
                <w:rFonts w:ascii="Arial" w:cs="Arial" w:eastAsia="Arial" w:hAnsi="Arial"/>
                <w:sz w:val="14"/>
                <w:szCs w:val="14"/>
                <w:color w:val="auto"/>
              </w:rPr>
              <w:t>Various</w:t>
            </w:r>
          </w:p>
        </w:tc>
        <w:tc>
          <w:tcPr>
            <w:tcW w:w="0" w:type="dxa"/>
            <w:vAlign w:val="bottom"/>
          </w:tcPr>
          <w:p>
            <w:pPr>
              <w:spacing w:after="0"/>
              <w:rPr>
                <w:sz w:val="1"/>
                <w:szCs w:val="1"/>
                <w:color w:val="auto"/>
              </w:rPr>
            </w:pPr>
          </w:p>
        </w:tc>
      </w:tr>
      <w:tr>
        <w:trPr>
          <w:trHeight w:val="189"/>
        </w:trPr>
        <w:tc>
          <w:tcPr>
            <w:tcW w:w="3440" w:type="dxa"/>
            <w:vAlign w:val="bottom"/>
            <w:tcBorders>
              <w:bottom w:val="single" w:sz="8" w:color="424242"/>
            </w:tcBorders>
            <w:shd w:val="clear" w:color="auto" w:fill="E5E5E5"/>
          </w:tcPr>
          <w:p>
            <w:pPr>
              <w:ind w:left="360"/>
              <w:spacing w:after="0"/>
              <w:rPr>
                <w:sz w:val="20"/>
                <w:szCs w:val="20"/>
                <w:color w:val="auto"/>
              </w:rPr>
            </w:pPr>
            <w:r>
              <w:rPr>
                <w:rFonts w:ascii="Arial" w:cs="Arial" w:eastAsia="Arial" w:hAnsi="Arial"/>
                <w:sz w:val="14"/>
                <w:szCs w:val="14"/>
                <w:b w:val="1"/>
                <w:bCs w:val="1"/>
                <w:i w:val="1"/>
                <w:iCs w:val="1"/>
                <w:color w:val="auto"/>
              </w:rPr>
              <w:t>Total Wind</w:t>
            </w:r>
          </w:p>
        </w:tc>
        <w:tc>
          <w:tcPr>
            <w:tcW w:w="1320" w:type="dxa"/>
            <w:vAlign w:val="bottom"/>
            <w:tcBorders>
              <w:bottom w:val="single" w:sz="8" w:color="424242"/>
            </w:tcBorders>
            <w:shd w:val="clear" w:color="auto" w:fill="E5E5E5"/>
          </w:tcPr>
          <w:p>
            <w:pPr>
              <w:jc w:val="center"/>
              <w:ind w:left="168"/>
              <w:spacing w:after="0"/>
              <w:rPr>
                <w:sz w:val="20"/>
                <w:szCs w:val="20"/>
                <w:color w:val="auto"/>
              </w:rPr>
            </w:pPr>
            <w:r>
              <w:rPr>
                <w:rFonts w:ascii="Arial" w:cs="Arial" w:eastAsia="Arial" w:hAnsi="Arial"/>
                <w:sz w:val="14"/>
                <w:szCs w:val="14"/>
                <w:b w:val="1"/>
                <w:bCs w:val="1"/>
                <w:color w:val="auto"/>
              </w:rPr>
              <w:t>312</w:t>
            </w:r>
          </w:p>
        </w:tc>
        <w:tc>
          <w:tcPr>
            <w:tcW w:w="1480" w:type="dxa"/>
            <w:vAlign w:val="bottom"/>
            <w:tcBorders>
              <w:bottom w:val="single" w:sz="8" w:color="424242"/>
            </w:tcBorders>
            <w:shd w:val="clear" w:color="auto" w:fill="E5E5E5"/>
          </w:tcPr>
          <w:p>
            <w:pPr>
              <w:spacing w:after="0"/>
              <w:rPr>
                <w:sz w:val="16"/>
                <w:szCs w:val="16"/>
                <w:color w:val="auto"/>
              </w:rPr>
            </w:pPr>
          </w:p>
        </w:tc>
        <w:tc>
          <w:tcPr>
            <w:tcW w:w="1360" w:type="dxa"/>
            <w:vAlign w:val="bottom"/>
            <w:tcBorders>
              <w:bottom w:val="single" w:sz="8" w:color="424242"/>
            </w:tcBorders>
            <w:shd w:val="clear" w:color="auto" w:fill="E5E5E5"/>
          </w:tcPr>
          <w:p>
            <w:pPr>
              <w:spacing w:after="0"/>
              <w:rPr>
                <w:sz w:val="16"/>
                <w:szCs w:val="16"/>
                <w:color w:val="auto"/>
              </w:rPr>
            </w:pPr>
          </w:p>
        </w:tc>
        <w:tc>
          <w:tcPr>
            <w:tcW w:w="1660" w:type="dxa"/>
            <w:vAlign w:val="bottom"/>
            <w:tcBorders>
              <w:bottom w:val="single" w:sz="8" w:color="424242"/>
            </w:tcBorders>
            <w:shd w:val="clear" w:color="auto" w:fill="E5E5E5"/>
          </w:tcPr>
          <w:p>
            <w:pPr>
              <w:spacing w:after="0"/>
              <w:rPr>
                <w:sz w:val="16"/>
                <w:szCs w:val="16"/>
                <w:color w:val="auto"/>
              </w:rPr>
            </w:pPr>
          </w:p>
        </w:tc>
        <w:tc>
          <w:tcPr>
            <w:tcW w:w="1960" w:type="dxa"/>
            <w:vAlign w:val="bottom"/>
            <w:tcBorders>
              <w:bottom w:val="single" w:sz="8" w:color="424242"/>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40" w:type="dxa"/>
            <w:vAlign w:val="bottom"/>
          </w:tcPr>
          <w:p>
            <w:pPr>
              <w:ind w:left="360"/>
              <w:spacing w:after="0"/>
              <w:rPr>
                <w:sz w:val="20"/>
                <w:szCs w:val="20"/>
                <w:color w:val="auto"/>
              </w:rPr>
            </w:pPr>
            <w:r>
              <w:rPr>
                <w:rFonts w:ascii="Arial" w:cs="Arial" w:eastAsia="Arial" w:hAnsi="Arial"/>
                <w:sz w:val="14"/>
                <w:szCs w:val="14"/>
                <w:b w:val="1"/>
                <w:bCs w:val="1"/>
                <w:color w:val="auto"/>
              </w:rPr>
              <w:t>Total MW (AC) in Operation</w:t>
            </w:r>
          </w:p>
        </w:tc>
        <w:tc>
          <w:tcPr>
            <w:tcW w:w="1320" w:type="dxa"/>
            <w:vAlign w:val="bottom"/>
          </w:tcPr>
          <w:p>
            <w:pPr>
              <w:jc w:val="center"/>
              <w:ind w:left="168"/>
              <w:spacing w:after="0"/>
              <w:rPr>
                <w:sz w:val="20"/>
                <w:szCs w:val="20"/>
                <w:color w:val="auto"/>
              </w:rPr>
            </w:pPr>
            <w:r>
              <w:rPr>
                <w:rFonts w:ascii="Arial" w:cs="Arial" w:eastAsia="Arial" w:hAnsi="Arial"/>
                <w:sz w:val="14"/>
                <w:szCs w:val="14"/>
                <w:b w:val="1"/>
                <w:bCs w:val="1"/>
                <w:color w:val="auto"/>
              </w:rPr>
              <w:t>2,738</w:t>
            </w: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Borders>
              <w:bottom w:val="single" w:sz="8" w:color="424242"/>
            </w:tcBorders>
            <w:shd w:val="clear" w:color="auto" w:fill="E5E5E5"/>
          </w:tcPr>
          <w:p>
            <w:pPr>
              <w:ind w:left="360"/>
              <w:spacing w:after="0"/>
              <w:rPr>
                <w:sz w:val="20"/>
                <w:szCs w:val="20"/>
                <w:color w:val="auto"/>
              </w:rPr>
            </w:pPr>
            <w:r>
              <w:rPr>
                <w:rFonts w:ascii="Arial" w:cs="Arial" w:eastAsia="Arial" w:hAnsi="Arial"/>
                <w:sz w:val="14"/>
                <w:szCs w:val="14"/>
                <w:b w:val="1"/>
                <w:bCs w:val="1"/>
                <w:color w:val="auto"/>
              </w:rPr>
              <w:t>Total MW (AC) in Construction (f) (g)</w:t>
            </w:r>
          </w:p>
        </w:tc>
        <w:tc>
          <w:tcPr>
            <w:tcW w:w="1320" w:type="dxa"/>
            <w:vAlign w:val="bottom"/>
            <w:tcBorders>
              <w:bottom w:val="single" w:sz="8" w:color="424242"/>
            </w:tcBorders>
            <w:shd w:val="clear" w:color="auto" w:fill="E5E5E5"/>
          </w:tcPr>
          <w:p>
            <w:pPr>
              <w:jc w:val="center"/>
              <w:ind w:left="168"/>
              <w:spacing w:after="0"/>
              <w:rPr>
                <w:sz w:val="20"/>
                <w:szCs w:val="20"/>
                <w:color w:val="auto"/>
              </w:rPr>
            </w:pPr>
            <w:r>
              <w:rPr>
                <w:rFonts w:ascii="Arial" w:cs="Arial" w:eastAsia="Arial" w:hAnsi="Arial"/>
                <w:sz w:val="14"/>
                <w:szCs w:val="14"/>
                <w:b w:val="1"/>
                <w:bCs w:val="1"/>
                <w:color w:val="auto"/>
              </w:rPr>
              <w:t>250</w:t>
            </w:r>
          </w:p>
        </w:tc>
        <w:tc>
          <w:tcPr>
            <w:tcW w:w="1480" w:type="dxa"/>
            <w:vAlign w:val="bottom"/>
            <w:tcBorders>
              <w:bottom w:val="single" w:sz="8" w:color="424242"/>
            </w:tcBorders>
            <w:shd w:val="clear" w:color="auto" w:fill="E5E5E5"/>
          </w:tcPr>
          <w:p>
            <w:pPr>
              <w:spacing w:after="0"/>
              <w:rPr>
                <w:sz w:val="16"/>
                <w:szCs w:val="16"/>
                <w:color w:val="auto"/>
              </w:rPr>
            </w:pPr>
          </w:p>
        </w:tc>
        <w:tc>
          <w:tcPr>
            <w:tcW w:w="1360" w:type="dxa"/>
            <w:vAlign w:val="bottom"/>
            <w:tcBorders>
              <w:bottom w:val="single" w:sz="8" w:color="424242"/>
            </w:tcBorders>
            <w:shd w:val="clear" w:color="auto" w:fill="E5E5E5"/>
          </w:tcPr>
          <w:p>
            <w:pPr>
              <w:spacing w:after="0"/>
              <w:rPr>
                <w:sz w:val="16"/>
                <w:szCs w:val="16"/>
                <w:color w:val="auto"/>
              </w:rPr>
            </w:pPr>
          </w:p>
        </w:tc>
        <w:tc>
          <w:tcPr>
            <w:tcW w:w="1660" w:type="dxa"/>
            <w:vAlign w:val="bottom"/>
            <w:tcBorders>
              <w:bottom w:val="single" w:sz="8" w:color="424242"/>
            </w:tcBorders>
            <w:shd w:val="clear" w:color="auto" w:fill="E5E5E5"/>
          </w:tcPr>
          <w:p>
            <w:pPr>
              <w:spacing w:after="0"/>
              <w:rPr>
                <w:sz w:val="16"/>
                <w:szCs w:val="16"/>
                <w:color w:val="auto"/>
              </w:rPr>
            </w:pPr>
          </w:p>
        </w:tc>
        <w:tc>
          <w:tcPr>
            <w:tcW w:w="1960" w:type="dxa"/>
            <w:vAlign w:val="bottom"/>
            <w:tcBorders>
              <w:bottom w:val="single" w:sz="8" w:color="424242"/>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40" w:type="dxa"/>
            <w:vAlign w:val="bottom"/>
            <w:tcBorders>
              <w:bottom w:val="single" w:sz="8" w:color="5E5E61"/>
            </w:tcBorders>
          </w:tcPr>
          <w:p>
            <w:pPr>
              <w:ind w:left="20"/>
              <w:spacing w:after="0"/>
              <w:rPr>
                <w:sz w:val="20"/>
                <w:szCs w:val="20"/>
                <w:color w:val="auto"/>
              </w:rPr>
            </w:pPr>
            <w:r>
              <w:rPr>
                <w:rFonts w:ascii="Arial" w:cs="Arial" w:eastAsia="Arial" w:hAnsi="Arial"/>
                <w:sz w:val="14"/>
                <w:szCs w:val="14"/>
                <w:b w:val="1"/>
                <w:bCs w:val="1"/>
                <w:color w:val="auto"/>
              </w:rPr>
              <w:t>Total MW (AC) Utility Scale</w:t>
            </w:r>
          </w:p>
        </w:tc>
        <w:tc>
          <w:tcPr>
            <w:tcW w:w="1320" w:type="dxa"/>
            <w:vAlign w:val="bottom"/>
            <w:tcBorders>
              <w:bottom w:val="single" w:sz="8" w:color="5E5E61"/>
            </w:tcBorders>
          </w:tcPr>
          <w:p>
            <w:pPr>
              <w:jc w:val="center"/>
              <w:ind w:left="168"/>
              <w:spacing w:after="0"/>
              <w:rPr>
                <w:sz w:val="20"/>
                <w:szCs w:val="20"/>
                <w:color w:val="auto"/>
              </w:rPr>
            </w:pPr>
            <w:r>
              <w:rPr>
                <w:rFonts w:ascii="Arial" w:cs="Arial" w:eastAsia="Arial" w:hAnsi="Arial"/>
                <w:sz w:val="14"/>
                <w:szCs w:val="14"/>
                <w:b w:val="1"/>
                <w:bCs w:val="1"/>
                <w:color w:val="auto"/>
              </w:rPr>
              <w:t>2,988</w:t>
            </w:r>
          </w:p>
        </w:tc>
        <w:tc>
          <w:tcPr>
            <w:tcW w:w="1480" w:type="dxa"/>
            <w:vAlign w:val="bottom"/>
            <w:tcBorders>
              <w:bottom w:val="single" w:sz="8" w:color="5E5E61"/>
            </w:tcBorders>
          </w:tcPr>
          <w:p>
            <w:pPr>
              <w:spacing w:after="0"/>
              <w:rPr>
                <w:sz w:val="15"/>
                <w:szCs w:val="15"/>
                <w:color w:val="auto"/>
              </w:rPr>
            </w:pPr>
          </w:p>
        </w:tc>
        <w:tc>
          <w:tcPr>
            <w:tcW w:w="1360" w:type="dxa"/>
            <w:vAlign w:val="bottom"/>
            <w:tcBorders>
              <w:bottom w:val="single" w:sz="8" w:color="5E5E61"/>
            </w:tcBorders>
          </w:tcPr>
          <w:p>
            <w:pPr>
              <w:spacing w:after="0"/>
              <w:rPr>
                <w:sz w:val="15"/>
                <w:szCs w:val="15"/>
                <w:color w:val="auto"/>
              </w:rPr>
            </w:pPr>
          </w:p>
        </w:tc>
        <w:tc>
          <w:tcPr>
            <w:tcW w:w="1660" w:type="dxa"/>
            <w:vAlign w:val="bottom"/>
            <w:tcBorders>
              <w:bottom w:val="single" w:sz="8" w:color="5E5E61"/>
            </w:tcBorders>
          </w:tcPr>
          <w:p>
            <w:pPr>
              <w:spacing w:after="0"/>
              <w:rPr>
                <w:sz w:val="15"/>
                <w:szCs w:val="15"/>
                <w:color w:val="auto"/>
              </w:rPr>
            </w:pPr>
          </w:p>
        </w:tc>
        <w:tc>
          <w:tcPr>
            <w:tcW w:w="1960" w:type="dxa"/>
            <w:vAlign w:val="bottom"/>
            <w:tcBorders>
              <w:bottom w:val="single" w:sz="8" w:color="5E5E6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40" w:type="dxa"/>
            <w:vAlign w:val="bottom"/>
            <w:tcBorders>
              <w:bottom w:val="single" w:sz="8" w:color="5E5E61"/>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Behind the Meter</w:t>
            </w:r>
          </w:p>
        </w:tc>
        <w:tc>
          <w:tcPr>
            <w:tcW w:w="1320" w:type="dxa"/>
            <w:vAlign w:val="bottom"/>
            <w:tcBorders>
              <w:bottom w:val="single" w:sz="8" w:color="5E5E61"/>
            </w:tcBorders>
            <w:shd w:val="clear" w:color="auto" w:fill="E5E5E5"/>
          </w:tcPr>
          <w:p>
            <w:pPr>
              <w:spacing w:after="0"/>
              <w:rPr>
                <w:sz w:val="15"/>
                <w:szCs w:val="15"/>
                <w:color w:val="auto"/>
              </w:rPr>
            </w:pPr>
          </w:p>
        </w:tc>
        <w:tc>
          <w:tcPr>
            <w:tcW w:w="1480" w:type="dxa"/>
            <w:vAlign w:val="bottom"/>
            <w:tcBorders>
              <w:bottom w:val="single" w:sz="8" w:color="5E5E61"/>
            </w:tcBorders>
            <w:shd w:val="clear" w:color="auto" w:fill="E5E5E5"/>
          </w:tcPr>
          <w:p>
            <w:pPr>
              <w:spacing w:after="0"/>
              <w:rPr>
                <w:sz w:val="15"/>
                <w:szCs w:val="15"/>
                <w:color w:val="auto"/>
              </w:rPr>
            </w:pPr>
          </w:p>
        </w:tc>
        <w:tc>
          <w:tcPr>
            <w:tcW w:w="1360" w:type="dxa"/>
            <w:vAlign w:val="bottom"/>
            <w:tcBorders>
              <w:bottom w:val="single" w:sz="8" w:color="5E5E61"/>
            </w:tcBorders>
            <w:shd w:val="clear" w:color="auto" w:fill="E5E5E5"/>
          </w:tcPr>
          <w:p>
            <w:pPr>
              <w:spacing w:after="0"/>
              <w:rPr>
                <w:sz w:val="15"/>
                <w:szCs w:val="15"/>
                <w:color w:val="auto"/>
              </w:rPr>
            </w:pPr>
          </w:p>
        </w:tc>
        <w:tc>
          <w:tcPr>
            <w:tcW w:w="1660" w:type="dxa"/>
            <w:vAlign w:val="bottom"/>
            <w:tcBorders>
              <w:bottom w:val="single" w:sz="8" w:color="5E5E61"/>
            </w:tcBorders>
            <w:shd w:val="clear" w:color="auto" w:fill="E5E5E5"/>
          </w:tcPr>
          <w:p>
            <w:pPr>
              <w:spacing w:after="0"/>
              <w:rPr>
                <w:sz w:val="15"/>
                <w:szCs w:val="15"/>
                <w:color w:val="auto"/>
              </w:rPr>
            </w:pPr>
          </w:p>
        </w:tc>
        <w:tc>
          <w:tcPr>
            <w:tcW w:w="1960" w:type="dxa"/>
            <w:vAlign w:val="bottom"/>
            <w:tcBorders>
              <w:bottom w:val="single" w:sz="8" w:color="5E5E61"/>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40" w:type="dxa"/>
            <w:vAlign w:val="bottom"/>
            <w:tcBorders>
              <w:bottom w:val="single" w:sz="8" w:color="5E5E61"/>
            </w:tcBorders>
          </w:tcPr>
          <w:p>
            <w:pPr>
              <w:ind w:left="360"/>
              <w:spacing w:after="0"/>
              <w:rPr>
                <w:sz w:val="20"/>
                <w:szCs w:val="20"/>
                <w:color w:val="auto"/>
              </w:rPr>
            </w:pPr>
            <w:r>
              <w:rPr>
                <w:rFonts w:ascii="Arial" w:cs="Arial" w:eastAsia="Arial" w:hAnsi="Arial"/>
                <w:sz w:val="14"/>
                <w:szCs w:val="14"/>
                <w:b w:val="1"/>
                <w:bCs w:val="1"/>
                <w:color w:val="auto"/>
              </w:rPr>
              <w:t>Total MW (AC) in Operation</w:t>
            </w:r>
          </w:p>
        </w:tc>
        <w:tc>
          <w:tcPr>
            <w:tcW w:w="1320" w:type="dxa"/>
            <w:vAlign w:val="bottom"/>
            <w:tcBorders>
              <w:bottom w:val="single" w:sz="8" w:color="5E5E61"/>
            </w:tcBorders>
          </w:tcPr>
          <w:p>
            <w:pPr>
              <w:jc w:val="center"/>
              <w:ind w:left="168"/>
              <w:spacing w:after="0"/>
              <w:rPr>
                <w:sz w:val="20"/>
                <w:szCs w:val="20"/>
                <w:color w:val="auto"/>
              </w:rPr>
            </w:pPr>
            <w:r>
              <w:rPr>
                <w:rFonts w:ascii="Arial" w:cs="Arial" w:eastAsia="Arial" w:hAnsi="Arial"/>
                <w:sz w:val="14"/>
                <w:szCs w:val="14"/>
                <w:b w:val="1"/>
                <w:bCs w:val="1"/>
                <w:color w:val="auto"/>
              </w:rPr>
              <w:t>62</w:t>
            </w:r>
          </w:p>
        </w:tc>
        <w:tc>
          <w:tcPr>
            <w:tcW w:w="1480" w:type="dxa"/>
            <w:vAlign w:val="bottom"/>
            <w:tcBorders>
              <w:bottom w:val="single" w:sz="8" w:color="5E5E61"/>
            </w:tcBorders>
          </w:tcPr>
          <w:p>
            <w:pPr>
              <w:spacing w:after="0"/>
              <w:rPr>
                <w:sz w:val="15"/>
                <w:szCs w:val="15"/>
                <w:color w:val="auto"/>
              </w:rPr>
            </w:pPr>
          </w:p>
        </w:tc>
        <w:tc>
          <w:tcPr>
            <w:tcW w:w="1360" w:type="dxa"/>
            <w:vAlign w:val="bottom"/>
            <w:tcBorders>
              <w:bottom w:val="single" w:sz="8" w:color="5E5E61"/>
            </w:tcBorders>
          </w:tcPr>
          <w:p>
            <w:pPr>
              <w:spacing w:after="0"/>
              <w:rPr>
                <w:sz w:val="15"/>
                <w:szCs w:val="15"/>
                <w:color w:val="auto"/>
              </w:rPr>
            </w:pPr>
          </w:p>
        </w:tc>
        <w:tc>
          <w:tcPr>
            <w:tcW w:w="1660" w:type="dxa"/>
            <w:vAlign w:val="bottom"/>
            <w:tcBorders>
              <w:bottom w:val="single" w:sz="8" w:color="5E5E61"/>
            </w:tcBorders>
          </w:tcPr>
          <w:p>
            <w:pPr>
              <w:spacing w:after="0"/>
              <w:rPr>
                <w:sz w:val="15"/>
                <w:szCs w:val="15"/>
                <w:color w:val="auto"/>
              </w:rPr>
            </w:pPr>
          </w:p>
        </w:tc>
        <w:tc>
          <w:tcPr>
            <w:tcW w:w="1960" w:type="dxa"/>
            <w:vAlign w:val="bottom"/>
            <w:tcBorders>
              <w:bottom w:val="single" w:sz="8" w:color="5E5E6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40" w:type="dxa"/>
            <w:vAlign w:val="bottom"/>
            <w:tcBorders>
              <w:bottom w:val="single" w:sz="8" w:color="5E5E61"/>
            </w:tcBorders>
            <w:shd w:val="clear" w:color="auto" w:fill="E5E5E5"/>
          </w:tcPr>
          <w:p>
            <w:pPr>
              <w:ind w:left="360"/>
              <w:spacing w:after="0"/>
              <w:rPr>
                <w:sz w:val="20"/>
                <w:szCs w:val="20"/>
                <w:color w:val="auto"/>
              </w:rPr>
            </w:pPr>
            <w:r>
              <w:rPr>
                <w:rFonts w:ascii="Arial" w:cs="Arial" w:eastAsia="Arial" w:hAnsi="Arial"/>
                <w:sz w:val="14"/>
                <w:szCs w:val="14"/>
                <w:b w:val="1"/>
                <w:bCs w:val="1"/>
                <w:color w:val="auto"/>
              </w:rPr>
              <w:t>Total MW (AC) in Construction</w:t>
            </w:r>
          </w:p>
        </w:tc>
        <w:tc>
          <w:tcPr>
            <w:tcW w:w="1320" w:type="dxa"/>
            <w:vAlign w:val="bottom"/>
            <w:tcBorders>
              <w:bottom w:val="single" w:sz="8" w:color="5E5E61"/>
            </w:tcBorders>
            <w:shd w:val="clear" w:color="auto" w:fill="E5E5E5"/>
          </w:tcPr>
          <w:p>
            <w:pPr>
              <w:jc w:val="center"/>
              <w:ind w:left="168"/>
              <w:spacing w:after="0"/>
              <w:rPr>
                <w:sz w:val="20"/>
                <w:szCs w:val="20"/>
                <w:color w:val="auto"/>
              </w:rPr>
            </w:pPr>
            <w:r>
              <w:rPr>
                <w:rFonts w:ascii="Arial" w:cs="Arial" w:eastAsia="Arial" w:hAnsi="Arial"/>
                <w:sz w:val="14"/>
                <w:szCs w:val="14"/>
                <w:b w:val="1"/>
                <w:bCs w:val="1"/>
                <w:color w:val="auto"/>
              </w:rPr>
              <w:t>10</w:t>
            </w:r>
          </w:p>
        </w:tc>
        <w:tc>
          <w:tcPr>
            <w:tcW w:w="1480" w:type="dxa"/>
            <w:vAlign w:val="bottom"/>
            <w:tcBorders>
              <w:bottom w:val="single" w:sz="8" w:color="5E5E61"/>
            </w:tcBorders>
            <w:shd w:val="clear" w:color="auto" w:fill="E5E5E5"/>
          </w:tcPr>
          <w:p>
            <w:pPr>
              <w:spacing w:after="0"/>
              <w:rPr>
                <w:sz w:val="15"/>
                <w:szCs w:val="15"/>
                <w:color w:val="auto"/>
              </w:rPr>
            </w:pPr>
          </w:p>
        </w:tc>
        <w:tc>
          <w:tcPr>
            <w:tcW w:w="1360" w:type="dxa"/>
            <w:vAlign w:val="bottom"/>
            <w:tcBorders>
              <w:bottom w:val="single" w:sz="8" w:color="5E5E61"/>
            </w:tcBorders>
            <w:shd w:val="clear" w:color="auto" w:fill="E5E5E5"/>
          </w:tcPr>
          <w:p>
            <w:pPr>
              <w:spacing w:after="0"/>
              <w:rPr>
                <w:sz w:val="15"/>
                <w:szCs w:val="15"/>
                <w:color w:val="auto"/>
              </w:rPr>
            </w:pPr>
          </w:p>
        </w:tc>
        <w:tc>
          <w:tcPr>
            <w:tcW w:w="1660" w:type="dxa"/>
            <w:vAlign w:val="bottom"/>
            <w:tcBorders>
              <w:bottom w:val="single" w:sz="8" w:color="5E5E61"/>
            </w:tcBorders>
            <w:shd w:val="clear" w:color="auto" w:fill="E5E5E5"/>
          </w:tcPr>
          <w:p>
            <w:pPr>
              <w:spacing w:after="0"/>
              <w:rPr>
                <w:sz w:val="15"/>
                <w:szCs w:val="15"/>
                <w:color w:val="auto"/>
              </w:rPr>
            </w:pPr>
          </w:p>
        </w:tc>
        <w:tc>
          <w:tcPr>
            <w:tcW w:w="1960" w:type="dxa"/>
            <w:vAlign w:val="bottom"/>
            <w:tcBorders>
              <w:bottom w:val="single" w:sz="8" w:color="5E5E61"/>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40" w:type="dxa"/>
            <w:vAlign w:val="bottom"/>
            <w:tcBorders>
              <w:bottom w:val="single" w:sz="8" w:color="5E5E61"/>
            </w:tcBorders>
          </w:tcPr>
          <w:p>
            <w:pPr>
              <w:ind w:left="20"/>
              <w:spacing w:after="0"/>
              <w:rPr>
                <w:sz w:val="20"/>
                <w:szCs w:val="20"/>
                <w:color w:val="auto"/>
              </w:rPr>
            </w:pPr>
            <w:r>
              <w:rPr>
                <w:rFonts w:ascii="Arial" w:cs="Arial" w:eastAsia="Arial" w:hAnsi="Arial"/>
                <w:sz w:val="14"/>
                <w:szCs w:val="14"/>
                <w:b w:val="1"/>
                <w:bCs w:val="1"/>
                <w:color w:val="auto"/>
              </w:rPr>
              <w:t>Total MW Behind the Meter</w:t>
            </w:r>
          </w:p>
        </w:tc>
        <w:tc>
          <w:tcPr>
            <w:tcW w:w="1320" w:type="dxa"/>
            <w:vAlign w:val="bottom"/>
            <w:tcBorders>
              <w:bottom w:val="single" w:sz="8" w:color="5E5E61"/>
            </w:tcBorders>
          </w:tcPr>
          <w:p>
            <w:pPr>
              <w:jc w:val="center"/>
              <w:ind w:left="168"/>
              <w:spacing w:after="0"/>
              <w:rPr>
                <w:sz w:val="20"/>
                <w:szCs w:val="20"/>
                <w:color w:val="auto"/>
              </w:rPr>
            </w:pPr>
            <w:r>
              <w:rPr>
                <w:rFonts w:ascii="Arial" w:cs="Arial" w:eastAsia="Arial" w:hAnsi="Arial"/>
                <w:sz w:val="14"/>
                <w:szCs w:val="14"/>
                <w:b w:val="1"/>
                <w:bCs w:val="1"/>
                <w:color w:val="auto"/>
              </w:rPr>
              <w:t>72</w:t>
            </w:r>
          </w:p>
        </w:tc>
        <w:tc>
          <w:tcPr>
            <w:tcW w:w="1480" w:type="dxa"/>
            <w:vAlign w:val="bottom"/>
            <w:tcBorders>
              <w:bottom w:val="single" w:sz="8" w:color="5E5E61"/>
            </w:tcBorders>
          </w:tcPr>
          <w:p>
            <w:pPr>
              <w:spacing w:after="0"/>
              <w:rPr>
                <w:sz w:val="15"/>
                <w:szCs w:val="15"/>
                <w:color w:val="auto"/>
              </w:rPr>
            </w:pPr>
          </w:p>
        </w:tc>
        <w:tc>
          <w:tcPr>
            <w:tcW w:w="1360" w:type="dxa"/>
            <w:vAlign w:val="bottom"/>
            <w:tcBorders>
              <w:bottom w:val="single" w:sz="8" w:color="5E5E61"/>
            </w:tcBorders>
          </w:tcPr>
          <w:p>
            <w:pPr>
              <w:spacing w:after="0"/>
              <w:rPr>
                <w:sz w:val="15"/>
                <w:szCs w:val="15"/>
                <w:color w:val="auto"/>
              </w:rPr>
            </w:pPr>
          </w:p>
        </w:tc>
        <w:tc>
          <w:tcPr>
            <w:tcW w:w="1660" w:type="dxa"/>
            <w:vAlign w:val="bottom"/>
            <w:tcBorders>
              <w:bottom w:val="single" w:sz="8" w:color="5E5E61"/>
            </w:tcBorders>
          </w:tcPr>
          <w:p>
            <w:pPr>
              <w:spacing w:after="0"/>
              <w:rPr>
                <w:sz w:val="15"/>
                <w:szCs w:val="15"/>
                <w:color w:val="auto"/>
              </w:rPr>
            </w:pPr>
          </w:p>
        </w:tc>
        <w:tc>
          <w:tcPr>
            <w:tcW w:w="1960" w:type="dxa"/>
            <w:vAlign w:val="bottom"/>
            <w:tcBorders>
              <w:bottom w:val="single" w:sz="8" w:color="5E5E61"/>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60" w:hanging="312"/>
        <w:spacing w:after="0"/>
        <w:tabs>
          <w:tab w:leader="none" w:pos="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PPA contractual term or remaining term from the date of acquisition.</w:t>
      </w:r>
    </w:p>
    <w:p>
      <w:pPr>
        <w:spacing w:after="0" w:line="1" w:lineRule="exact"/>
        <w:rPr>
          <w:rFonts w:ascii="Arial" w:cs="Arial" w:eastAsia="Arial" w:hAnsi="Arial"/>
          <w:sz w:val="14"/>
          <w:szCs w:val="14"/>
          <w:color w:val="auto"/>
        </w:rPr>
      </w:pPr>
    </w:p>
    <w:p>
      <w:pPr>
        <w:ind w:left="360" w:hanging="312"/>
        <w:spacing w:after="0" w:line="221" w:lineRule="auto"/>
        <w:tabs>
          <w:tab w:leader="none" w:pos="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Actual/Expected In-Service Date or date of acquisition.</w:t>
      </w:r>
    </w:p>
    <w:p>
      <w:pPr>
        <w:ind w:left="380" w:right="180" w:hanging="332"/>
        <w:spacing w:after="0" w:line="228" w:lineRule="auto"/>
        <w:tabs>
          <w:tab w:leader="none" w:pos="372" w:val="left"/>
        </w:tabs>
        <w:numPr>
          <w:ilvl w:val="0"/>
          <w:numId w:val="37"/>
        </w:numPr>
        <w:rPr>
          <w:rFonts w:ascii="Arial" w:cs="Arial" w:eastAsia="Arial" w:hAnsi="Arial"/>
          <w:sz w:val="14"/>
          <w:szCs w:val="14"/>
          <w:color w:val="auto"/>
        </w:rPr>
      </w:pPr>
      <w:r>
        <w:rPr>
          <w:rFonts w:ascii="Arial" w:cs="Arial" w:eastAsia="Arial" w:hAnsi="Arial"/>
          <w:sz w:val="14"/>
          <w:szCs w:val="14"/>
          <w:color w:val="auto"/>
        </w:rPr>
        <w:t>PPA Counterparties include: Pacific Gas and Electric Company (PG&amp;E), Southern California Public Power Authority (SCPPA), Southern California Edison Company (SCE), Western Area Power Administration (WAPA), Marin Clean Energy (MCE), Sacramento Municipal Utility District (SMUD), Nebraska Public Power District (NPPD), NorthWestern Energy (NWE), Virginia Electric Power Company (VEPCO), and Sierra Pacific Power (SPP).</w:t>
      </w:r>
    </w:p>
    <w:p>
      <w:pPr>
        <w:ind w:left="360" w:hanging="312"/>
        <w:spacing w:after="0"/>
        <w:tabs>
          <w:tab w:leader="none" w:pos="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Solar renewable energy credit hedges are in place, in lieu of PPAs, through 2025.</w:t>
      </w:r>
    </w:p>
    <w:p>
      <w:pPr>
        <w:spacing w:after="0" w:line="1" w:lineRule="exact"/>
        <w:rPr>
          <w:rFonts w:ascii="Arial" w:cs="Arial" w:eastAsia="Arial" w:hAnsi="Arial"/>
          <w:sz w:val="14"/>
          <w:szCs w:val="14"/>
          <w:color w:val="auto"/>
        </w:rPr>
      </w:pPr>
    </w:p>
    <w:p>
      <w:pPr>
        <w:ind w:left="360" w:hanging="312"/>
        <w:spacing w:after="0"/>
        <w:tabs>
          <w:tab w:leader="none" w:pos="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Project has been pledged as security for project debt financing.</w:t>
      </w:r>
    </w:p>
    <w:p>
      <w:pPr>
        <w:spacing w:after="0" w:line="1" w:lineRule="exact"/>
        <w:rPr>
          <w:rFonts w:ascii="Arial" w:cs="Arial" w:eastAsia="Arial" w:hAnsi="Arial"/>
          <w:sz w:val="14"/>
          <w:szCs w:val="14"/>
          <w:color w:val="auto"/>
        </w:rPr>
      </w:pPr>
    </w:p>
    <w:p>
      <w:pPr>
        <w:ind w:left="360" w:hanging="312"/>
        <w:spacing w:after="0"/>
        <w:tabs>
          <w:tab w:leader="none" w:pos="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Projects are financed with tax equity. See Note P to the Second Quarter Financial Statements.</w:t>
      </w:r>
    </w:p>
    <w:p>
      <w:pPr>
        <w:spacing w:after="0" w:line="1" w:lineRule="exact"/>
        <w:rPr>
          <w:rFonts w:ascii="Arial" w:cs="Arial" w:eastAsia="Arial" w:hAnsi="Arial"/>
          <w:sz w:val="14"/>
          <w:szCs w:val="14"/>
          <w:color w:val="auto"/>
        </w:rPr>
      </w:pPr>
    </w:p>
    <w:p>
      <w:pPr>
        <w:ind w:left="380" w:right="200" w:hanging="332"/>
        <w:spacing w:after="0" w:line="258" w:lineRule="auto"/>
        <w:tabs>
          <w:tab w:leader="none" w:pos="367"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Projects in construction are being financed under a variable-rate construction loan facility that matures no later than November 2021. See Note D to the Second Quarter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Renewable Electric Generation</w:t>
      </w:r>
    </w:p>
    <w:p>
      <w:pPr>
        <w:spacing w:after="0" w:line="3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Renewable electric production volumes from utility scale assets for the three and six months ended June 30, 2021 compared with the 2020 period were:</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240" w:type="dxa"/>
            <w:vAlign w:val="bottom"/>
            <w:tcBorders>
              <w:bottom w:val="single" w:sz="8" w:color="828282"/>
            </w:tcBorders>
          </w:tcPr>
          <w:p>
            <w:pPr>
              <w:spacing w:after="0"/>
              <w:rPr>
                <w:sz w:val="16"/>
                <w:szCs w:val="16"/>
                <w:color w:val="auto"/>
              </w:rPr>
            </w:pPr>
          </w:p>
        </w:tc>
        <w:tc>
          <w:tcPr>
            <w:tcW w:w="1400" w:type="dxa"/>
            <w:vAlign w:val="bottom"/>
            <w:tcBorders>
              <w:bottom w:val="single" w:sz="8" w:color="828282"/>
            </w:tcBorders>
          </w:tcPr>
          <w:p>
            <w:pPr>
              <w:spacing w:after="0"/>
              <w:rPr>
                <w:sz w:val="16"/>
                <w:szCs w:val="16"/>
                <w:color w:val="auto"/>
              </w:rPr>
            </w:pPr>
          </w:p>
        </w:tc>
        <w:tc>
          <w:tcPr>
            <w:tcW w:w="1020" w:type="dxa"/>
            <w:vAlign w:val="bottom"/>
            <w:tcBorders>
              <w:bottom w:val="single" w:sz="8" w:color="828282"/>
            </w:tcBorders>
          </w:tcPr>
          <w:p>
            <w:pPr>
              <w:spacing w:after="0"/>
              <w:rPr>
                <w:sz w:val="16"/>
                <w:szCs w:val="16"/>
                <w:color w:val="auto"/>
              </w:rPr>
            </w:pPr>
          </w:p>
        </w:tc>
        <w:tc>
          <w:tcPr>
            <w:tcW w:w="1020" w:type="dxa"/>
            <w:vAlign w:val="bottom"/>
            <w:tcBorders>
              <w:bottom w:val="single" w:sz="8" w:color="828282"/>
            </w:tcBorders>
          </w:tcPr>
          <w:p>
            <w:pPr>
              <w:spacing w:after="0"/>
              <w:rPr>
                <w:sz w:val="16"/>
                <w:szCs w:val="16"/>
                <w:color w:val="auto"/>
              </w:rPr>
            </w:pPr>
          </w:p>
        </w:tc>
        <w:tc>
          <w:tcPr>
            <w:tcW w:w="1660" w:type="dxa"/>
            <w:vAlign w:val="bottom"/>
            <w:tcBorders>
              <w:bottom w:val="single" w:sz="8" w:color="828282"/>
            </w:tcBorders>
            <w:gridSpan w:val="2"/>
          </w:tcPr>
          <w:p>
            <w:pPr>
              <w:ind w:left="300"/>
              <w:spacing w:after="0"/>
              <w:rPr>
                <w:sz w:val="20"/>
                <w:szCs w:val="20"/>
                <w:color w:val="auto"/>
              </w:rPr>
            </w:pPr>
            <w:r>
              <w:rPr>
                <w:rFonts w:ascii="Arial" w:cs="Arial" w:eastAsia="Arial" w:hAnsi="Arial"/>
                <w:sz w:val="14"/>
                <w:szCs w:val="14"/>
                <w:b w:val="1"/>
                <w:bCs w:val="1"/>
                <w:color w:val="auto"/>
              </w:rPr>
              <w:t>Millions of kWh</w:t>
            </w:r>
          </w:p>
        </w:tc>
        <w:tc>
          <w:tcPr>
            <w:tcW w:w="980" w:type="dxa"/>
            <w:vAlign w:val="bottom"/>
            <w:tcBorders>
              <w:bottom w:val="single" w:sz="8" w:color="828282"/>
            </w:tcBorders>
          </w:tcPr>
          <w:p>
            <w:pPr>
              <w:spacing w:after="0"/>
              <w:rPr>
                <w:sz w:val="16"/>
                <w:szCs w:val="16"/>
                <w:color w:val="auto"/>
              </w:rPr>
            </w:pPr>
          </w:p>
        </w:tc>
        <w:tc>
          <w:tcPr>
            <w:tcW w:w="1000" w:type="dxa"/>
            <w:vAlign w:val="bottom"/>
            <w:tcBorders>
              <w:bottom w:val="single" w:sz="8" w:color="828282"/>
            </w:tcBorders>
          </w:tcPr>
          <w:p>
            <w:pPr>
              <w:spacing w:after="0"/>
              <w:rPr>
                <w:sz w:val="16"/>
                <w:szCs w:val="16"/>
                <w:color w:val="auto"/>
              </w:rPr>
            </w:pPr>
          </w:p>
        </w:tc>
        <w:tc>
          <w:tcPr>
            <w:tcW w:w="860" w:type="dxa"/>
            <w:vAlign w:val="bottom"/>
            <w:tcBorders>
              <w:bottom w:val="single" w:sz="8" w:color="828282"/>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40" w:type="dxa"/>
            <w:vAlign w:val="bottom"/>
            <w:tcBorders>
              <w:bottom w:val="single" w:sz="8" w:color="828282"/>
            </w:tcBorders>
          </w:tcPr>
          <w:p>
            <w:pPr>
              <w:spacing w:after="0"/>
              <w:rPr>
                <w:sz w:val="15"/>
                <w:szCs w:val="15"/>
                <w:color w:val="auto"/>
              </w:rPr>
            </w:pPr>
          </w:p>
        </w:tc>
        <w:tc>
          <w:tcPr>
            <w:tcW w:w="1400" w:type="dxa"/>
            <w:vAlign w:val="bottom"/>
            <w:tcBorders>
              <w:bottom w:val="single" w:sz="8" w:color="828282"/>
            </w:tcBorders>
          </w:tcPr>
          <w:p>
            <w:pPr>
              <w:spacing w:after="0"/>
              <w:rPr>
                <w:sz w:val="15"/>
                <w:szCs w:val="15"/>
                <w:color w:val="auto"/>
              </w:rPr>
            </w:pPr>
          </w:p>
        </w:tc>
        <w:tc>
          <w:tcPr>
            <w:tcW w:w="2040" w:type="dxa"/>
            <w:vAlign w:val="bottom"/>
            <w:tcBorders>
              <w:bottom w:val="single" w:sz="8" w:color="828282"/>
            </w:tcBorders>
            <w:gridSpan w:val="2"/>
          </w:tcPr>
          <w:p>
            <w:pPr>
              <w:ind w:left="60"/>
              <w:spacing w:after="0"/>
              <w:rPr>
                <w:sz w:val="20"/>
                <w:szCs w:val="20"/>
                <w:color w:val="auto"/>
              </w:rPr>
            </w:pPr>
            <w:r>
              <w:rPr>
                <w:rFonts w:ascii="Arial" w:cs="Arial" w:eastAsia="Arial" w:hAnsi="Arial"/>
                <w:sz w:val="14"/>
                <w:szCs w:val="14"/>
                <w:b w:val="1"/>
                <w:bCs w:val="1"/>
                <w:color w:val="auto"/>
              </w:rPr>
              <w:t>For the Three Months Ended</w:t>
            </w:r>
          </w:p>
        </w:tc>
        <w:tc>
          <w:tcPr>
            <w:tcW w:w="820" w:type="dxa"/>
            <w:vAlign w:val="bottom"/>
            <w:tcBorders>
              <w:bottom w:val="single" w:sz="8" w:color="828282"/>
            </w:tcBorders>
          </w:tcPr>
          <w:p>
            <w:pPr>
              <w:spacing w:after="0"/>
              <w:rPr>
                <w:sz w:val="15"/>
                <w:szCs w:val="15"/>
                <w:color w:val="auto"/>
              </w:rPr>
            </w:pPr>
          </w:p>
        </w:tc>
        <w:tc>
          <w:tcPr>
            <w:tcW w:w="840" w:type="dxa"/>
            <w:vAlign w:val="bottom"/>
            <w:tcBorders>
              <w:bottom w:val="single" w:sz="8" w:color="828282"/>
            </w:tcBorders>
          </w:tcPr>
          <w:p>
            <w:pPr>
              <w:spacing w:after="0"/>
              <w:rPr>
                <w:sz w:val="15"/>
                <w:szCs w:val="15"/>
                <w:color w:val="auto"/>
              </w:rPr>
            </w:pPr>
          </w:p>
        </w:tc>
        <w:tc>
          <w:tcPr>
            <w:tcW w:w="1980" w:type="dxa"/>
            <w:vAlign w:val="bottom"/>
            <w:tcBorders>
              <w:bottom w:val="single" w:sz="8" w:color="828282"/>
            </w:tcBorders>
            <w:gridSpan w:val="2"/>
          </w:tcPr>
          <w:p>
            <w:pPr>
              <w:ind w:left="100"/>
              <w:spacing w:after="0"/>
              <w:rPr>
                <w:sz w:val="20"/>
                <w:szCs w:val="20"/>
                <w:color w:val="auto"/>
              </w:rPr>
            </w:pPr>
            <w:r>
              <w:rPr>
                <w:rFonts w:ascii="Arial" w:cs="Arial" w:eastAsia="Arial" w:hAnsi="Arial"/>
                <w:sz w:val="14"/>
                <w:szCs w:val="14"/>
                <w:b w:val="1"/>
                <w:bCs w:val="1"/>
                <w:color w:val="auto"/>
              </w:rPr>
              <w:t>For the Six Months Ended</w:t>
            </w:r>
          </w:p>
        </w:tc>
        <w:tc>
          <w:tcPr>
            <w:tcW w:w="860" w:type="dxa"/>
            <w:vAlign w:val="bottom"/>
            <w:tcBorders>
              <w:bottom w:val="single" w:sz="8" w:color="828282"/>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E5E5E5"/>
          </w:tcPr>
          <w:p>
            <w:pPr>
              <w:spacing w:after="0"/>
              <w:rPr>
                <w:sz w:val="12"/>
                <w:szCs w:val="12"/>
                <w:color w:val="auto"/>
              </w:rPr>
            </w:pPr>
          </w:p>
        </w:tc>
        <w:tc>
          <w:tcPr>
            <w:tcW w:w="1400" w:type="dxa"/>
            <w:vAlign w:val="bottom"/>
            <w:shd w:val="clear" w:color="auto" w:fill="E5E5E5"/>
          </w:tcPr>
          <w:p>
            <w:pPr>
              <w:ind w:left="760"/>
              <w:spacing w:after="0" w:line="142" w:lineRule="exact"/>
              <w:rPr>
                <w:sz w:val="20"/>
                <w:szCs w:val="20"/>
                <w:color w:val="auto"/>
              </w:rPr>
            </w:pPr>
            <w:r>
              <w:rPr>
                <w:rFonts w:ascii="Arial" w:cs="Arial" w:eastAsia="Arial" w:hAnsi="Arial"/>
                <w:sz w:val="14"/>
                <w:szCs w:val="14"/>
                <w:b w:val="1"/>
                <w:bCs w:val="1"/>
                <w:color w:val="auto"/>
              </w:rPr>
              <w:t>June 30,</w:t>
            </w:r>
          </w:p>
        </w:tc>
        <w:tc>
          <w:tcPr>
            <w:tcW w:w="1020" w:type="dxa"/>
            <w:vAlign w:val="bottom"/>
            <w:shd w:val="clear" w:color="auto" w:fill="E5E5E5"/>
          </w:tcPr>
          <w:p>
            <w:pPr>
              <w:ind w:left="280"/>
              <w:spacing w:after="0" w:line="142" w:lineRule="exact"/>
              <w:rPr>
                <w:sz w:val="20"/>
                <w:szCs w:val="20"/>
                <w:color w:val="auto"/>
              </w:rPr>
            </w:pPr>
            <w:r>
              <w:rPr>
                <w:rFonts w:ascii="Arial" w:cs="Arial" w:eastAsia="Arial" w:hAnsi="Arial"/>
                <w:sz w:val="14"/>
                <w:szCs w:val="14"/>
                <w:b w:val="1"/>
                <w:bCs w:val="1"/>
                <w:color w:val="auto"/>
              </w:rPr>
              <w:t>June 30,</w:t>
            </w:r>
          </w:p>
        </w:tc>
        <w:tc>
          <w:tcPr>
            <w:tcW w:w="1020" w:type="dxa"/>
            <w:vAlign w:val="bottom"/>
            <w:vMerge w:val="restart"/>
            <w:shd w:val="clear" w:color="auto" w:fill="E5E5E5"/>
          </w:tcPr>
          <w:p>
            <w:pPr>
              <w:ind w:left="160"/>
              <w:spacing w:after="0"/>
              <w:rPr>
                <w:sz w:val="20"/>
                <w:szCs w:val="20"/>
                <w:color w:val="auto"/>
              </w:rPr>
            </w:pPr>
            <w:r>
              <w:rPr>
                <w:rFonts w:ascii="Arial" w:cs="Arial" w:eastAsia="Arial" w:hAnsi="Arial"/>
                <w:sz w:val="14"/>
                <w:szCs w:val="14"/>
                <w:b w:val="1"/>
                <w:bCs w:val="1"/>
                <w:color w:val="auto"/>
              </w:rPr>
              <w:t>Variation</w:t>
            </w:r>
          </w:p>
        </w:tc>
        <w:tc>
          <w:tcPr>
            <w:tcW w:w="820" w:type="dxa"/>
            <w:vAlign w:val="bottom"/>
            <w:shd w:val="clear" w:color="auto" w:fill="E5E5E5"/>
          </w:tcPr>
          <w:p>
            <w:pPr>
              <w:jc w:val="right"/>
              <w:ind w:right="128"/>
              <w:spacing w:after="0" w:line="142" w:lineRule="exact"/>
              <w:rPr>
                <w:sz w:val="20"/>
                <w:szCs w:val="20"/>
                <w:color w:val="auto"/>
              </w:rPr>
            </w:pPr>
            <w:r>
              <w:rPr>
                <w:rFonts w:ascii="Arial" w:cs="Arial" w:eastAsia="Arial" w:hAnsi="Arial"/>
                <w:sz w:val="14"/>
                <w:szCs w:val="14"/>
                <w:b w:val="1"/>
                <w:bCs w:val="1"/>
                <w:color w:val="auto"/>
              </w:rPr>
              <w:t>Percent</w:t>
            </w:r>
          </w:p>
        </w:tc>
        <w:tc>
          <w:tcPr>
            <w:tcW w:w="840" w:type="dxa"/>
            <w:vAlign w:val="bottom"/>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June 30,</w:t>
            </w:r>
          </w:p>
        </w:tc>
        <w:tc>
          <w:tcPr>
            <w:tcW w:w="980" w:type="dxa"/>
            <w:vAlign w:val="bottom"/>
            <w:shd w:val="clear" w:color="auto" w:fill="E5E5E5"/>
          </w:tcPr>
          <w:p>
            <w:pPr>
              <w:ind w:left="260"/>
              <w:spacing w:after="0" w:line="142" w:lineRule="exact"/>
              <w:rPr>
                <w:sz w:val="20"/>
                <w:szCs w:val="20"/>
                <w:color w:val="auto"/>
              </w:rPr>
            </w:pPr>
            <w:r>
              <w:rPr>
                <w:rFonts w:ascii="Arial" w:cs="Arial" w:eastAsia="Arial" w:hAnsi="Arial"/>
                <w:sz w:val="14"/>
                <w:szCs w:val="14"/>
                <w:b w:val="1"/>
                <w:bCs w:val="1"/>
                <w:color w:val="auto"/>
              </w:rPr>
              <w:t>June 30,</w:t>
            </w:r>
          </w:p>
        </w:tc>
        <w:tc>
          <w:tcPr>
            <w:tcW w:w="1000" w:type="dxa"/>
            <w:vAlign w:val="bottom"/>
            <w:vMerge w:val="restart"/>
            <w:shd w:val="clear" w:color="auto" w:fill="E5E5E5"/>
          </w:tcPr>
          <w:p>
            <w:pPr>
              <w:ind w:left="180"/>
              <w:spacing w:after="0"/>
              <w:rPr>
                <w:sz w:val="20"/>
                <w:szCs w:val="20"/>
                <w:color w:val="auto"/>
              </w:rPr>
            </w:pPr>
            <w:r>
              <w:rPr>
                <w:rFonts w:ascii="Arial" w:cs="Arial" w:eastAsia="Arial" w:hAnsi="Arial"/>
                <w:sz w:val="14"/>
                <w:szCs w:val="14"/>
                <w:b w:val="1"/>
                <w:bCs w:val="1"/>
                <w:color w:val="auto"/>
              </w:rPr>
              <w:t>Variation</w:t>
            </w:r>
          </w:p>
        </w:tc>
        <w:tc>
          <w:tcPr>
            <w:tcW w:w="860" w:type="dxa"/>
            <w:vAlign w:val="bottom"/>
            <w:shd w:val="clear" w:color="auto" w:fill="E5E5E5"/>
          </w:tcPr>
          <w:p>
            <w:pPr>
              <w:jc w:val="right"/>
              <w:ind w:right="128"/>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6"/>
        </w:trPr>
        <w:tc>
          <w:tcPr>
            <w:tcW w:w="3240" w:type="dxa"/>
            <w:vAlign w:val="bottom"/>
            <w:tcBorders>
              <w:bottom w:val="single" w:sz="8" w:color="5E5E61"/>
            </w:tcBorders>
            <w:shd w:val="clear" w:color="auto" w:fill="E5E5E5"/>
          </w:tcPr>
          <w:p>
            <w:pPr>
              <w:spacing w:after="0"/>
              <w:rPr>
                <w:sz w:val="15"/>
                <w:szCs w:val="15"/>
                <w:color w:val="auto"/>
              </w:rPr>
            </w:pPr>
          </w:p>
        </w:tc>
        <w:tc>
          <w:tcPr>
            <w:tcW w:w="1400" w:type="dxa"/>
            <w:vAlign w:val="bottom"/>
            <w:tcBorders>
              <w:bottom w:val="single" w:sz="8" w:color="5E5E61"/>
            </w:tcBorders>
            <w:shd w:val="clear" w:color="auto" w:fill="E5E5E5"/>
          </w:tcPr>
          <w:p>
            <w:pPr>
              <w:jc w:val="center"/>
              <w:ind w:left="608"/>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5E5E61"/>
            </w:tcBorders>
            <w:shd w:val="clear" w:color="auto" w:fill="E5E5E5"/>
          </w:tcPr>
          <w:p>
            <w:pPr>
              <w:jc w:val="center"/>
              <w:ind w:left="28"/>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5E5E61"/>
            </w:tcBorders>
            <w:vMerge w:val="continue"/>
            <w:shd w:val="clear" w:color="auto" w:fill="E5E5E5"/>
          </w:tcPr>
          <w:p>
            <w:pPr>
              <w:spacing w:after="0"/>
              <w:rPr>
                <w:sz w:val="15"/>
                <w:szCs w:val="15"/>
                <w:color w:val="auto"/>
              </w:rPr>
            </w:pPr>
          </w:p>
        </w:tc>
        <w:tc>
          <w:tcPr>
            <w:tcW w:w="820" w:type="dxa"/>
            <w:vAlign w:val="bottom"/>
            <w:tcBorders>
              <w:bottom w:val="single" w:sz="8" w:color="5E5E61"/>
            </w:tcBorders>
            <w:shd w:val="clear" w:color="auto" w:fill="E5E5E5"/>
          </w:tcPr>
          <w:p>
            <w:pPr>
              <w:jc w:val="right"/>
              <w:ind w:right="88"/>
              <w:spacing w:after="0"/>
              <w:rPr>
                <w:sz w:val="20"/>
                <w:szCs w:val="20"/>
                <w:color w:val="auto"/>
              </w:rPr>
            </w:pPr>
            <w:r>
              <w:rPr>
                <w:rFonts w:ascii="Arial" w:cs="Arial" w:eastAsia="Arial" w:hAnsi="Arial"/>
                <w:sz w:val="14"/>
                <w:szCs w:val="14"/>
                <w:b w:val="1"/>
                <w:bCs w:val="1"/>
                <w:color w:val="auto"/>
              </w:rPr>
              <w:t>Variation</w:t>
            </w:r>
          </w:p>
        </w:tc>
        <w:tc>
          <w:tcPr>
            <w:tcW w:w="840" w:type="dxa"/>
            <w:vAlign w:val="bottom"/>
            <w:tcBorders>
              <w:bottom w:val="single" w:sz="8" w:color="5E5E61"/>
            </w:tcBorders>
            <w:shd w:val="clear" w:color="auto" w:fill="E5E5E5"/>
          </w:tcPr>
          <w:p>
            <w:pPr>
              <w:jc w:val="center"/>
              <w:ind w:left="8"/>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5E5E61"/>
            </w:tcBorders>
            <w:shd w:val="clear" w:color="auto" w:fill="E5E5E5"/>
          </w:tcPr>
          <w:p>
            <w:pPr>
              <w:jc w:val="center"/>
              <w:ind w:left="28"/>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5E5E61"/>
            </w:tcBorders>
            <w:vMerge w:val="continue"/>
            <w:shd w:val="clear" w:color="auto" w:fill="E5E5E5"/>
          </w:tcPr>
          <w:p>
            <w:pPr>
              <w:spacing w:after="0"/>
              <w:rPr>
                <w:sz w:val="15"/>
                <w:szCs w:val="15"/>
                <w:color w:val="auto"/>
              </w:rPr>
            </w:pPr>
          </w:p>
        </w:tc>
        <w:tc>
          <w:tcPr>
            <w:tcW w:w="860" w:type="dxa"/>
            <w:vAlign w:val="bottom"/>
            <w:tcBorders>
              <w:bottom w:val="single" w:sz="8" w:color="5E5E61"/>
            </w:tcBorders>
            <w:shd w:val="clear" w:color="auto" w:fill="E5E5E5"/>
          </w:tcPr>
          <w:p>
            <w:pPr>
              <w:jc w:val="right"/>
              <w:ind w:right="88"/>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color w:val="auto"/>
              </w:rPr>
              <w:t>Renewable electric production projects</w:t>
            </w:r>
          </w:p>
        </w:tc>
        <w:tc>
          <w:tcPr>
            <w:tcW w:w="1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E5E5E5"/>
          </w:tcPr>
          <w:p>
            <w:pPr>
              <w:ind w:left="20"/>
              <w:spacing w:after="0"/>
              <w:rPr>
                <w:sz w:val="20"/>
                <w:szCs w:val="20"/>
                <w:color w:val="auto"/>
              </w:rPr>
            </w:pPr>
            <w:r>
              <w:rPr>
                <w:rFonts w:ascii="Arial" w:cs="Arial" w:eastAsia="Arial" w:hAnsi="Arial"/>
                <w:sz w:val="14"/>
                <w:szCs w:val="14"/>
                <w:color w:val="auto"/>
              </w:rPr>
              <w:t>Solar</w:t>
            </w:r>
          </w:p>
        </w:tc>
        <w:tc>
          <w:tcPr>
            <w:tcW w:w="1400" w:type="dxa"/>
            <w:vAlign w:val="bottom"/>
            <w:shd w:val="clear" w:color="auto" w:fill="E5E5E5"/>
          </w:tcPr>
          <w:p>
            <w:pPr>
              <w:jc w:val="center"/>
              <w:ind w:left="608"/>
              <w:spacing w:after="0"/>
              <w:rPr>
                <w:sz w:val="20"/>
                <w:szCs w:val="20"/>
                <w:color w:val="auto"/>
              </w:rPr>
            </w:pPr>
            <w:r>
              <w:rPr>
                <w:rFonts w:ascii="Arial" w:cs="Arial" w:eastAsia="Arial" w:hAnsi="Arial"/>
                <w:sz w:val="14"/>
                <w:szCs w:val="14"/>
                <w:color w:val="auto"/>
              </w:rPr>
              <w:t>1,855</w:t>
            </w:r>
          </w:p>
        </w:tc>
        <w:tc>
          <w:tcPr>
            <w:tcW w:w="1020" w:type="dxa"/>
            <w:vAlign w:val="bottom"/>
            <w:shd w:val="clear" w:color="auto" w:fill="E5E5E5"/>
          </w:tcPr>
          <w:p>
            <w:pPr>
              <w:jc w:val="center"/>
              <w:ind w:left="28"/>
              <w:spacing w:after="0"/>
              <w:rPr>
                <w:sz w:val="20"/>
                <w:szCs w:val="20"/>
                <w:color w:val="auto"/>
              </w:rPr>
            </w:pPr>
            <w:r>
              <w:rPr>
                <w:rFonts w:ascii="Arial" w:cs="Arial" w:eastAsia="Arial" w:hAnsi="Arial"/>
                <w:sz w:val="14"/>
                <w:szCs w:val="14"/>
                <w:color w:val="auto"/>
              </w:rPr>
              <w:t>1,784</w:t>
            </w:r>
          </w:p>
        </w:tc>
        <w:tc>
          <w:tcPr>
            <w:tcW w:w="1020" w:type="dxa"/>
            <w:vAlign w:val="bottom"/>
            <w:shd w:val="clear" w:color="auto" w:fill="E5E5E5"/>
          </w:tcPr>
          <w:p>
            <w:pPr>
              <w:jc w:val="center"/>
              <w:ind w:right="28"/>
              <w:spacing w:after="0"/>
              <w:rPr>
                <w:sz w:val="20"/>
                <w:szCs w:val="20"/>
                <w:color w:val="auto"/>
              </w:rPr>
            </w:pPr>
            <w:r>
              <w:rPr>
                <w:rFonts w:ascii="Arial" w:cs="Arial" w:eastAsia="Arial" w:hAnsi="Arial"/>
                <w:sz w:val="14"/>
                <w:szCs w:val="14"/>
                <w:color w:val="auto"/>
              </w:rPr>
              <w:t>71</w:t>
            </w:r>
          </w:p>
        </w:tc>
        <w:tc>
          <w:tcPr>
            <w:tcW w:w="82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4.0%</w:t>
            </w:r>
          </w:p>
        </w:tc>
        <w:tc>
          <w:tcPr>
            <w:tcW w:w="840" w:type="dxa"/>
            <w:vAlign w:val="bottom"/>
            <w:shd w:val="clear" w:color="auto" w:fill="E5E5E5"/>
          </w:tcPr>
          <w:p>
            <w:pPr>
              <w:jc w:val="center"/>
              <w:ind w:left="8"/>
              <w:spacing w:after="0"/>
              <w:rPr>
                <w:sz w:val="20"/>
                <w:szCs w:val="20"/>
                <w:color w:val="auto"/>
              </w:rPr>
            </w:pPr>
            <w:r>
              <w:rPr>
                <w:rFonts w:ascii="Arial" w:cs="Arial" w:eastAsia="Arial" w:hAnsi="Arial"/>
                <w:sz w:val="14"/>
                <w:szCs w:val="14"/>
                <w:color w:val="auto"/>
              </w:rPr>
              <w:t>3,066</w:t>
            </w:r>
          </w:p>
        </w:tc>
        <w:tc>
          <w:tcPr>
            <w:tcW w:w="980" w:type="dxa"/>
            <w:vAlign w:val="bottom"/>
            <w:shd w:val="clear" w:color="auto" w:fill="E5E5E5"/>
          </w:tcPr>
          <w:p>
            <w:pPr>
              <w:jc w:val="center"/>
              <w:ind w:left="28"/>
              <w:spacing w:after="0"/>
              <w:rPr>
                <w:sz w:val="20"/>
                <w:szCs w:val="20"/>
                <w:color w:val="auto"/>
              </w:rPr>
            </w:pPr>
            <w:r>
              <w:rPr>
                <w:rFonts w:ascii="Arial" w:cs="Arial" w:eastAsia="Arial" w:hAnsi="Arial"/>
                <w:sz w:val="14"/>
                <w:szCs w:val="14"/>
                <w:color w:val="auto"/>
              </w:rPr>
              <w:t>2,939</w:t>
            </w: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127</w:t>
            </w:r>
          </w:p>
        </w:tc>
        <w:tc>
          <w:tcPr>
            <w:tcW w:w="86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Wind</w:t>
            </w:r>
          </w:p>
        </w:tc>
        <w:tc>
          <w:tcPr>
            <w:tcW w:w="1400" w:type="dxa"/>
            <w:vAlign w:val="bottom"/>
            <w:tcBorders>
              <w:bottom w:val="single" w:sz="8" w:color="auto"/>
            </w:tcBorders>
          </w:tcPr>
          <w:p>
            <w:pPr>
              <w:jc w:val="center"/>
              <w:ind w:left="608"/>
              <w:spacing w:after="0"/>
              <w:rPr>
                <w:sz w:val="20"/>
                <w:szCs w:val="20"/>
                <w:color w:val="auto"/>
              </w:rPr>
            </w:pPr>
            <w:r>
              <w:rPr>
                <w:rFonts w:ascii="Arial" w:cs="Arial" w:eastAsia="Arial" w:hAnsi="Arial"/>
                <w:sz w:val="14"/>
                <w:szCs w:val="14"/>
                <w:color w:val="auto"/>
              </w:rPr>
              <w:t>380</w:t>
            </w:r>
          </w:p>
        </w:tc>
        <w:tc>
          <w:tcPr>
            <w:tcW w:w="10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388</w:t>
            </w:r>
          </w:p>
        </w:tc>
        <w:tc>
          <w:tcPr>
            <w:tcW w:w="10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(8)</w:t>
            </w: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w:t>
            </w:r>
          </w:p>
        </w:tc>
        <w:tc>
          <w:tcPr>
            <w:tcW w:w="8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721</w:t>
            </w:r>
          </w:p>
        </w:tc>
        <w:tc>
          <w:tcPr>
            <w:tcW w:w="9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738</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(17)</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5E5E61"/>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Total</w:t>
            </w:r>
          </w:p>
        </w:tc>
        <w:tc>
          <w:tcPr>
            <w:tcW w:w="1400" w:type="dxa"/>
            <w:vAlign w:val="bottom"/>
            <w:tcBorders>
              <w:bottom w:val="single" w:sz="8" w:color="5E5E61"/>
            </w:tcBorders>
            <w:shd w:val="clear" w:color="auto" w:fill="E5E5E5"/>
          </w:tcPr>
          <w:p>
            <w:pPr>
              <w:jc w:val="center"/>
              <w:ind w:left="608"/>
              <w:spacing w:after="0"/>
              <w:rPr>
                <w:sz w:val="20"/>
                <w:szCs w:val="20"/>
                <w:color w:val="auto"/>
              </w:rPr>
            </w:pPr>
            <w:r>
              <w:rPr>
                <w:rFonts w:ascii="Arial" w:cs="Arial" w:eastAsia="Arial" w:hAnsi="Arial"/>
                <w:sz w:val="14"/>
                <w:szCs w:val="14"/>
                <w:b w:val="1"/>
                <w:bCs w:val="1"/>
                <w:color w:val="auto"/>
              </w:rPr>
              <w:t>2,235</w:t>
            </w:r>
          </w:p>
        </w:tc>
        <w:tc>
          <w:tcPr>
            <w:tcW w:w="1020" w:type="dxa"/>
            <w:vAlign w:val="bottom"/>
            <w:tcBorders>
              <w:bottom w:val="single" w:sz="8" w:color="5E5E61"/>
            </w:tcBorders>
            <w:shd w:val="clear" w:color="auto" w:fill="E5E5E5"/>
          </w:tcPr>
          <w:p>
            <w:pPr>
              <w:jc w:val="center"/>
              <w:ind w:left="28"/>
              <w:spacing w:after="0"/>
              <w:rPr>
                <w:sz w:val="20"/>
                <w:szCs w:val="20"/>
                <w:color w:val="auto"/>
              </w:rPr>
            </w:pPr>
            <w:r>
              <w:rPr>
                <w:rFonts w:ascii="Arial" w:cs="Arial" w:eastAsia="Arial" w:hAnsi="Arial"/>
                <w:sz w:val="14"/>
                <w:szCs w:val="14"/>
                <w:b w:val="1"/>
                <w:bCs w:val="1"/>
                <w:color w:val="auto"/>
              </w:rPr>
              <w:t>2,172</w:t>
            </w:r>
          </w:p>
        </w:tc>
        <w:tc>
          <w:tcPr>
            <w:tcW w:w="1020" w:type="dxa"/>
            <w:vAlign w:val="bottom"/>
            <w:tcBorders>
              <w:bottom w:val="single" w:sz="8" w:color="5E5E61"/>
            </w:tcBorders>
            <w:shd w:val="clear" w:color="auto" w:fill="E5E5E5"/>
          </w:tcPr>
          <w:p>
            <w:pPr>
              <w:jc w:val="center"/>
              <w:ind w:right="28"/>
              <w:spacing w:after="0"/>
              <w:rPr>
                <w:sz w:val="20"/>
                <w:szCs w:val="20"/>
                <w:color w:val="auto"/>
              </w:rPr>
            </w:pPr>
            <w:r>
              <w:rPr>
                <w:rFonts w:ascii="Arial" w:cs="Arial" w:eastAsia="Arial" w:hAnsi="Arial"/>
                <w:sz w:val="14"/>
                <w:szCs w:val="14"/>
                <w:b w:val="1"/>
                <w:bCs w:val="1"/>
                <w:color w:val="auto"/>
              </w:rPr>
              <w:t>63</w:t>
            </w:r>
          </w:p>
        </w:tc>
        <w:tc>
          <w:tcPr>
            <w:tcW w:w="820" w:type="dxa"/>
            <w:vAlign w:val="bottom"/>
            <w:tcBorders>
              <w:bottom w:val="single" w:sz="8" w:color="5E5E61"/>
            </w:tcBorders>
            <w:shd w:val="clear" w:color="auto" w:fill="E5E5E5"/>
          </w:tcPr>
          <w:p>
            <w:pPr>
              <w:jc w:val="right"/>
              <w:ind w:right="228"/>
              <w:spacing w:after="0"/>
              <w:rPr>
                <w:sz w:val="20"/>
                <w:szCs w:val="20"/>
                <w:color w:val="auto"/>
              </w:rPr>
            </w:pPr>
            <w:r>
              <w:rPr>
                <w:rFonts w:ascii="Arial" w:cs="Arial" w:eastAsia="Arial" w:hAnsi="Arial"/>
                <w:sz w:val="14"/>
                <w:szCs w:val="14"/>
                <w:b w:val="1"/>
                <w:bCs w:val="1"/>
                <w:color w:val="auto"/>
              </w:rPr>
              <w:t>2.9%</w:t>
            </w:r>
          </w:p>
        </w:tc>
        <w:tc>
          <w:tcPr>
            <w:tcW w:w="840" w:type="dxa"/>
            <w:vAlign w:val="bottom"/>
            <w:tcBorders>
              <w:bottom w:val="single" w:sz="8" w:color="5E5E61"/>
            </w:tcBorders>
            <w:shd w:val="clear" w:color="auto" w:fill="E5E5E5"/>
          </w:tcPr>
          <w:p>
            <w:pPr>
              <w:jc w:val="center"/>
              <w:ind w:left="8"/>
              <w:spacing w:after="0"/>
              <w:rPr>
                <w:sz w:val="20"/>
                <w:szCs w:val="20"/>
                <w:color w:val="auto"/>
              </w:rPr>
            </w:pPr>
            <w:r>
              <w:rPr>
                <w:rFonts w:ascii="Arial" w:cs="Arial" w:eastAsia="Arial" w:hAnsi="Arial"/>
                <w:sz w:val="14"/>
                <w:szCs w:val="14"/>
                <w:b w:val="1"/>
                <w:bCs w:val="1"/>
                <w:color w:val="auto"/>
              </w:rPr>
              <w:t>3,787</w:t>
            </w:r>
          </w:p>
        </w:tc>
        <w:tc>
          <w:tcPr>
            <w:tcW w:w="980" w:type="dxa"/>
            <w:vAlign w:val="bottom"/>
            <w:tcBorders>
              <w:bottom w:val="single" w:sz="8" w:color="5E5E61"/>
            </w:tcBorders>
            <w:shd w:val="clear" w:color="auto" w:fill="E5E5E5"/>
          </w:tcPr>
          <w:p>
            <w:pPr>
              <w:jc w:val="center"/>
              <w:ind w:left="28"/>
              <w:spacing w:after="0"/>
              <w:rPr>
                <w:sz w:val="20"/>
                <w:szCs w:val="20"/>
                <w:color w:val="auto"/>
              </w:rPr>
            </w:pPr>
            <w:r>
              <w:rPr>
                <w:rFonts w:ascii="Arial" w:cs="Arial" w:eastAsia="Arial" w:hAnsi="Arial"/>
                <w:sz w:val="14"/>
                <w:szCs w:val="14"/>
                <w:b w:val="1"/>
                <w:bCs w:val="1"/>
                <w:color w:val="auto"/>
              </w:rPr>
              <w:t>3,677</w:t>
            </w:r>
          </w:p>
        </w:tc>
        <w:tc>
          <w:tcPr>
            <w:tcW w:w="1000" w:type="dxa"/>
            <w:vAlign w:val="bottom"/>
            <w:tcBorders>
              <w:bottom w:val="single" w:sz="8" w:color="5E5E61"/>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110</w:t>
            </w:r>
          </w:p>
        </w:tc>
        <w:tc>
          <w:tcPr>
            <w:tcW w:w="860" w:type="dxa"/>
            <w:vAlign w:val="bottom"/>
            <w:tcBorders>
              <w:bottom w:val="single" w:sz="8" w:color="5E5E61"/>
            </w:tcBorders>
            <w:shd w:val="clear" w:color="auto" w:fill="E5E5E5"/>
          </w:tcPr>
          <w:p>
            <w:pPr>
              <w:jc w:val="right"/>
              <w:ind w:right="228"/>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Con Edison Transmission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CET Gas</w:t>
      </w:r>
    </w:p>
    <w:p>
      <w:pPr>
        <w:spacing w:after="0" w:line="58"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In May 2021, a subsidiary of CET Gas entered into a purchase and sale agreement pursuant to which CET Gas and Crestwood agreed to sell their combined interests in Stagecoach to a subsidiary of Kinder Morgan Inc. for a total of $1,225 million, subject to certain adjustments, of which $612.5 million will be Con Edison's portion for its 50 percent interest, subject to closing adjustments. The purchase and sale agreement contemplates a two-stage closing, the first of which was completed in July 2021 for a sale price of $ 1,195 million, of which $ 614 million, including working capital, was attributed to CET Gas. The second closing for the remaining $30 million, of which $15 million will be attributed to CET Gas, subject to closing adjustments, is to occur following approval by the New York State Public Service Commission, which is expected during the first quarter of 2022, subject to customary closing conditions. See Note R to the Second Quarter Financial Statements.</w:t>
      </w:r>
    </w:p>
    <w:p>
      <w:pPr>
        <w:spacing w:after="0" w:line="21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As a result of information made available to Stagecoach as part of the sale process, Stagecoach performed impairment tests that resulted in Stagecoach recording impairment charges of $343 million and $71 million at March 31, 2021 and June 30, 2021, respectively. Accordingly, Con Edison recorded pre-tax impairment losses on its interest in Stagecoach of $172 million and $39 million, including working capital and transaction cost adjustments, within "Investment income/(loss)" on Con Edison's consolidated income statements at March 31, 2021 and June 30, 2021, respectively. These charges reduced the carrying value of Con Edison’s investment in Stagecoach to $630 million at June 30, 2021. See "Investments" in Note A to the Second Quarter Financial Statements.</w:t>
      </w:r>
    </w:p>
    <w:p>
      <w:pPr>
        <w:spacing w:after="0" w:line="27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May 2021, the operator of the Mountain Valley Pipeline, which is being constructed by a joint venture in which CET Gas owns a 10.9 percent interest (that is expected to be reduced to 8.5 percent based on the current project cost estimate and CET Gas’ previous capping of its cash contributions to the joint venture) indicated that, subject to receipt of certain authorizations and resolution of certain challenges, it is now targeting an in-service date for the project of summer 2022 at an overall project cost of approximately $ 6,200 million excluding allowance for funds used during construction. For the year ended December 31, 2020, CET Gas recorded a pre-tax impairment loss of $320 million ($223 million after-tax) that reduced the carrying value of its investment in Mountain Valley Pipeline LLC from $662 million to $342 million. At June 30, 2021, CET Gas’ cash contributions to the joint venture amounted to $530 million.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Financial and Commodity Market Risks</w:t>
      </w:r>
    </w:p>
    <w:p>
      <w:pPr>
        <w:spacing w:after="0" w:line="3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Companies are subject to various risks and uncertainties associated with financial and commodity markets. The most significant market risks include interest rate risk, commodity price risk and investment risk.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Companies’ interest rate risk primarily relates to new debt financing needed to fund capital requirements, including the construction expenditures of the Utilities and maturing debt securities, and variable-rate debt. Con Edison and its subsidiaries manage interest rate risk through the issuance of mostly fixed-rate debt with varying maturities and through opportunistic refinancing of debt. The Clean Energy Businesses use interest rate swaps to exchange variable-rate project financed debt for a fixed interest rate. See Note N to the Second Quarter Financial Statements. Con Edison and CECONY estimate that at June 30, 2021, a 10 percent increase in interest rates applicable to its variable rate debt would result in an immaterial increase in annual interest expense. Under</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85" w:name="page86"/>
    <w:bookmarkEnd w:id="85"/>
    <w:p>
      <w:pPr>
        <w:ind w:right="360"/>
        <w:spacing w:after="0" w:line="261" w:lineRule="auto"/>
        <w:rPr>
          <w:sz w:val="20"/>
          <w:szCs w:val="20"/>
          <w:color w:val="auto"/>
        </w:rPr>
      </w:pPr>
      <w:r>
        <w:rPr>
          <w:rFonts w:ascii="Arial" w:cs="Arial" w:eastAsia="Arial" w:hAnsi="Arial"/>
          <w:sz w:val="18"/>
          <w:szCs w:val="18"/>
          <w:color w:val="auto"/>
        </w:rPr>
        <w:t>CECONY’s current electric, gas and steam rate plans, variations in actual variable rate tax-exempt debt interest expense, including costs associated with the refinancing of the variable-rate tax-exempt debt, are reconciled to levels reflected in rates.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Con Edison’s commodity price risk primarily relates to the purchase and sale of electricity, gas and related derivative instruments. The Utilities and the Clean Energy Businesses apply risk management strategies to mitigate their related exposures. See Note N to the Second Quarter Financial Statements.</w:t>
      </w:r>
    </w:p>
    <w:p>
      <w:pPr>
        <w:spacing w:after="0" w:line="26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 Edison estimates that, as of June 30, 2021, a 10 percent decline in market prices would result in a decline in fair value of $111 million for the derivative instruments used by the Utilities to hedge purchases of electricity and gas, of which $102 million is for CECONY and $9 million is for O&amp;R. Con Edison expects that any such change in fair value would be largely offset by directionally opposite changes in the cost of the electricity and gas purchased. In accordance with provisions approved by state regulators, the Utilities generally recover from customers the costs they incur for energy purchased for their customers, including gains and losses on certain derivative instruments used to hedge energy purchased and related costs.</w:t>
      </w:r>
    </w:p>
    <w:p>
      <w:pPr>
        <w:spacing w:after="0" w:line="3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Clean Energy Businesses use a value-at-risk (VaR) model to assess the market price risk of their portfolio of electricity and gas commodity fixed-price purchase and sales commitments, physical forward contracts, generating assets and commodity derivative instruments. VaR represents the potential change in fair value of the portfolio due to changes in market prices, for a specified time period and confidence level. These businesses estimate VaR across their portfolio using a delta-normal variance/covariance model with a 95 percent confidence level, compare the measured VaR results against performance due to actual prices and stress test the portfolio each quarter using an assumed 30 percent price change from forecast. Since the VaR calculation involves complex methodologies and estimates and assumptions that are based on past experience, it is not necessarily indicative of future results. VaR for the portfolio, assuming a one-day holding period, for the six months ended June 30, 2021 and the year ended December 31, 2020, respectively, was as follows:</w:t>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620" w:type="dxa"/>
            <w:vAlign w:val="bottom"/>
            <w:tcBorders>
              <w:bottom w:val="single" w:sz="8" w:color="8C8272"/>
            </w:tcBorders>
          </w:tcPr>
          <w:p>
            <w:pPr>
              <w:spacing w:after="0"/>
              <w:rPr>
                <w:sz w:val="20"/>
                <w:szCs w:val="20"/>
                <w:color w:val="auto"/>
              </w:rPr>
            </w:pPr>
            <w:r>
              <w:rPr>
                <w:rFonts w:ascii="Arial" w:cs="Arial" w:eastAsia="Arial" w:hAnsi="Arial"/>
                <w:sz w:val="14"/>
                <w:szCs w:val="14"/>
                <w:b w:val="1"/>
                <w:bCs w:val="1"/>
                <w:color w:val="auto"/>
              </w:rPr>
              <w:t>95% Confidence Level, One-Day Holding Period</w:t>
            </w:r>
          </w:p>
        </w:tc>
        <w:tc>
          <w:tcPr>
            <w:tcW w:w="4240" w:type="dxa"/>
            <w:vAlign w:val="bottom"/>
            <w:tcBorders>
              <w:bottom w:val="single" w:sz="8" w:color="8C8272"/>
            </w:tcBorders>
          </w:tcPr>
          <w:p>
            <w:pPr>
              <w:jc w:val="right"/>
              <w:ind w:right="888"/>
              <w:spacing w:after="0"/>
              <w:rPr>
                <w:sz w:val="20"/>
                <w:szCs w:val="20"/>
                <w:color w:val="auto"/>
              </w:rPr>
            </w:pPr>
            <w:r>
              <w:rPr>
                <w:rFonts w:ascii="Arial" w:cs="Arial" w:eastAsia="Arial" w:hAnsi="Arial"/>
                <w:sz w:val="14"/>
                <w:szCs w:val="14"/>
                <w:b w:val="1"/>
                <w:bCs w:val="1"/>
                <w:color w:val="auto"/>
              </w:rPr>
              <w:t>June 30, 2021</w:t>
            </w:r>
          </w:p>
        </w:tc>
        <w:tc>
          <w:tcPr>
            <w:tcW w:w="1320" w:type="dxa"/>
            <w:vAlign w:val="bottom"/>
            <w:tcBorders>
              <w:bottom w:val="single" w:sz="8" w:color="8C8272"/>
            </w:tcBorders>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182"/>
        </w:trPr>
        <w:tc>
          <w:tcPr>
            <w:tcW w:w="5620" w:type="dxa"/>
            <w:vAlign w:val="bottom"/>
          </w:tcPr>
          <w:p>
            <w:pPr>
              <w:spacing w:after="0"/>
              <w:rPr>
                <w:sz w:val="15"/>
                <w:szCs w:val="15"/>
                <w:color w:val="auto"/>
              </w:rPr>
            </w:pPr>
          </w:p>
        </w:tc>
        <w:tc>
          <w:tcPr>
            <w:tcW w:w="42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(Millions of Dollars)</w:t>
            </w:r>
          </w:p>
        </w:tc>
        <w:tc>
          <w:tcPr>
            <w:tcW w:w="1320" w:type="dxa"/>
            <w:vAlign w:val="bottom"/>
          </w:tcPr>
          <w:p>
            <w:pPr>
              <w:spacing w:after="0"/>
              <w:rPr>
                <w:sz w:val="15"/>
                <w:szCs w:val="15"/>
                <w:color w:val="auto"/>
              </w:rPr>
            </w:pPr>
          </w:p>
        </w:tc>
      </w:tr>
      <w:tr>
        <w:trPr>
          <w:trHeight w:val="189"/>
        </w:trPr>
        <w:tc>
          <w:tcPr>
            <w:tcW w:w="5620" w:type="dxa"/>
            <w:vAlign w:val="bottom"/>
            <w:shd w:val="clear" w:color="auto" w:fill="E5E5E5"/>
          </w:tcPr>
          <w:p>
            <w:pPr>
              <w:spacing w:after="0"/>
              <w:rPr>
                <w:sz w:val="20"/>
                <w:szCs w:val="20"/>
                <w:color w:val="auto"/>
              </w:rPr>
            </w:pPr>
            <w:r>
              <w:rPr>
                <w:rFonts w:ascii="Arial" w:cs="Arial" w:eastAsia="Arial" w:hAnsi="Arial"/>
                <w:sz w:val="14"/>
                <w:szCs w:val="14"/>
                <w:color w:val="auto"/>
              </w:rPr>
              <w:t>Average for the period</w:t>
            </w:r>
          </w:p>
        </w:tc>
        <w:tc>
          <w:tcPr>
            <w:tcW w:w="4240" w:type="dxa"/>
            <w:vAlign w:val="bottom"/>
            <w:shd w:val="clear" w:color="auto" w:fill="E5E5E5"/>
          </w:tcPr>
          <w:p>
            <w:pPr>
              <w:jc w:val="right"/>
              <w:ind w:right="9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620" w:type="dxa"/>
            <w:vAlign w:val="bottom"/>
          </w:tcPr>
          <w:p>
            <w:pPr>
              <w:spacing w:after="0"/>
              <w:rPr>
                <w:sz w:val="20"/>
                <w:szCs w:val="20"/>
                <w:color w:val="auto"/>
              </w:rPr>
            </w:pPr>
            <w:r>
              <w:rPr>
                <w:rFonts w:ascii="Arial" w:cs="Arial" w:eastAsia="Arial" w:hAnsi="Arial"/>
                <w:sz w:val="14"/>
                <w:szCs w:val="14"/>
                <w:color w:val="auto"/>
              </w:rPr>
              <w:t>High</w:t>
            </w:r>
          </w:p>
        </w:tc>
        <w:tc>
          <w:tcPr>
            <w:tcW w:w="4240" w:type="dxa"/>
            <w:vAlign w:val="bottom"/>
          </w:tcPr>
          <w:p>
            <w:pPr>
              <w:jc w:val="right"/>
              <w:ind w:right="928"/>
              <w:spacing w:after="0"/>
              <w:rPr>
                <w:sz w:val="20"/>
                <w:szCs w:val="20"/>
                <w:color w:val="auto"/>
              </w:rPr>
            </w:pPr>
            <w:r>
              <w:rPr>
                <w:rFonts w:ascii="Arial" w:cs="Arial" w:eastAsia="Arial" w:hAnsi="Arial"/>
                <w:sz w:val="14"/>
                <w:szCs w:val="14"/>
                <w:color w:val="auto"/>
              </w:rPr>
              <w:t>1</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620" w:type="dxa"/>
            <w:vAlign w:val="bottom"/>
            <w:tcBorders>
              <w:bottom w:val="single" w:sz="8" w:color="8C8272"/>
            </w:tcBorders>
            <w:shd w:val="clear" w:color="auto" w:fill="E5E5E5"/>
          </w:tcPr>
          <w:p>
            <w:pPr>
              <w:spacing w:after="0"/>
              <w:rPr>
                <w:sz w:val="20"/>
                <w:szCs w:val="20"/>
                <w:color w:val="auto"/>
              </w:rPr>
            </w:pPr>
            <w:r>
              <w:rPr>
                <w:rFonts w:ascii="Arial" w:cs="Arial" w:eastAsia="Arial" w:hAnsi="Arial"/>
                <w:sz w:val="14"/>
                <w:szCs w:val="14"/>
                <w:color w:val="auto"/>
              </w:rPr>
              <w:t>Low</w:t>
            </w:r>
          </w:p>
        </w:tc>
        <w:tc>
          <w:tcPr>
            <w:tcW w:w="4240" w:type="dxa"/>
            <w:vAlign w:val="bottom"/>
            <w:tcBorders>
              <w:bottom w:val="single" w:sz="8" w:color="8C8272"/>
            </w:tcBorders>
            <w:shd w:val="clear" w:color="auto" w:fill="E5E5E5"/>
          </w:tcPr>
          <w:p>
            <w:pPr>
              <w:jc w:val="right"/>
              <w:ind w:right="9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8C8272"/>
            </w:tcBorders>
            <w:shd w:val="clear" w:color="auto" w:fill="E5E5E5"/>
          </w:tcPr>
          <w:p>
            <w:pPr>
              <w:jc w:val="right"/>
              <w:spacing w:after="0"/>
              <w:rPr>
                <w:sz w:val="20"/>
                <w:szCs w:val="20"/>
                <w:color w:val="auto"/>
              </w:rPr>
            </w:pPr>
            <w:r>
              <w:rPr>
                <w:rFonts w:ascii="Arial" w:cs="Arial" w:eastAsia="Arial" w:hAnsi="Arial"/>
                <w:sz w:val="14"/>
                <w:szCs w:val="14"/>
                <w:color w:val="auto"/>
              </w:rPr>
              <w:t>—</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Risk</w:t>
      </w:r>
    </w:p>
    <w:p>
      <w:pPr>
        <w:spacing w:after="0" w:line="3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Companies’ investment risk relates to the investment of plan assets for their pension and other postretirement benefit plans. Con Edison's investment risk also relates to the investments of Con Edison Transmission that are accounted for under the equity method. See "Investments" in Note A to the Second Quarter Financial Statements.</w:t>
      </w:r>
    </w:p>
    <w:p>
      <w:pPr>
        <w:spacing w:after="0" w:line="2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Companies’ current investment policy for pension plan assets includes investment targets of 45 to 55 percent equity securities, 33 to 43 percent debt securities and 10 to 14 percent real estate. At June 30, 2021, the pension plan investments consisted of 51 percent equity securities, 38 percent debt securities and 11 percent real estate.</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the Utilities’ pension and other postretirement benefit plans, regulatory accounting treatment is generally applied in accordance with the accounting rules for regulated operations. In accordance with the Statement of Policy issued by the NYSPSC and its current electric, gas and steam rate plans, CECONY defers for payment to or recovery from customers the difference between the pension and other postretirement benefit expenses and the amounts for such expenses reflected in rates. O&amp;R also defers such difference pursuant to its New York rate plans.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8C8272"/>
        </w:rPr>
        <w:t>Material Contingencies</w:t>
      </w:r>
    </w:p>
    <w:p>
      <w:pPr>
        <w:spacing w:after="0" w:line="3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For information concerning potential liabilities arising from the Companies’ material contingencies, see "Other Regulatory Matters" in Note B and Notes G and H to the Second Quarter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6" w:name="page87"/>
    <w:bookmarkEnd w:id="86"/>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62" w:lineRule="exact"/>
        <w:rPr>
          <w:sz w:val="20"/>
          <w:szCs w:val="20"/>
          <w:color w:val="auto"/>
        </w:rPr>
      </w:pPr>
    </w:p>
    <w:p>
      <w:pPr>
        <w:jc w:val="both"/>
        <w:ind w:right="620"/>
        <w:spacing w:after="0" w:line="256" w:lineRule="auto"/>
        <w:rPr>
          <w:sz w:val="20"/>
          <w:szCs w:val="20"/>
          <w:color w:val="auto"/>
        </w:rPr>
      </w:pPr>
      <w:r>
        <w:rPr>
          <w:rFonts w:ascii="Arial" w:cs="Arial" w:eastAsia="Arial" w:hAnsi="Arial"/>
          <w:sz w:val="18"/>
          <w:szCs w:val="18"/>
          <w:color w:val="auto"/>
        </w:rPr>
        <w:t>For information about the Companies’ primary market risks associated with activities in derivative financial instruments, other financial instruments and derivative commodity instruments, see “Financial and Commodity Market Risks,” in Part I, Item 2 of this report, which information is incorporated herein by reference.</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6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Companies maintain disclosure controls and procedures designed to provide reasonable assurance that the information required to be disclosed in the reports that they submit to the Securities and Exchange Commission (SEC) is recorded, processed, summarized and reported within the time periods specified in the rules and forms of the SEC. Disclosure controls and procedures include, without limitation, controls and procedures designed to ensure that information required to be disclosed by an issuer in the reports that it files or submits under the Securities Exchange Act of 1934, as amended, is accumulated and communicated to the issuer’s management, including its principal executive and principal financial officers, or persons performing similar functions, as appropriate to allow timely decisions regarding required disclosure. For each of the Companies, its management, with the participation of its principal executive officer and principal financial officer, has evaluated its disclosure controls and procedures as of the end of the period covered by this report and, based on such evaluation, has concluded that the controls and procedures are effective to provide such reasonable assurance. Reasonable assurance is not absolute assurance, however, and there can be no assurance that any design of controls or procedures would be effective under all potential future conditions, regardless of how remote.</w:t>
      </w:r>
    </w:p>
    <w:p>
      <w:pPr>
        <w:spacing w:after="0" w:line="116"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There was no change in the Companies’ internal control over financial reporting that occurred during the Companies’ most recent fiscal quarter that has materially affected, or is reasonably likely to materially affect, the Companies’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7" w:name="page88"/>
    <w:bookmarkEnd w:id="87"/>
    <w:p>
      <w:pPr>
        <w:spacing w:after="0"/>
        <w:rPr>
          <w:sz w:val="20"/>
          <w:szCs w:val="20"/>
          <w:color w:val="auto"/>
        </w:rPr>
      </w:pPr>
      <w:r>
        <w:rPr>
          <w:rFonts w:ascii="Arial" w:cs="Arial" w:eastAsia="Arial" w:hAnsi="Arial"/>
          <w:sz w:val="22"/>
          <w:szCs w:val="22"/>
          <w:b w:val="1"/>
          <w:bCs w:val="1"/>
          <w:color w:val="auto"/>
        </w:rPr>
        <w:t>Part II Other Information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7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information about certain legal proceedings affecting the Companies, see "Other Regulatory Matters" in Note B and Notes G and H to the financial statements in Part I, Item 1 of this report, which information is incorporated herein by reference.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in the Companies’ risk factors compared to those disclosed in Item 1A of the Form 10-K.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63"/>
        </w:trPr>
        <w:tc>
          <w:tcPr>
            <w:tcW w:w="2540" w:type="dxa"/>
            <w:vAlign w:val="bottom"/>
          </w:tcPr>
          <w:p>
            <w:pPr>
              <w:spacing w:after="0"/>
              <w:rPr>
                <w:sz w:val="20"/>
                <w:szCs w:val="20"/>
                <w:color w:val="auto"/>
              </w:rPr>
            </w:pPr>
            <w:r>
              <w:rPr>
                <w:rFonts w:ascii="Arial" w:cs="Arial" w:eastAsia="Arial" w:hAnsi="Arial"/>
                <w:sz w:val="14"/>
                <w:szCs w:val="14"/>
                <w:color w:val="auto"/>
              </w:rPr>
              <w:t>Exhibit 10.1</w:t>
            </w:r>
          </w:p>
        </w:tc>
        <w:tc>
          <w:tcPr>
            <w:tcW w:w="8620" w:type="dxa"/>
            <w:vAlign w:val="bottom"/>
            <w:gridSpan w:val="10"/>
          </w:tcPr>
          <w:p>
            <w:pPr>
              <w:spacing w:after="0"/>
              <w:rPr>
                <w:rFonts w:ascii="Arial" w:cs="Arial" w:eastAsia="Arial" w:hAnsi="Arial"/>
                <w:sz w:val="14"/>
                <w:szCs w:val="14"/>
                <w:color w:val="0000FF"/>
              </w:rPr>
            </w:pPr>
            <w:hyperlink r:id="rId4012">
              <w:r>
                <w:rPr>
                  <w:rFonts w:ascii="Arial" w:cs="Arial" w:eastAsia="Arial" w:hAnsi="Arial"/>
                  <w:sz w:val="14"/>
                  <w:szCs w:val="14"/>
                  <w:color w:val="0000FF"/>
                </w:rPr>
                <w:t>Purchase and Sale Agreement, dated as of May 31, 2021 among Con Edison Gas Pipeline and Storage Northeast, LLC, Crestwood</w:t>
              </w:r>
            </w:hyperlink>
          </w:p>
        </w:tc>
      </w:tr>
      <w:tr>
        <w:trPr>
          <w:trHeight w:val="121"/>
        </w:trPr>
        <w:tc>
          <w:tcPr>
            <w:tcW w:w="2540" w:type="dxa"/>
            <w:vAlign w:val="bottom"/>
          </w:tcPr>
          <w:p>
            <w:pPr>
              <w:spacing w:after="0"/>
              <w:rPr>
                <w:sz w:val="10"/>
                <w:szCs w:val="10"/>
                <w:color w:val="auto"/>
              </w:rPr>
            </w:pPr>
          </w:p>
        </w:tc>
        <w:tc>
          <w:tcPr>
            <w:tcW w:w="8380" w:type="dxa"/>
            <w:vAlign w:val="bottom"/>
            <w:tcBorders>
              <w:top w:val="single" w:sz="8" w:color="0000FF"/>
            </w:tcBorders>
            <w:gridSpan w:val="7"/>
          </w:tcPr>
          <w:p>
            <w:pPr>
              <w:spacing w:after="0" w:line="122" w:lineRule="exact"/>
              <w:rPr>
                <w:rFonts w:ascii="Arial" w:cs="Arial" w:eastAsia="Arial" w:hAnsi="Arial"/>
                <w:sz w:val="14"/>
                <w:szCs w:val="14"/>
                <w:color w:val="0000FF"/>
              </w:rPr>
            </w:pPr>
            <w:hyperlink r:id="rId4012">
              <w:r>
                <w:rPr>
                  <w:rFonts w:ascii="Arial" w:cs="Arial" w:eastAsia="Arial" w:hAnsi="Arial"/>
                  <w:sz w:val="14"/>
                  <w:szCs w:val="14"/>
                  <w:color w:val="0000FF"/>
                </w:rPr>
                <w:t>Pipeline and Storage Northeast LLC, as the Sellers, Stagecoach Gas Services LLC as the Company, Kinder Morgan Operating LLC</w:t>
              </w:r>
            </w:hyperlink>
          </w:p>
        </w:tc>
        <w:tc>
          <w:tcPr>
            <w:tcW w:w="20" w:type="dxa"/>
            <w:vAlign w:val="bottom"/>
          </w:tcPr>
          <w:p>
            <w:pPr>
              <w:spacing w:after="0"/>
              <w:rPr>
                <w:sz w:val="10"/>
                <w:szCs w:val="10"/>
                <w:color w:val="auto"/>
              </w:rPr>
            </w:pPr>
          </w:p>
        </w:tc>
        <w:tc>
          <w:tcPr>
            <w:tcW w:w="220" w:type="dxa"/>
            <w:vAlign w:val="bottom"/>
            <w:gridSpan w:val="2"/>
          </w:tcPr>
          <w:p>
            <w:pPr>
              <w:ind w:left="20"/>
              <w:spacing w:after="0" w:line="122" w:lineRule="exact"/>
              <w:rPr>
                <w:rFonts w:ascii="Arial" w:cs="Arial" w:eastAsia="Arial" w:hAnsi="Arial"/>
                <w:sz w:val="14"/>
                <w:szCs w:val="14"/>
                <w:color w:val="0000FF"/>
                <w:w w:val="96"/>
              </w:rPr>
            </w:pPr>
            <w:hyperlink r:id="rId4012">
              <w:r>
                <w:rPr>
                  <w:rFonts w:ascii="Arial" w:cs="Arial" w:eastAsia="Arial" w:hAnsi="Arial"/>
                  <w:sz w:val="14"/>
                  <w:szCs w:val="14"/>
                  <w:color w:val="0000FF"/>
                  <w:w w:val="96"/>
                </w:rPr>
                <w:t>“A”</w:t>
              </w:r>
            </w:hyperlink>
          </w:p>
        </w:tc>
      </w:tr>
      <w:tr>
        <w:trPr>
          <w:trHeight w:val="109"/>
        </w:trPr>
        <w:tc>
          <w:tcPr>
            <w:tcW w:w="2540" w:type="dxa"/>
            <w:vAlign w:val="bottom"/>
          </w:tcPr>
          <w:p>
            <w:pPr>
              <w:spacing w:after="0"/>
              <w:rPr>
                <w:sz w:val="9"/>
                <w:szCs w:val="9"/>
                <w:color w:val="auto"/>
              </w:rPr>
            </w:pPr>
          </w:p>
        </w:tc>
        <w:tc>
          <w:tcPr>
            <w:tcW w:w="8600" w:type="dxa"/>
            <w:vAlign w:val="bottom"/>
            <w:tcBorders>
              <w:top w:val="single" w:sz="8" w:color="0000FF"/>
            </w:tcBorders>
            <w:gridSpan w:val="9"/>
          </w:tcPr>
          <w:p>
            <w:pPr>
              <w:spacing w:after="0" w:line="106" w:lineRule="exact"/>
              <w:rPr>
                <w:rFonts w:ascii="Arial" w:cs="Arial" w:eastAsia="Arial" w:hAnsi="Arial"/>
                <w:sz w:val="12"/>
                <w:szCs w:val="12"/>
                <w:color w:val="0000FF"/>
              </w:rPr>
            </w:pPr>
            <w:hyperlink r:id="rId4012">
              <w:r>
                <w:rPr>
                  <w:rFonts w:ascii="Arial" w:cs="Arial" w:eastAsia="Arial" w:hAnsi="Arial"/>
                  <w:sz w:val="12"/>
                  <w:szCs w:val="12"/>
                  <w:color w:val="0000FF"/>
                </w:rPr>
                <w:t>as Buyer, Con Edison Transmission, Inc. (solely for the limited purposes set forth therein) and Crestwood Midstream Partners LP</w:t>
              </w:r>
            </w:hyperlink>
          </w:p>
        </w:tc>
        <w:tc>
          <w:tcPr>
            <w:tcW w:w="20" w:type="dxa"/>
            <w:vAlign w:val="bottom"/>
          </w:tcPr>
          <w:p>
            <w:pPr>
              <w:spacing w:after="0"/>
              <w:rPr>
                <w:sz w:val="9"/>
                <w:szCs w:val="9"/>
                <w:color w:val="auto"/>
              </w:rPr>
            </w:pPr>
          </w:p>
        </w:tc>
      </w:tr>
      <w:tr>
        <w:trPr>
          <w:trHeight w:val="121"/>
        </w:trPr>
        <w:tc>
          <w:tcPr>
            <w:tcW w:w="2540" w:type="dxa"/>
            <w:vAlign w:val="bottom"/>
          </w:tcPr>
          <w:p>
            <w:pPr>
              <w:spacing w:after="0"/>
              <w:rPr>
                <w:sz w:val="10"/>
                <w:szCs w:val="10"/>
                <w:color w:val="auto"/>
              </w:rPr>
            </w:pPr>
          </w:p>
        </w:tc>
        <w:tc>
          <w:tcPr>
            <w:tcW w:w="8180" w:type="dxa"/>
            <w:vAlign w:val="bottom"/>
            <w:tcBorders>
              <w:top w:val="single" w:sz="8" w:color="0000FF"/>
            </w:tcBorders>
            <w:gridSpan w:val="6"/>
          </w:tcPr>
          <w:p>
            <w:pPr>
              <w:spacing w:after="0" w:line="122" w:lineRule="exact"/>
              <w:rPr>
                <w:rFonts w:ascii="Arial" w:cs="Arial" w:eastAsia="Arial" w:hAnsi="Arial"/>
                <w:sz w:val="14"/>
                <w:szCs w:val="14"/>
                <w:color w:val="0000FF"/>
              </w:rPr>
            </w:pPr>
            <w:hyperlink r:id="rId4012">
              <w:r>
                <w:rPr>
                  <w:rFonts w:ascii="Arial" w:cs="Arial" w:eastAsia="Arial" w:hAnsi="Arial"/>
                  <w:sz w:val="14"/>
                  <w:szCs w:val="14"/>
                  <w:color w:val="0000FF"/>
                </w:rPr>
                <w:t>(solely for the limited purposes set forth therein) (Incorporated by reference to Exhibit 2 to Con Edison’s Current Report on Form</w:t>
              </w:r>
            </w:hyperlink>
          </w:p>
        </w:tc>
        <w:tc>
          <w:tcPr>
            <w:tcW w:w="440" w:type="dxa"/>
            <w:vAlign w:val="bottom"/>
            <w:gridSpan w:val="4"/>
          </w:tcPr>
          <w:p>
            <w:pPr>
              <w:spacing w:after="0" w:line="122" w:lineRule="exact"/>
              <w:rPr>
                <w:rFonts w:ascii="Arial" w:cs="Arial" w:eastAsia="Arial" w:hAnsi="Arial"/>
                <w:sz w:val="14"/>
                <w:szCs w:val="14"/>
                <w:color w:val="0000FF"/>
              </w:rPr>
            </w:pPr>
            <w:hyperlink r:id="rId4012">
              <w:r>
                <w:rPr>
                  <w:rFonts w:ascii="Arial" w:cs="Arial" w:eastAsia="Arial" w:hAnsi="Arial"/>
                  <w:sz w:val="14"/>
                  <w:szCs w:val="14"/>
                  <w:color w:val="0000FF"/>
                </w:rPr>
                <w:t>8-K</w:t>
              </w:r>
            </w:hyperlink>
          </w:p>
        </w:tc>
      </w:tr>
      <w:tr>
        <w:trPr>
          <w:trHeight w:val="115"/>
        </w:trPr>
        <w:tc>
          <w:tcPr>
            <w:tcW w:w="2540" w:type="dxa"/>
            <w:vAlign w:val="bottom"/>
          </w:tcPr>
          <w:p>
            <w:pPr>
              <w:spacing w:after="0"/>
              <w:rPr>
                <w:sz w:val="10"/>
                <w:szCs w:val="10"/>
                <w:color w:val="auto"/>
              </w:rPr>
            </w:pPr>
          </w:p>
        </w:tc>
        <w:tc>
          <w:tcPr>
            <w:tcW w:w="252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r:id="rId4012">
              <w:r>
                <w:rPr>
                  <w:rFonts w:ascii="Arial" w:cs="Arial" w:eastAsia="Arial" w:hAnsi="Arial"/>
                  <w:sz w:val="13"/>
                  <w:szCs w:val="13"/>
                  <w:color w:val="0000FF"/>
                </w:rPr>
                <w:t>dated May 31, 2021 (File No. 1-14514).</w:t>
              </w:r>
            </w:hyperlink>
          </w:p>
        </w:tc>
        <w:tc>
          <w:tcPr>
            <w:tcW w:w="5880" w:type="dxa"/>
            <w:vAlign w:val="bottom"/>
            <w:tcBorders>
              <w:top w:val="single" w:sz="8" w:color="0000FF"/>
            </w:tcBorders>
            <w:gridSpan w:val="7"/>
          </w:tcPr>
          <w:p>
            <w:pPr>
              <w:spacing w:after="0"/>
              <w:rPr>
                <w:sz w:val="10"/>
                <w:szCs w:val="10"/>
                <w:color w:val="auto"/>
              </w:rPr>
            </w:pPr>
          </w:p>
        </w:tc>
        <w:tc>
          <w:tcPr>
            <w:tcW w:w="220" w:type="dxa"/>
            <w:vAlign w:val="bottom"/>
            <w:gridSpan w:val="2"/>
          </w:tcPr>
          <w:p>
            <w:pPr>
              <w:spacing w:after="0"/>
              <w:rPr>
                <w:sz w:val="10"/>
                <w:szCs w:val="10"/>
                <w:color w:val="auto"/>
              </w:rPr>
            </w:pPr>
          </w:p>
        </w:tc>
      </w:tr>
      <w:tr>
        <w:trPr>
          <w:trHeight w:val="169"/>
        </w:trPr>
        <w:tc>
          <w:tcPr>
            <w:tcW w:w="2540" w:type="dxa"/>
            <w:vAlign w:val="bottom"/>
          </w:tcPr>
          <w:p>
            <w:pPr>
              <w:spacing w:after="0"/>
              <w:rPr>
                <w:sz w:val="20"/>
                <w:szCs w:val="20"/>
                <w:color w:val="auto"/>
              </w:rPr>
            </w:pPr>
            <w:r>
              <w:rPr>
                <w:rFonts w:ascii="Arial" w:cs="Arial" w:eastAsia="Arial" w:hAnsi="Arial"/>
                <w:sz w:val="14"/>
                <w:szCs w:val="14"/>
                <w:color w:val="auto"/>
              </w:rPr>
              <w:t>Exhibit 31.1.1</w:t>
            </w:r>
          </w:p>
        </w:tc>
        <w:tc>
          <w:tcPr>
            <w:tcW w:w="4160" w:type="dxa"/>
            <w:vAlign w:val="bottom"/>
            <w:tcBorders>
              <w:bottom w:val="single" w:sz="8" w:color="0000FF"/>
            </w:tcBorders>
            <w:gridSpan w:val="5"/>
          </w:tcPr>
          <w:p>
            <w:pPr>
              <w:spacing w:after="0"/>
              <w:rPr>
                <w:rFonts w:ascii="Arial" w:cs="Arial" w:eastAsia="Arial" w:hAnsi="Arial"/>
                <w:sz w:val="14"/>
                <w:szCs w:val="14"/>
                <w:color w:val="0000FF"/>
              </w:rPr>
            </w:pPr>
            <w:hyperlink w:anchor="page97">
              <w:r>
                <w:rPr>
                  <w:rFonts w:ascii="Arial" w:cs="Arial" w:eastAsia="Arial" w:hAnsi="Arial"/>
                  <w:sz w:val="14"/>
                  <w:szCs w:val="14"/>
                  <w:color w:val="0000FF"/>
                </w:rPr>
                <w:t>Rule 13a-14(a)/15d-14(a) Certifications – Chief Executive Officer.</w:t>
              </w:r>
            </w:hyperlink>
          </w:p>
        </w:tc>
        <w:tc>
          <w:tcPr>
            <w:tcW w:w="4460" w:type="dxa"/>
            <w:vAlign w:val="bottom"/>
            <w:gridSpan w:val="5"/>
          </w:tcPr>
          <w:p>
            <w:pPr>
              <w:spacing w:after="0"/>
              <w:rPr>
                <w:sz w:val="14"/>
                <w:szCs w:val="14"/>
                <w:color w:val="auto"/>
              </w:rPr>
            </w:pPr>
          </w:p>
        </w:tc>
      </w:tr>
      <w:tr>
        <w:trPr>
          <w:trHeight w:val="169"/>
        </w:trPr>
        <w:tc>
          <w:tcPr>
            <w:tcW w:w="2540" w:type="dxa"/>
            <w:vAlign w:val="bottom"/>
          </w:tcPr>
          <w:p>
            <w:pPr>
              <w:spacing w:after="0"/>
              <w:rPr>
                <w:sz w:val="20"/>
                <w:szCs w:val="20"/>
                <w:color w:val="auto"/>
              </w:rPr>
            </w:pPr>
            <w:r>
              <w:rPr>
                <w:rFonts w:ascii="Arial" w:cs="Arial" w:eastAsia="Arial" w:hAnsi="Arial"/>
                <w:sz w:val="14"/>
                <w:szCs w:val="14"/>
                <w:color w:val="auto"/>
              </w:rPr>
              <w:t>Exhibit 31.1.2</w:t>
            </w:r>
          </w:p>
        </w:tc>
        <w:tc>
          <w:tcPr>
            <w:tcW w:w="8620" w:type="dxa"/>
            <w:vAlign w:val="bottom"/>
            <w:gridSpan w:val="10"/>
          </w:tcPr>
          <w:p>
            <w:pPr>
              <w:spacing w:after="0"/>
              <w:rPr>
                <w:rFonts w:ascii="Arial" w:cs="Arial" w:eastAsia="Arial" w:hAnsi="Arial"/>
                <w:sz w:val="14"/>
                <w:szCs w:val="14"/>
                <w:color w:val="0000FF"/>
              </w:rPr>
            </w:pPr>
            <w:hyperlink w:anchor="page98">
              <w:r>
                <w:rPr>
                  <w:rFonts w:ascii="Arial" w:cs="Arial" w:eastAsia="Arial" w:hAnsi="Arial"/>
                  <w:sz w:val="14"/>
                  <w:szCs w:val="14"/>
                  <w:color w:val="0000FF"/>
                </w:rPr>
                <w:t>Rule 13a-14(a)/15d-14(a) Certifications – Chief Financial Officer.</w:t>
              </w:r>
            </w:hyperlink>
          </w:p>
        </w:tc>
      </w:tr>
      <w:tr>
        <w:trPr>
          <w:trHeight w:val="169"/>
        </w:trPr>
        <w:tc>
          <w:tcPr>
            <w:tcW w:w="2540" w:type="dxa"/>
            <w:vAlign w:val="bottom"/>
          </w:tcPr>
          <w:p>
            <w:pPr>
              <w:spacing w:after="0"/>
              <w:rPr>
                <w:sz w:val="20"/>
                <w:szCs w:val="20"/>
                <w:color w:val="auto"/>
              </w:rPr>
            </w:pPr>
            <w:r>
              <w:rPr>
                <w:rFonts w:ascii="Arial" w:cs="Arial" w:eastAsia="Arial" w:hAnsi="Arial"/>
                <w:sz w:val="14"/>
                <w:szCs w:val="14"/>
                <w:color w:val="auto"/>
              </w:rPr>
              <w:t>Exhibit 32.1.1</w:t>
            </w:r>
          </w:p>
        </w:tc>
        <w:tc>
          <w:tcPr>
            <w:tcW w:w="4100" w:type="dxa"/>
            <w:vAlign w:val="bottom"/>
            <w:tcBorders>
              <w:top w:val="single" w:sz="8" w:color="0000FF"/>
            </w:tcBorders>
            <w:gridSpan w:val="4"/>
          </w:tcPr>
          <w:p>
            <w:pPr>
              <w:spacing w:after="0"/>
              <w:rPr>
                <w:rFonts w:ascii="Arial" w:cs="Arial" w:eastAsia="Arial" w:hAnsi="Arial"/>
                <w:sz w:val="14"/>
                <w:szCs w:val="14"/>
                <w:color w:val="0000FF"/>
              </w:rPr>
            </w:pPr>
            <w:hyperlink w:anchor="page101">
              <w:r>
                <w:rPr>
                  <w:rFonts w:ascii="Arial" w:cs="Arial" w:eastAsia="Arial" w:hAnsi="Arial"/>
                  <w:sz w:val="14"/>
                  <w:szCs w:val="14"/>
                  <w:color w:val="0000FF"/>
                </w:rPr>
                <w:t>Section 1350 Certifications – Chief Executive Officer.</w:t>
              </w:r>
            </w:hyperlink>
          </w:p>
        </w:tc>
        <w:tc>
          <w:tcPr>
            <w:tcW w:w="4520" w:type="dxa"/>
            <w:vAlign w:val="bottom"/>
            <w:gridSpan w:val="6"/>
          </w:tcPr>
          <w:p>
            <w:pPr>
              <w:spacing w:after="0"/>
              <w:rPr>
                <w:sz w:val="14"/>
                <w:szCs w:val="14"/>
                <w:color w:val="auto"/>
              </w:rPr>
            </w:pPr>
          </w:p>
        </w:tc>
      </w:tr>
      <w:tr>
        <w:trPr>
          <w:trHeight w:val="169"/>
        </w:trPr>
        <w:tc>
          <w:tcPr>
            <w:tcW w:w="2540" w:type="dxa"/>
            <w:vAlign w:val="bottom"/>
          </w:tcPr>
          <w:p>
            <w:pPr>
              <w:spacing w:after="0"/>
              <w:rPr>
                <w:sz w:val="20"/>
                <w:szCs w:val="20"/>
                <w:color w:val="auto"/>
              </w:rPr>
            </w:pPr>
            <w:r>
              <w:rPr>
                <w:rFonts w:ascii="Arial" w:cs="Arial" w:eastAsia="Arial" w:hAnsi="Arial"/>
                <w:sz w:val="14"/>
                <w:szCs w:val="14"/>
                <w:color w:val="auto"/>
              </w:rPr>
              <w:t>Exhibit 32.1.2</w:t>
            </w:r>
          </w:p>
        </w:tc>
        <w:tc>
          <w:tcPr>
            <w:tcW w:w="3320" w:type="dxa"/>
            <w:vAlign w:val="bottom"/>
            <w:tcBorders>
              <w:top w:val="single" w:sz="8" w:color="0000FF"/>
              <w:bottom w:val="single" w:sz="8" w:color="0000FF"/>
            </w:tcBorders>
            <w:gridSpan w:val="2"/>
          </w:tcPr>
          <w:p>
            <w:pPr>
              <w:spacing w:after="0"/>
              <w:rPr>
                <w:rFonts w:ascii="Arial" w:cs="Arial" w:eastAsia="Arial" w:hAnsi="Arial"/>
                <w:sz w:val="14"/>
                <w:szCs w:val="14"/>
                <w:color w:val="0000FF"/>
              </w:rPr>
            </w:pPr>
            <w:hyperlink w:anchor="page102">
              <w:r>
                <w:rPr>
                  <w:rFonts w:ascii="Arial" w:cs="Arial" w:eastAsia="Arial" w:hAnsi="Arial"/>
                  <w:sz w:val="14"/>
                  <w:szCs w:val="14"/>
                  <w:color w:val="0000FF"/>
                </w:rPr>
                <w:t>Section 1350 Certifications – Chief Financial Officer.</w:t>
              </w:r>
            </w:hyperlink>
          </w:p>
        </w:tc>
        <w:tc>
          <w:tcPr>
            <w:tcW w:w="40" w:type="dxa"/>
            <w:vAlign w:val="bottom"/>
            <w:tcBorders>
              <w:top w:val="single" w:sz="8" w:color="0000FF"/>
            </w:tcBorders>
          </w:tcPr>
          <w:p>
            <w:pPr>
              <w:spacing w:after="0"/>
              <w:rPr>
                <w:sz w:val="14"/>
                <w:szCs w:val="14"/>
                <w:color w:val="auto"/>
              </w:rPr>
            </w:pPr>
          </w:p>
        </w:tc>
        <w:tc>
          <w:tcPr>
            <w:tcW w:w="5260" w:type="dxa"/>
            <w:vAlign w:val="bottom"/>
            <w:gridSpan w:val="7"/>
          </w:tcPr>
          <w:p>
            <w:pPr>
              <w:spacing w:after="0"/>
              <w:rPr>
                <w:sz w:val="14"/>
                <w:szCs w:val="14"/>
                <w:color w:val="auto"/>
              </w:rPr>
            </w:pPr>
          </w:p>
        </w:tc>
      </w:tr>
      <w:tr>
        <w:trPr>
          <w:trHeight w:val="160"/>
        </w:trPr>
        <w:tc>
          <w:tcPr>
            <w:tcW w:w="2540" w:type="dxa"/>
            <w:vAlign w:val="bottom"/>
          </w:tcPr>
          <w:p>
            <w:pPr>
              <w:spacing w:after="0"/>
              <w:rPr>
                <w:sz w:val="20"/>
                <w:szCs w:val="20"/>
                <w:color w:val="auto"/>
              </w:rPr>
            </w:pPr>
            <w:r>
              <w:rPr>
                <w:rFonts w:ascii="Arial" w:cs="Arial" w:eastAsia="Arial" w:hAnsi="Arial"/>
                <w:sz w:val="14"/>
                <w:szCs w:val="14"/>
                <w:color w:val="auto"/>
              </w:rPr>
              <w:t>Exhibit 101.INS</w:t>
            </w:r>
          </w:p>
        </w:tc>
        <w:tc>
          <w:tcPr>
            <w:tcW w:w="8620" w:type="dxa"/>
            <w:vAlign w:val="bottom"/>
            <w:gridSpan w:val="10"/>
          </w:tcPr>
          <w:p>
            <w:pPr>
              <w:spacing w:after="0"/>
              <w:rPr>
                <w:sz w:val="20"/>
                <w:szCs w:val="20"/>
                <w:color w:val="auto"/>
              </w:rPr>
            </w:pPr>
            <w:r>
              <w:rPr>
                <w:rFonts w:ascii="Arial" w:cs="Arial" w:eastAsia="Arial" w:hAnsi="Arial"/>
                <w:sz w:val="14"/>
                <w:szCs w:val="14"/>
                <w:color w:val="auto"/>
              </w:rPr>
              <w:t>XBRL Instance Document - the instance document does not appear in the Interactive Data File because its XBRL tags are embedded</w:t>
            </w:r>
          </w:p>
        </w:tc>
      </w:tr>
      <w:tr>
        <w:trPr>
          <w:trHeight w:val="172"/>
        </w:trPr>
        <w:tc>
          <w:tcPr>
            <w:tcW w:w="2540" w:type="dxa"/>
            <w:vAlign w:val="bottom"/>
          </w:tcPr>
          <w:p>
            <w:pPr>
              <w:spacing w:after="0"/>
              <w:rPr>
                <w:sz w:val="14"/>
                <w:szCs w:val="14"/>
                <w:color w:val="auto"/>
              </w:rPr>
            </w:pPr>
          </w:p>
        </w:tc>
        <w:tc>
          <w:tcPr>
            <w:tcW w:w="8620" w:type="dxa"/>
            <w:vAlign w:val="bottom"/>
            <w:gridSpan w:val="10"/>
          </w:tcPr>
          <w:p>
            <w:pPr>
              <w:spacing w:after="0"/>
              <w:rPr>
                <w:sz w:val="20"/>
                <w:szCs w:val="20"/>
                <w:color w:val="auto"/>
              </w:rPr>
            </w:pPr>
            <w:r>
              <w:rPr>
                <w:rFonts w:ascii="Arial" w:cs="Arial" w:eastAsia="Arial" w:hAnsi="Arial"/>
                <w:sz w:val="14"/>
                <w:szCs w:val="14"/>
                <w:color w:val="auto"/>
              </w:rPr>
              <w:t>within the Inline XBRL document.</w:t>
            </w:r>
          </w:p>
        </w:tc>
      </w:tr>
      <w:tr>
        <w:trPr>
          <w:trHeight w:val="189"/>
        </w:trPr>
        <w:tc>
          <w:tcPr>
            <w:tcW w:w="2540" w:type="dxa"/>
            <w:vAlign w:val="bottom"/>
          </w:tcPr>
          <w:p>
            <w:pPr>
              <w:spacing w:after="0"/>
              <w:rPr>
                <w:sz w:val="20"/>
                <w:szCs w:val="20"/>
                <w:color w:val="auto"/>
              </w:rPr>
            </w:pPr>
            <w:r>
              <w:rPr>
                <w:rFonts w:ascii="Arial" w:cs="Arial" w:eastAsia="Arial" w:hAnsi="Arial"/>
                <w:sz w:val="14"/>
                <w:szCs w:val="14"/>
                <w:color w:val="auto"/>
              </w:rPr>
              <w:t>Exhibit 101.SCH</w:t>
            </w:r>
          </w:p>
        </w:tc>
        <w:tc>
          <w:tcPr>
            <w:tcW w:w="8620" w:type="dxa"/>
            <w:vAlign w:val="bottom"/>
            <w:gridSpan w:val="10"/>
          </w:tcPr>
          <w:p>
            <w:pPr>
              <w:spacing w:after="0"/>
              <w:rPr>
                <w:sz w:val="20"/>
                <w:szCs w:val="20"/>
                <w:color w:val="auto"/>
              </w:rPr>
            </w:pPr>
            <w:r>
              <w:rPr>
                <w:rFonts w:ascii="Arial" w:cs="Arial" w:eastAsia="Arial" w:hAnsi="Arial"/>
                <w:sz w:val="14"/>
                <w:szCs w:val="14"/>
                <w:color w:val="auto"/>
              </w:rPr>
              <w:t>XBRL Taxonomy Extension Schema.</w:t>
            </w:r>
          </w:p>
        </w:tc>
      </w:tr>
      <w:tr>
        <w:trPr>
          <w:trHeight w:val="189"/>
        </w:trPr>
        <w:tc>
          <w:tcPr>
            <w:tcW w:w="2540" w:type="dxa"/>
            <w:vAlign w:val="bottom"/>
          </w:tcPr>
          <w:p>
            <w:pPr>
              <w:spacing w:after="0"/>
              <w:rPr>
                <w:sz w:val="20"/>
                <w:szCs w:val="20"/>
                <w:color w:val="auto"/>
              </w:rPr>
            </w:pPr>
            <w:r>
              <w:rPr>
                <w:rFonts w:ascii="Arial" w:cs="Arial" w:eastAsia="Arial" w:hAnsi="Arial"/>
                <w:sz w:val="14"/>
                <w:szCs w:val="14"/>
                <w:color w:val="auto"/>
              </w:rPr>
              <w:t>Exhibit 101.CAL</w:t>
            </w:r>
          </w:p>
        </w:tc>
        <w:tc>
          <w:tcPr>
            <w:tcW w:w="8620" w:type="dxa"/>
            <w:vAlign w:val="bottom"/>
            <w:gridSpan w:val="10"/>
          </w:tcPr>
          <w:p>
            <w:pPr>
              <w:spacing w:after="0"/>
              <w:rPr>
                <w:sz w:val="20"/>
                <w:szCs w:val="20"/>
                <w:color w:val="auto"/>
              </w:rPr>
            </w:pPr>
            <w:r>
              <w:rPr>
                <w:rFonts w:ascii="Arial" w:cs="Arial" w:eastAsia="Arial" w:hAnsi="Arial"/>
                <w:sz w:val="14"/>
                <w:szCs w:val="14"/>
                <w:color w:val="auto"/>
              </w:rPr>
              <w:t>XBRL Taxonomy Extension Calculation Linkbase.</w:t>
            </w:r>
          </w:p>
        </w:tc>
      </w:tr>
      <w:tr>
        <w:trPr>
          <w:trHeight w:val="189"/>
        </w:trPr>
        <w:tc>
          <w:tcPr>
            <w:tcW w:w="2540" w:type="dxa"/>
            <w:vAlign w:val="bottom"/>
          </w:tcPr>
          <w:p>
            <w:pPr>
              <w:spacing w:after="0"/>
              <w:rPr>
                <w:sz w:val="20"/>
                <w:szCs w:val="20"/>
                <w:color w:val="auto"/>
              </w:rPr>
            </w:pPr>
            <w:r>
              <w:rPr>
                <w:rFonts w:ascii="Arial" w:cs="Arial" w:eastAsia="Arial" w:hAnsi="Arial"/>
                <w:sz w:val="14"/>
                <w:szCs w:val="14"/>
                <w:color w:val="auto"/>
              </w:rPr>
              <w:t>Exhibit 101.DEF</w:t>
            </w:r>
          </w:p>
        </w:tc>
        <w:tc>
          <w:tcPr>
            <w:tcW w:w="8620" w:type="dxa"/>
            <w:vAlign w:val="bottom"/>
            <w:gridSpan w:val="10"/>
          </w:tcPr>
          <w:p>
            <w:pPr>
              <w:spacing w:after="0"/>
              <w:rPr>
                <w:sz w:val="20"/>
                <w:szCs w:val="20"/>
                <w:color w:val="auto"/>
              </w:rPr>
            </w:pPr>
            <w:r>
              <w:rPr>
                <w:rFonts w:ascii="Arial" w:cs="Arial" w:eastAsia="Arial" w:hAnsi="Arial"/>
                <w:sz w:val="14"/>
                <w:szCs w:val="14"/>
                <w:color w:val="auto"/>
              </w:rPr>
              <w:t>XBRL Taxonomy Extension Definition Linkbase.</w:t>
            </w:r>
          </w:p>
        </w:tc>
      </w:tr>
      <w:tr>
        <w:trPr>
          <w:trHeight w:val="189"/>
        </w:trPr>
        <w:tc>
          <w:tcPr>
            <w:tcW w:w="2540" w:type="dxa"/>
            <w:vAlign w:val="bottom"/>
          </w:tcPr>
          <w:p>
            <w:pPr>
              <w:spacing w:after="0"/>
              <w:rPr>
                <w:sz w:val="20"/>
                <w:szCs w:val="20"/>
                <w:color w:val="auto"/>
              </w:rPr>
            </w:pPr>
            <w:r>
              <w:rPr>
                <w:rFonts w:ascii="Arial" w:cs="Arial" w:eastAsia="Arial" w:hAnsi="Arial"/>
                <w:sz w:val="14"/>
                <w:szCs w:val="14"/>
                <w:color w:val="auto"/>
              </w:rPr>
              <w:t>Exhibit 101.LAB</w:t>
            </w:r>
          </w:p>
        </w:tc>
        <w:tc>
          <w:tcPr>
            <w:tcW w:w="8620" w:type="dxa"/>
            <w:vAlign w:val="bottom"/>
            <w:gridSpan w:val="10"/>
          </w:tcPr>
          <w:p>
            <w:pPr>
              <w:spacing w:after="0"/>
              <w:rPr>
                <w:sz w:val="20"/>
                <w:szCs w:val="20"/>
                <w:color w:val="auto"/>
              </w:rPr>
            </w:pPr>
            <w:r>
              <w:rPr>
                <w:rFonts w:ascii="Arial" w:cs="Arial" w:eastAsia="Arial" w:hAnsi="Arial"/>
                <w:sz w:val="14"/>
                <w:szCs w:val="14"/>
                <w:color w:val="auto"/>
              </w:rPr>
              <w:t>XBRL Taxonomy Extension Label Linkbase.</w:t>
            </w:r>
          </w:p>
        </w:tc>
      </w:tr>
      <w:tr>
        <w:trPr>
          <w:trHeight w:val="189"/>
        </w:trPr>
        <w:tc>
          <w:tcPr>
            <w:tcW w:w="2540" w:type="dxa"/>
            <w:vAlign w:val="bottom"/>
          </w:tcPr>
          <w:p>
            <w:pPr>
              <w:spacing w:after="0"/>
              <w:rPr>
                <w:sz w:val="20"/>
                <w:szCs w:val="20"/>
                <w:color w:val="auto"/>
              </w:rPr>
            </w:pPr>
            <w:r>
              <w:rPr>
                <w:rFonts w:ascii="Arial" w:cs="Arial" w:eastAsia="Arial" w:hAnsi="Arial"/>
                <w:sz w:val="14"/>
                <w:szCs w:val="14"/>
                <w:color w:val="auto"/>
              </w:rPr>
              <w:t>Exhibit 101.PRE</w:t>
            </w:r>
          </w:p>
        </w:tc>
        <w:tc>
          <w:tcPr>
            <w:tcW w:w="8620" w:type="dxa"/>
            <w:vAlign w:val="bottom"/>
            <w:gridSpan w:val="10"/>
          </w:tcPr>
          <w:p>
            <w:pPr>
              <w:spacing w:after="0"/>
              <w:rPr>
                <w:sz w:val="20"/>
                <w:szCs w:val="20"/>
                <w:color w:val="auto"/>
              </w:rPr>
            </w:pPr>
            <w:r>
              <w:rPr>
                <w:rFonts w:ascii="Arial" w:cs="Arial" w:eastAsia="Arial" w:hAnsi="Arial"/>
                <w:sz w:val="14"/>
                <w:szCs w:val="14"/>
                <w:color w:val="auto"/>
              </w:rPr>
              <w:t>XBRL Taxonomy Extension Presentation Linkbase.</w:t>
            </w:r>
          </w:p>
        </w:tc>
      </w:tr>
      <w:tr>
        <w:trPr>
          <w:trHeight w:val="189"/>
        </w:trPr>
        <w:tc>
          <w:tcPr>
            <w:tcW w:w="2540" w:type="dxa"/>
            <w:vAlign w:val="bottom"/>
          </w:tcPr>
          <w:p>
            <w:pPr>
              <w:spacing w:after="0"/>
              <w:rPr>
                <w:sz w:val="20"/>
                <w:szCs w:val="20"/>
                <w:color w:val="auto"/>
              </w:rPr>
            </w:pPr>
            <w:r>
              <w:rPr>
                <w:rFonts w:ascii="Arial" w:cs="Arial" w:eastAsia="Arial" w:hAnsi="Arial"/>
                <w:sz w:val="14"/>
                <w:szCs w:val="14"/>
                <w:color w:val="auto"/>
              </w:rPr>
              <w:t>Exhibit 104</w:t>
            </w:r>
          </w:p>
        </w:tc>
        <w:tc>
          <w:tcPr>
            <w:tcW w:w="8620" w:type="dxa"/>
            <w:vAlign w:val="bottom"/>
            <w:gridSpan w:val="10"/>
          </w:tcPr>
          <w:p>
            <w:pPr>
              <w:spacing w:after="0"/>
              <w:rPr>
                <w:sz w:val="20"/>
                <w:szCs w:val="20"/>
                <w:color w:val="auto"/>
              </w:rPr>
            </w:pPr>
            <w:r>
              <w:rPr>
                <w:rFonts w:ascii="Arial" w:cs="Arial" w:eastAsia="Arial" w:hAnsi="Arial"/>
                <w:sz w:val="14"/>
                <w:szCs w:val="14"/>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CECONY</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40" w:type="dxa"/>
            <w:vAlign w:val="bottom"/>
          </w:tcPr>
          <w:p>
            <w:pPr>
              <w:spacing w:after="0"/>
              <w:rPr>
                <w:sz w:val="20"/>
                <w:szCs w:val="20"/>
                <w:color w:val="auto"/>
              </w:rPr>
            </w:pPr>
            <w:r>
              <w:rPr>
                <w:rFonts w:ascii="Arial" w:cs="Arial" w:eastAsia="Arial" w:hAnsi="Arial"/>
                <w:sz w:val="14"/>
                <w:szCs w:val="14"/>
                <w:color w:val="auto"/>
              </w:rPr>
              <w:t>Exhibit 3.2</w:t>
            </w:r>
          </w:p>
        </w:tc>
        <w:tc>
          <w:tcPr>
            <w:tcW w:w="8480" w:type="dxa"/>
            <w:vAlign w:val="bottom"/>
            <w:gridSpan w:val="6"/>
          </w:tcPr>
          <w:p>
            <w:pPr>
              <w:spacing w:after="0"/>
              <w:rPr>
                <w:rFonts w:ascii="Arial" w:cs="Arial" w:eastAsia="Arial" w:hAnsi="Arial"/>
                <w:sz w:val="14"/>
                <w:szCs w:val="14"/>
                <w:color w:val="0000FF"/>
              </w:rPr>
            </w:pPr>
            <w:hyperlink w:anchor="page90">
              <w:r>
                <w:rPr>
                  <w:rFonts w:ascii="Arial" w:cs="Arial" w:eastAsia="Arial" w:hAnsi="Arial"/>
                  <w:sz w:val="14"/>
                  <w:szCs w:val="14"/>
                  <w:color w:val="0000FF"/>
                </w:rPr>
                <w:t>By-laws of Consolidated Edison Company of New York, Inc., effective as of May 17, 2021.</w:t>
              </w:r>
            </w:hyperlink>
          </w:p>
        </w:tc>
      </w:tr>
      <w:tr>
        <w:trPr>
          <w:trHeight w:val="169"/>
        </w:trPr>
        <w:tc>
          <w:tcPr>
            <w:tcW w:w="2540" w:type="dxa"/>
            <w:vAlign w:val="bottom"/>
          </w:tcPr>
          <w:p>
            <w:pPr>
              <w:spacing w:after="0"/>
              <w:rPr>
                <w:sz w:val="20"/>
                <w:szCs w:val="20"/>
                <w:color w:val="auto"/>
              </w:rPr>
            </w:pPr>
            <w:r>
              <w:rPr>
                <w:rFonts w:ascii="Arial" w:cs="Arial" w:eastAsia="Arial" w:hAnsi="Arial"/>
                <w:sz w:val="14"/>
                <w:szCs w:val="14"/>
                <w:color w:val="auto"/>
              </w:rPr>
              <w:t>Exhibit 31.2.1</w:t>
            </w:r>
          </w:p>
        </w:tc>
        <w:tc>
          <w:tcPr>
            <w:tcW w:w="4160" w:type="dxa"/>
            <w:vAlign w:val="bottom"/>
            <w:tcBorders>
              <w:top w:val="single" w:sz="8" w:color="0000FF"/>
              <w:bottom w:val="single" w:sz="8" w:color="0000FF"/>
            </w:tcBorders>
            <w:gridSpan w:val="4"/>
          </w:tcPr>
          <w:p>
            <w:pPr>
              <w:spacing w:after="0"/>
              <w:rPr>
                <w:rFonts w:ascii="Arial" w:cs="Arial" w:eastAsia="Arial" w:hAnsi="Arial"/>
                <w:sz w:val="14"/>
                <w:szCs w:val="14"/>
                <w:color w:val="0000FF"/>
              </w:rPr>
            </w:pPr>
            <w:hyperlink w:anchor="page99">
              <w:r>
                <w:rPr>
                  <w:rFonts w:ascii="Arial" w:cs="Arial" w:eastAsia="Arial" w:hAnsi="Arial"/>
                  <w:sz w:val="14"/>
                  <w:szCs w:val="14"/>
                  <w:color w:val="0000FF"/>
                </w:rPr>
                <w:t>Rule 13a-14(a)/15d-14(a) Certifications – Chief Executive Officer.</w:t>
              </w:r>
            </w:hyperlink>
          </w:p>
        </w:tc>
        <w:tc>
          <w:tcPr>
            <w:tcW w:w="1560" w:type="dxa"/>
            <w:vAlign w:val="bottom"/>
            <w:tcBorders>
              <w:top w:val="single" w:sz="8" w:color="0000FF"/>
            </w:tcBorders>
          </w:tcPr>
          <w:p>
            <w:pPr>
              <w:spacing w:after="0"/>
              <w:rPr>
                <w:sz w:val="14"/>
                <w:szCs w:val="14"/>
                <w:color w:val="auto"/>
              </w:rPr>
            </w:pPr>
          </w:p>
        </w:tc>
        <w:tc>
          <w:tcPr>
            <w:tcW w:w="2760" w:type="dxa"/>
            <w:vAlign w:val="bottom"/>
          </w:tcPr>
          <w:p>
            <w:pPr>
              <w:spacing w:after="0"/>
              <w:rPr>
                <w:sz w:val="14"/>
                <w:szCs w:val="14"/>
                <w:color w:val="auto"/>
              </w:rPr>
            </w:pPr>
          </w:p>
        </w:tc>
      </w:tr>
      <w:tr>
        <w:trPr>
          <w:trHeight w:val="169"/>
        </w:trPr>
        <w:tc>
          <w:tcPr>
            <w:tcW w:w="2540" w:type="dxa"/>
            <w:vAlign w:val="bottom"/>
          </w:tcPr>
          <w:p>
            <w:pPr>
              <w:spacing w:after="0"/>
              <w:rPr>
                <w:sz w:val="20"/>
                <w:szCs w:val="20"/>
                <w:color w:val="auto"/>
              </w:rPr>
            </w:pPr>
            <w:r>
              <w:rPr>
                <w:rFonts w:ascii="Arial" w:cs="Arial" w:eastAsia="Arial" w:hAnsi="Arial"/>
                <w:sz w:val="14"/>
                <w:szCs w:val="14"/>
                <w:color w:val="auto"/>
              </w:rPr>
              <w:t>Exhibit 31.2.2</w:t>
            </w:r>
          </w:p>
        </w:tc>
        <w:tc>
          <w:tcPr>
            <w:tcW w:w="8480" w:type="dxa"/>
            <w:vAlign w:val="bottom"/>
            <w:gridSpan w:val="6"/>
          </w:tcPr>
          <w:p>
            <w:pPr>
              <w:spacing w:after="0"/>
              <w:rPr>
                <w:rFonts w:ascii="Arial" w:cs="Arial" w:eastAsia="Arial" w:hAnsi="Arial"/>
                <w:sz w:val="14"/>
                <w:szCs w:val="14"/>
                <w:color w:val="0000FF"/>
              </w:rPr>
            </w:pPr>
            <w:hyperlink w:anchor="page100">
              <w:r>
                <w:rPr>
                  <w:rFonts w:ascii="Arial" w:cs="Arial" w:eastAsia="Arial" w:hAnsi="Arial"/>
                  <w:sz w:val="14"/>
                  <w:szCs w:val="14"/>
                  <w:color w:val="0000FF"/>
                </w:rPr>
                <w:t>Rule 13a-14(a)/15d-14(a) Certifications – Chief Financial Officer.</w:t>
              </w:r>
            </w:hyperlink>
          </w:p>
        </w:tc>
      </w:tr>
      <w:tr>
        <w:trPr>
          <w:trHeight w:val="169"/>
        </w:trPr>
        <w:tc>
          <w:tcPr>
            <w:tcW w:w="2540" w:type="dxa"/>
            <w:vAlign w:val="bottom"/>
          </w:tcPr>
          <w:p>
            <w:pPr>
              <w:spacing w:after="0"/>
              <w:rPr>
                <w:sz w:val="20"/>
                <w:szCs w:val="20"/>
                <w:color w:val="auto"/>
              </w:rPr>
            </w:pPr>
            <w:r>
              <w:rPr>
                <w:rFonts w:ascii="Arial" w:cs="Arial" w:eastAsia="Arial" w:hAnsi="Arial"/>
                <w:sz w:val="14"/>
                <w:szCs w:val="14"/>
                <w:color w:val="auto"/>
              </w:rPr>
              <w:t>Exhibit 32.2.1</w:t>
            </w:r>
          </w:p>
        </w:tc>
        <w:tc>
          <w:tcPr>
            <w:tcW w:w="4100" w:type="dxa"/>
            <w:vAlign w:val="bottom"/>
            <w:tcBorders>
              <w:top w:val="single" w:sz="8" w:color="0000FF"/>
            </w:tcBorders>
            <w:gridSpan w:val="3"/>
          </w:tcPr>
          <w:p>
            <w:pPr>
              <w:spacing w:after="0"/>
              <w:rPr>
                <w:rFonts w:ascii="Arial" w:cs="Arial" w:eastAsia="Arial" w:hAnsi="Arial"/>
                <w:sz w:val="14"/>
                <w:szCs w:val="14"/>
                <w:color w:val="0000FF"/>
              </w:rPr>
            </w:pPr>
            <w:hyperlink w:anchor="page103">
              <w:r>
                <w:rPr>
                  <w:rFonts w:ascii="Arial" w:cs="Arial" w:eastAsia="Arial" w:hAnsi="Arial"/>
                  <w:sz w:val="14"/>
                  <w:szCs w:val="14"/>
                  <w:color w:val="0000FF"/>
                </w:rPr>
                <w:t>Section 1350 Certifications – Chief Executive Officer.</w:t>
              </w:r>
            </w:hyperlink>
          </w:p>
        </w:tc>
        <w:tc>
          <w:tcPr>
            <w:tcW w:w="4380" w:type="dxa"/>
            <w:vAlign w:val="bottom"/>
            <w:gridSpan w:val="3"/>
          </w:tcPr>
          <w:p>
            <w:pPr>
              <w:spacing w:after="0"/>
              <w:rPr>
                <w:sz w:val="14"/>
                <w:szCs w:val="14"/>
                <w:color w:val="auto"/>
              </w:rPr>
            </w:pPr>
          </w:p>
        </w:tc>
      </w:tr>
      <w:tr>
        <w:trPr>
          <w:trHeight w:val="169"/>
        </w:trPr>
        <w:tc>
          <w:tcPr>
            <w:tcW w:w="2540" w:type="dxa"/>
            <w:vAlign w:val="bottom"/>
          </w:tcPr>
          <w:p>
            <w:pPr>
              <w:spacing w:after="0"/>
              <w:rPr>
                <w:sz w:val="20"/>
                <w:szCs w:val="20"/>
                <w:color w:val="auto"/>
              </w:rPr>
            </w:pPr>
            <w:r>
              <w:rPr>
                <w:rFonts w:ascii="Arial" w:cs="Arial" w:eastAsia="Arial" w:hAnsi="Arial"/>
                <w:sz w:val="14"/>
                <w:szCs w:val="14"/>
                <w:color w:val="auto"/>
              </w:rPr>
              <w:t>Exhibit 32.2.2</w:t>
            </w:r>
          </w:p>
        </w:tc>
        <w:tc>
          <w:tcPr>
            <w:tcW w:w="3320" w:type="dxa"/>
            <w:vAlign w:val="bottom"/>
            <w:tcBorders>
              <w:top w:val="single" w:sz="8" w:color="0000FF"/>
              <w:bottom w:val="single" w:sz="8" w:color="0000FF"/>
            </w:tcBorders>
          </w:tcPr>
          <w:p>
            <w:pPr>
              <w:spacing w:after="0"/>
              <w:rPr>
                <w:rFonts w:ascii="Arial" w:cs="Arial" w:eastAsia="Arial" w:hAnsi="Arial"/>
                <w:sz w:val="14"/>
                <w:szCs w:val="14"/>
                <w:color w:val="0000FF"/>
              </w:rPr>
            </w:pPr>
            <w:hyperlink w:anchor="page104">
              <w:r>
                <w:rPr>
                  <w:rFonts w:ascii="Arial" w:cs="Arial" w:eastAsia="Arial" w:hAnsi="Arial"/>
                  <w:sz w:val="14"/>
                  <w:szCs w:val="14"/>
                  <w:color w:val="0000FF"/>
                </w:rPr>
                <w:t>Section 1350 Certifications – Chief Financial Officer.</w:t>
              </w:r>
            </w:hyperlink>
          </w:p>
        </w:tc>
        <w:tc>
          <w:tcPr>
            <w:tcW w:w="40" w:type="dxa"/>
            <w:vAlign w:val="bottom"/>
            <w:tcBorders>
              <w:top w:val="single" w:sz="8" w:color="0000FF"/>
            </w:tcBorders>
          </w:tcPr>
          <w:p>
            <w:pPr>
              <w:spacing w:after="0"/>
              <w:rPr>
                <w:sz w:val="14"/>
                <w:szCs w:val="14"/>
                <w:color w:val="auto"/>
              </w:rPr>
            </w:pPr>
          </w:p>
        </w:tc>
        <w:tc>
          <w:tcPr>
            <w:tcW w:w="5120" w:type="dxa"/>
            <w:vAlign w:val="bottom"/>
            <w:gridSpan w:val="4"/>
          </w:tcPr>
          <w:p>
            <w:pPr>
              <w:spacing w:after="0"/>
              <w:rPr>
                <w:sz w:val="14"/>
                <w:szCs w:val="14"/>
                <w:color w:val="auto"/>
              </w:rPr>
            </w:pPr>
          </w:p>
        </w:tc>
      </w:tr>
      <w:tr>
        <w:trPr>
          <w:trHeight w:val="160"/>
        </w:trPr>
        <w:tc>
          <w:tcPr>
            <w:tcW w:w="2540" w:type="dxa"/>
            <w:vAlign w:val="bottom"/>
          </w:tcPr>
          <w:p>
            <w:pPr>
              <w:spacing w:after="0"/>
              <w:rPr>
                <w:sz w:val="20"/>
                <w:szCs w:val="20"/>
                <w:color w:val="auto"/>
              </w:rPr>
            </w:pPr>
            <w:r>
              <w:rPr>
                <w:rFonts w:ascii="Arial" w:cs="Arial" w:eastAsia="Arial" w:hAnsi="Arial"/>
                <w:sz w:val="14"/>
                <w:szCs w:val="14"/>
                <w:color w:val="auto"/>
              </w:rPr>
              <w:t>Exhibit 101.INS</w:t>
            </w:r>
          </w:p>
        </w:tc>
        <w:tc>
          <w:tcPr>
            <w:tcW w:w="8480" w:type="dxa"/>
            <w:vAlign w:val="bottom"/>
            <w:gridSpan w:val="6"/>
          </w:tcPr>
          <w:p>
            <w:pPr>
              <w:spacing w:after="0"/>
              <w:rPr>
                <w:sz w:val="20"/>
                <w:szCs w:val="20"/>
                <w:color w:val="auto"/>
              </w:rPr>
            </w:pPr>
            <w:r>
              <w:rPr>
                <w:rFonts w:ascii="Arial" w:cs="Arial" w:eastAsia="Arial" w:hAnsi="Arial"/>
                <w:sz w:val="14"/>
                <w:szCs w:val="14"/>
                <w:color w:val="auto"/>
              </w:rPr>
              <w:t>XBRL Instance Document - the instance document does not appear in the Interactive Data File because its XBRL tags are embedded</w:t>
            </w:r>
          </w:p>
        </w:tc>
      </w:tr>
      <w:tr>
        <w:trPr>
          <w:trHeight w:val="172"/>
        </w:trPr>
        <w:tc>
          <w:tcPr>
            <w:tcW w:w="2540" w:type="dxa"/>
            <w:vAlign w:val="bottom"/>
          </w:tcPr>
          <w:p>
            <w:pPr>
              <w:spacing w:after="0"/>
              <w:rPr>
                <w:sz w:val="14"/>
                <w:szCs w:val="14"/>
                <w:color w:val="auto"/>
              </w:rPr>
            </w:pPr>
          </w:p>
        </w:tc>
        <w:tc>
          <w:tcPr>
            <w:tcW w:w="8480" w:type="dxa"/>
            <w:vAlign w:val="bottom"/>
            <w:gridSpan w:val="6"/>
          </w:tcPr>
          <w:p>
            <w:pPr>
              <w:spacing w:after="0"/>
              <w:rPr>
                <w:sz w:val="20"/>
                <w:szCs w:val="20"/>
                <w:color w:val="auto"/>
              </w:rPr>
            </w:pPr>
            <w:r>
              <w:rPr>
                <w:rFonts w:ascii="Arial" w:cs="Arial" w:eastAsia="Arial" w:hAnsi="Arial"/>
                <w:sz w:val="14"/>
                <w:szCs w:val="14"/>
                <w:color w:val="auto"/>
              </w:rPr>
              <w:t>within the Inline XBRL document.</w:t>
            </w:r>
          </w:p>
        </w:tc>
      </w:tr>
      <w:tr>
        <w:trPr>
          <w:trHeight w:val="189"/>
        </w:trPr>
        <w:tc>
          <w:tcPr>
            <w:tcW w:w="2540" w:type="dxa"/>
            <w:vAlign w:val="bottom"/>
          </w:tcPr>
          <w:p>
            <w:pPr>
              <w:spacing w:after="0"/>
              <w:rPr>
                <w:sz w:val="20"/>
                <w:szCs w:val="20"/>
                <w:color w:val="auto"/>
              </w:rPr>
            </w:pPr>
            <w:r>
              <w:rPr>
                <w:rFonts w:ascii="Arial" w:cs="Arial" w:eastAsia="Arial" w:hAnsi="Arial"/>
                <w:sz w:val="14"/>
                <w:szCs w:val="14"/>
                <w:color w:val="auto"/>
              </w:rPr>
              <w:t>Exhibit 101.SCH</w:t>
            </w:r>
          </w:p>
        </w:tc>
        <w:tc>
          <w:tcPr>
            <w:tcW w:w="8480" w:type="dxa"/>
            <w:vAlign w:val="bottom"/>
            <w:gridSpan w:val="6"/>
          </w:tcPr>
          <w:p>
            <w:pPr>
              <w:spacing w:after="0"/>
              <w:rPr>
                <w:sz w:val="20"/>
                <w:szCs w:val="20"/>
                <w:color w:val="auto"/>
              </w:rPr>
            </w:pPr>
            <w:r>
              <w:rPr>
                <w:rFonts w:ascii="Arial" w:cs="Arial" w:eastAsia="Arial" w:hAnsi="Arial"/>
                <w:sz w:val="14"/>
                <w:szCs w:val="14"/>
                <w:color w:val="auto"/>
              </w:rPr>
              <w:t>XBRL Taxonomy Extension Schema.</w:t>
            </w:r>
          </w:p>
        </w:tc>
      </w:tr>
      <w:tr>
        <w:trPr>
          <w:trHeight w:val="189"/>
        </w:trPr>
        <w:tc>
          <w:tcPr>
            <w:tcW w:w="2540" w:type="dxa"/>
            <w:vAlign w:val="bottom"/>
          </w:tcPr>
          <w:p>
            <w:pPr>
              <w:spacing w:after="0"/>
              <w:rPr>
                <w:sz w:val="20"/>
                <w:szCs w:val="20"/>
                <w:color w:val="auto"/>
              </w:rPr>
            </w:pPr>
            <w:r>
              <w:rPr>
                <w:rFonts w:ascii="Arial" w:cs="Arial" w:eastAsia="Arial" w:hAnsi="Arial"/>
                <w:sz w:val="14"/>
                <w:szCs w:val="14"/>
                <w:color w:val="auto"/>
              </w:rPr>
              <w:t>Exhibit 101.CAL</w:t>
            </w:r>
          </w:p>
        </w:tc>
        <w:tc>
          <w:tcPr>
            <w:tcW w:w="8480" w:type="dxa"/>
            <w:vAlign w:val="bottom"/>
            <w:gridSpan w:val="6"/>
          </w:tcPr>
          <w:p>
            <w:pPr>
              <w:spacing w:after="0"/>
              <w:rPr>
                <w:sz w:val="20"/>
                <w:szCs w:val="20"/>
                <w:color w:val="auto"/>
              </w:rPr>
            </w:pPr>
            <w:r>
              <w:rPr>
                <w:rFonts w:ascii="Arial" w:cs="Arial" w:eastAsia="Arial" w:hAnsi="Arial"/>
                <w:sz w:val="14"/>
                <w:szCs w:val="14"/>
                <w:color w:val="auto"/>
              </w:rPr>
              <w:t>XBRL Taxonomy Extension Calculation Linkbase.</w:t>
            </w:r>
          </w:p>
        </w:tc>
      </w:tr>
      <w:tr>
        <w:trPr>
          <w:trHeight w:val="189"/>
        </w:trPr>
        <w:tc>
          <w:tcPr>
            <w:tcW w:w="2540" w:type="dxa"/>
            <w:vAlign w:val="bottom"/>
          </w:tcPr>
          <w:p>
            <w:pPr>
              <w:spacing w:after="0"/>
              <w:rPr>
                <w:sz w:val="20"/>
                <w:szCs w:val="20"/>
                <w:color w:val="auto"/>
              </w:rPr>
            </w:pPr>
            <w:r>
              <w:rPr>
                <w:rFonts w:ascii="Arial" w:cs="Arial" w:eastAsia="Arial" w:hAnsi="Arial"/>
                <w:sz w:val="14"/>
                <w:szCs w:val="14"/>
                <w:color w:val="auto"/>
              </w:rPr>
              <w:t>Exhibit 101.DEF</w:t>
            </w:r>
          </w:p>
        </w:tc>
        <w:tc>
          <w:tcPr>
            <w:tcW w:w="8480" w:type="dxa"/>
            <w:vAlign w:val="bottom"/>
            <w:gridSpan w:val="6"/>
          </w:tcPr>
          <w:p>
            <w:pPr>
              <w:spacing w:after="0"/>
              <w:rPr>
                <w:sz w:val="20"/>
                <w:szCs w:val="20"/>
                <w:color w:val="auto"/>
              </w:rPr>
            </w:pPr>
            <w:r>
              <w:rPr>
                <w:rFonts w:ascii="Arial" w:cs="Arial" w:eastAsia="Arial" w:hAnsi="Arial"/>
                <w:sz w:val="14"/>
                <w:szCs w:val="14"/>
                <w:color w:val="auto"/>
              </w:rPr>
              <w:t>XBRL Taxonomy Extension Definition Linkbase.</w:t>
            </w:r>
          </w:p>
        </w:tc>
      </w:tr>
      <w:tr>
        <w:trPr>
          <w:trHeight w:val="189"/>
        </w:trPr>
        <w:tc>
          <w:tcPr>
            <w:tcW w:w="2540" w:type="dxa"/>
            <w:vAlign w:val="bottom"/>
          </w:tcPr>
          <w:p>
            <w:pPr>
              <w:spacing w:after="0"/>
              <w:rPr>
                <w:sz w:val="20"/>
                <w:szCs w:val="20"/>
                <w:color w:val="auto"/>
              </w:rPr>
            </w:pPr>
            <w:r>
              <w:rPr>
                <w:rFonts w:ascii="Arial" w:cs="Arial" w:eastAsia="Arial" w:hAnsi="Arial"/>
                <w:sz w:val="14"/>
                <w:szCs w:val="14"/>
                <w:color w:val="auto"/>
              </w:rPr>
              <w:t>Exhibit 101.LAB</w:t>
            </w:r>
          </w:p>
        </w:tc>
        <w:tc>
          <w:tcPr>
            <w:tcW w:w="8480" w:type="dxa"/>
            <w:vAlign w:val="bottom"/>
            <w:gridSpan w:val="6"/>
          </w:tcPr>
          <w:p>
            <w:pPr>
              <w:spacing w:after="0"/>
              <w:rPr>
                <w:sz w:val="20"/>
                <w:szCs w:val="20"/>
                <w:color w:val="auto"/>
              </w:rPr>
            </w:pPr>
            <w:r>
              <w:rPr>
                <w:rFonts w:ascii="Arial" w:cs="Arial" w:eastAsia="Arial" w:hAnsi="Arial"/>
                <w:sz w:val="14"/>
                <w:szCs w:val="14"/>
                <w:color w:val="auto"/>
              </w:rPr>
              <w:t>XBRL Taxonomy Extension Label Linkbase.</w:t>
            </w:r>
          </w:p>
        </w:tc>
      </w:tr>
      <w:tr>
        <w:trPr>
          <w:trHeight w:val="189"/>
        </w:trPr>
        <w:tc>
          <w:tcPr>
            <w:tcW w:w="2540" w:type="dxa"/>
            <w:vAlign w:val="bottom"/>
          </w:tcPr>
          <w:p>
            <w:pPr>
              <w:spacing w:after="0"/>
              <w:rPr>
                <w:sz w:val="20"/>
                <w:szCs w:val="20"/>
                <w:color w:val="auto"/>
              </w:rPr>
            </w:pPr>
            <w:r>
              <w:rPr>
                <w:rFonts w:ascii="Arial" w:cs="Arial" w:eastAsia="Arial" w:hAnsi="Arial"/>
                <w:sz w:val="14"/>
                <w:szCs w:val="14"/>
                <w:color w:val="auto"/>
              </w:rPr>
              <w:t>Exhibit 101.PRE</w:t>
            </w:r>
          </w:p>
        </w:tc>
        <w:tc>
          <w:tcPr>
            <w:tcW w:w="8480" w:type="dxa"/>
            <w:vAlign w:val="bottom"/>
            <w:gridSpan w:val="6"/>
          </w:tcPr>
          <w:p>
            <w:pPr>
              <w:spacing w:after="0"/>
              <w:rPr>
                <w:sz w:val="20"/>
                <w:szCs w:val="20"/>
                <w:color w:val="auto"/>
              </w:rPr>
            </w:pPr>
            <w:r>
              <w:rPr>
                <w:rFonts w:ascii="Arial" w:cs="Arial" w:eastAsia="Arial" w:hAnsi="Arial"/>
                <w:sz w:val="14"/>
                <w:szCs w:val="14"/>
                <w:color w:val="auto"/>
              </w:rPr>
              <w:t>XBRL Taxonomy Extension Presentation Linkbase.</w:t>
            </w:r>
          </w:p>
        </w:tc>
      </w:tr>
      <w:tr>
        <w:trPr>
          <w:trHeight w:val="189"/>
        </w:trPr>
        <w:tc>
          <w:tcPr>
            <w:tcW w:w="2540" w:type="dxa"/>
            <w:vAlign w:val="bottom"/>
          </w:tcPr>
          <w:p>
            <w:pPr>
              <w:spacing w:after="0"/>
              <w:rPr>
                <w:sz w:val="20"/>
                <w:szCs w:val="20"/>
                <w:color w:val="auto"/>
              </w:rPr>
            </w:pPr>
            <w:r>
              <w:rPr>
                <w:rFonts w:ascii="Arial" w:cs="Arial" w:eastAsia="Arial" w:hAnsi="Arial"/>
                <w:sz w:val="14"/>
                <w:szCs w:val="14"/>
                <w:color w:val="auto"/>
              </w:rPr>
              <w:t>Exhibit 104</w:t>
            </w:r>
          </w:p>
        </w:tc>
        <w:tc>
          <w:tcPr>
            <w:tcW w:w="8480" w:type="dxa"/>
            <w:vAlign w:val="bottom"/>
            <w:gridSpan w:val="6"/>
          </w:tcPr>
          <w:p>
            <w:pPr>
              <w:spacing w:after="0"/>
              <w:rPr>
                <w:sz w:val="20"/>
                <w:szCs w:val="20"/>
                <w:color w:val="auto"/>
              </w:rPr>
            </w:pPr>
            <w:r>
              <w:rPr>
                <w:rFonts w:ascii="Arial" w:cs="Arial" w:eastAsia="Arial" w:hAnsi="Arial"/>
                <w:sz w:val="14"/>
                <w:szCs w:val="14"/>
                <w:color w:val="auto"/>
              </w:rPr>
              <w:t>Cover Page Interactive Data File - the cover page XBRL tags are embedded within the Inline XBRL document.</w:t>
            </w:r>
          </w:p>
        </w:tc>
      </w:tr>
    </w:tbl>
    <w:p>
      <w:pPr>
        <w:spacing w:after="0" w:line="1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Pursuant to Item 601(b)(4)(iii)(A) of Regulation S-K, instruments defining the rights of holders of long-term debt of Con Edison’s subsidiaries other than CECONY, the total amount of which does not exceed ten percent of the total assets of Con Edison and its subsidiaries on a consolidated basis, are not filed as exhibits to Con Edison’s Form 10-K or Form 10-Q. Con Edison agrees to furnish to the SEC upon request a copy of any such instrument.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24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Edison, Inc.</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Edison Company of New York, Inc.</w:t>
      </w:r>
    </w:p>
    <w:p>
      <w:pPr>
        <w:spacing w:after="0" w:line="305" w:lineRule="exact"/>
        <w:rPr>
          <w:sz w:val="20"/>
          <w:szCs w:val="20"/>
          <w:color w:val="auto"/>
        </w:rPr>
      </w:pPr>
    </w:p>
    <w:p>
      <w:pPr>
        <w:ind w:left="20"/>
        <w:spacing w:after="0"/>
        <w:tabs>
          <w:tab w:leader="none" w:pos="4600" w:val="left"/>
          <w:tab w:leader="none" w:pos="736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Robert Hoglund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6350</wp:posOffset>
            </wp:positionV>
            <wp:extent cx="3909060" cy="8255"/>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14">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jc w:val="center"/>
        <w:ind w:left="5000"/>
        <w:spacing w:after="0"/>
        <w:rPr>
          <w:sz w:val="20"/>
          <w:szCs w:val="20"/>
          <w:color w:val="auto"/>
        </w:rPr>
      </w:pPr>
      <w:r>
        <w:rPr>
          <w:rFonts w:ascii="Arial" w:cs="Arial" w:eastAsia="Arial" w:hAnsi="Arial"/>
          <w:sz w:val="14"/>
          <w:szCs w:val="14"/>
          <w:b w:val="1"/>
          <w:bCs w:val="1"/>
          <w:color w:val="auto"/>
        </w:rPr>
        <w:t>Robert Hoglund</w:t>
      </w:r>
    </w:p>
    <w:p>
      <w:pPr>
        <w:jc w:val="center"/>
        <w:ind w:left="5000"/>
        <w:spacing w:after="0" w:line="201" w:lineRule="auto"/>
        <w:rPr>
          <w:sz w:val="20"/>
          <w:szCs w:val="20"/>
          <w:color w:val="auto"/>
        </w:rPr>
      </w:pPr>
      <w:r>
        <w:rPr>
          <w:rFonts w:ascii="Arial" w:cs="Arial" w:eastAsia="Arial" w:hAnsi="Arial"/>
          <w:sz w:val="14"/>
          <w:szCs w:val="14"/>
          <w:b w:val="1"/>
          <w:bCs w:val="1"/>
          <w:color w:val="auto"/>
        </w:rPr>
        <w:t>Senior Vice President, Chief</w:t>
      </w:r>
    </w:p>
    <w:p>
      <w:pPr>
        <w:jc w:val="center"/>
        <w:ind w:left="5000"/>
        <w:spacing w:after="0" w:line="201" w:lineRule="auto"/>
        <w:rPr>
          <w:sz w:val="20"/>
          <w:szCs w:val="20"/>
          <w:color w:val="auto"/>
        </w:rPr>
      </w:pPr>
      <w:r>
        <w:rPr>
          <w:rFonts w:ascii="Arial" w:cs="Arial" w:eastAsia="Arial" w:hAnsi="Arial"/>
          <w:sz w:val="14"/>
          <w:szCs w:val="14"/>
          <w:b w:val="1"/>
          <w:bCs w:val="1"/>
          <w:color w:val="auto"/>
        </w:rPr>
        <w:t>Financial Officer and Duly</w:t>
      </w:r>
    </w:p>
    <w:p>
      <w:pPr>
        <w:jc w:val="center"/>
        <w:ind w:left="5020"/>
        <w:spacing w:after="0"/>
        <w:rPr>
          <w:sz w:val="20"/>
          <w:szCs w:val="20"/>
          <w:color w:val="auto"/>
        </w:rPr>
      </w:pPr>
      <w:r>
        <w:rPr>
          <w:rFonts w:ascii="Arial" w:cs="Arial" w:eastAsia="Arial" w:hAnsi="Arial"/>
          <w:sz w:val="14"/>
          <w:szCs w:val="14"/>
          <w:b w:val="1"/>
          <w:bCs w:val="1"/>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98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957580</wp:posOffset>
            </wp:positionV>
            <wp:extent cx="7132320" cy="8255"/>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982980</wp:posOffset>
            </wp:positionV>
            <wp:extent cx="7132320" cy="8255"/>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760"/>
        <w:spacing w:after="0"/>
        <w:rPr>
          <w:sz w:val="20"/>
          <w:szCs w:val="20"/>
          <w:color w:val="auto"/>
        </w:rPr>
      </w:pPr>
      <w:r>
        <w:rPr>
          <w:rFonts w:ascii="Arial" w:cs="Arial" w:eastAsia="Arial" w:hAnsi="Arial"/>
          <w:sz w:val="32"/>
          <w:szCs w:val="32"/>
          <w:b w:val="1"/>
          <w:bCs w:val="1"/>
          <w:color w:val="auto"/>
        </w:rPr>
        <w:t>BY-LAWS</w:t>
      </w:r>
    </w:p>
    <w:p>
      <w:pPr>
        <w:spacing w:after="0" w:line="159" w:lineRule="exact"/>
        <w:rPr>
          <w:sz w:val="20"/>
          <w:szCs w:val="20"/>
          <w:color w:val="auto"/>
        </w:rPr>
      </w:pPr>
    </w:p>
    <w:p>
      <w:pPr>
        <w:ind w:left="4280"/>
        <w:spacing w:after="0"/>
        <w:rPr>
          <w:sz w:val="20"/>
          <w:szCs w:val="20"/>
          <w:color w:val="auto"/>
        </w:rPr>
      </w:pPr>
      <w:r>
        <w:rPr>
          <w:rFonts w:ascii="Arial" w:cs="Arial" w:eastAsia="Arial" w:hAnsi="Arial"/>
          <w:sz w:val="32"/>
          <w:szCs w:val="32"/>
          <w:b w:val="1"/>
          <w:bCs w:val="1"/>
          <w:color w:val="auto"/>
        </w:rPr>
        <w:t>OF</w:t>
      </w:r>
    </w:p>
    <w:p>
      <w:pPr>
        <w:spacing w:after="0" w:line="159" w:lineRule="exact"/>
        <w:rPr>
          <w:sz w:val="20"/>
          <w:szCs w:val="20"/>
          <w:color w:val="auto"/>
        </w:rPr>
      </w:pPr>
    </w:p>
    <w:p>
      <w:pPr>
        <w:ind w:left="1700"/>
        <w:spacing w:after="0"/>
        <w:rPr>
          <w:sz w:val="20"/>
          <w:szCs w:val="20"/>
          <w:color w:val="auto"/>
        </w:rPr>
      </w:pPr>
      <w:r>
        <w:rPr>
          <w:rFonts w:ascii="Arial" w:cs="Arial" w:eastAsia="Arial" w:hAnsi="Arial"/>
          <w:sz w:val="32"/>
          <w:szCs w:val="32"/>
          <w:b w:val="1"/>
          <w:bCs w:val="1"/>
          <w:color w:val="auto"/>
        </w:rPr>
        <w:t>CONSOLIDATED EDISON COMPANY</w:t>
      </w:r>
    </w:p>
    <w:p>
      <w:pPr>
        <w:spacing w:after="0" w:line="50" w:lineRule="exact"/>
        <w:rPr>
          <w:sz w:val="20"/>
          <w:szCs w:val="20"/>
          <w:color w:val="auto"/>
        </w:rPr>
      </w:pPr>
    </w:p>
    <w:p>
      <w:pPr>
        <w:ind w:left="2920"/>
        <w:spacing w:after="0"/>
        <w:rPr>
          <w:sz w:val="20"/>
          <w:szCs w:val="20"/>
          <w:color w:val="auto"/>
        </w:rPr>
      </w:pPr>
      <w:r>
        <w:rPr>
          <w:rFonts w:ascii="Arial" w:cs="Arial" w:eastAsia="Arial" w:hAnsi="Arial"/>
          <w:sz w:val="32"/>
          <w:szCs w:val="32"/>
          <w:b w:val="1"/>
          <w:bCs w:val="1"/>
          <w:color w:val="auto"/>
        </w:rPr>
        <w:t>OF NEW YORK,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Effective as of May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2021205</wp:posOffset>
            </wp:positionV>
            <wp:extent cx="7080885" cy="8890"/>
            <wp:wrapNone/>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17">
                      <a:extLst>
                        <a:ext uri="{28A0092B-C50C-407E-A947-70E740481C1C}"/>
                      </a:extLst>
                    </a:blip>
                    <a:srcRect/>
                    <a:stretch>
                      <a:fillRect/>
                    </a:stretch>
                  </pic:blipFill>
                  <pic:spPr bwMode="auto">
                    <a:xfrm>
                      <a:off x="0" y="0"/>
                      <a:ext cx="7080885" cy="8890"/>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2046605</wp:posOffset>
            </wp:positionV>
            <wp:extent cx="7080885" cy="8255"/>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18">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ectPr>
          <w:pgSz w:w="11900" w:h="16838" w:orient="portrait"/>
          <w:cols w:equalWidth="0" w:num="1">
            <w:col w:w="10120"/>
          </w:cols>
          <w:pgMar w:left="1440" w:top="140" w:right="339" w:bottom="1440" w:gutter="0" w:footer="0" w:header="0"/>
        </w:sectPr>
      </w:pPr>
    </w:p>
    <w:bookmarkStart w:id="90" w:name="page91"/>
    <w:bookmarkEnd w:id="90"/>
    <w:p>
      <w:pPr>
        <w:spacing w:after="0" w:line="200" w:lineRule="exact"/>
        <w:rPr>
          <w:sz w:val="20"/>
          <w:szCs w:val="20"/>
          <w:color w:val="auto"/>
        </w:rPr>
      </w:pPr>
    </w:p>
    <w:p>
      <w:pPr>
        <w:spacing w:after="0" w:line="265" w:lineRule="exact"/>
        <w:rPr>
          <w:sz w:val="20"/>
          <w:szCs w:val="20"/>
          <w:color w:val="auto"/>
        </w:rPr>
      </w:pPr>
    </w:p>
    <w:p>
      <w:pPr>
        <w:ind w:left="5040"/>
        <w:spacing w:after="0"/>
        <w:rPr>
          <w:sz w:val="20"/>
          <w:szCs w:val="20"/>
          <w:color w:val="auto"/>
        </w:rPr>
      </w:pPr>
      <w:r>
        <w:rPr>
          <w:rFonts w:ascii="Arial" w:cs="Arial" w:eastAsia="Arial" w:hAnsi="Arial"/>
          <w:sz w:val="25"/>
          <w:szCs w:val="25"/>
          <w:b w:val="1"/>
          <w:bCs w:val="1"/>
          <w:color w:val="auto"/>
        </w:rPr>
        <w:t>BY-LAWS</w:t>
      </w:r>
    </w:p>
    <w:p>
      <w:pPr>
        <w:spacing w:after="0" w:line="253" w:lineRule="exact"/>
        <w:rPr>
          <w:sz w:val="20"/>
          <w:szCs w:val="20"/>
          <w:color w:val="auto"/>
        </w:rPr>
      </w:pPr>
    </w:p>
    <w:p>
      <w:pPr>
        <w:ind w:left="5420"/>
        <w:spacing w:after="0"/>
        <w:rPr>
          <w:sz w:val="20"/>
          <w:szCs w:val="20"/>
          <w:color w:val="auto"/>
        </w:rPr>
      </w:pPr>
      <w:r>
        <w:rPr>
          <w:rFonts w:ascii="Arial" w:cs="Arial" w:eastAsia="Arial" w:hAnsi="Arial"/>
          <w:sz w:val="25"/>
          <w:szCs w:val="25"/>
          <w:b w:val="1"/>
          <w:bCs w:val="1"/>
          <w:color w:val="auto"/>
        </w:rPr>
        <w:t>OF</w:t>
      </w:r>
    </w:p>
    <w:p>
      <w:pPr>
        <w:spacing w:after="0" w:line="253" w:lineRule="exact"/>
        <w:rPr>
          <w:sz w:val="20"/>
          <w:szCs w:val="20"/>
          <w:color w:val="auto"/>
        </w:rPr>
      </w:pPr>
    </w:p>
    <w:p>
      <w:pPr>
        <w:ind w:left="3420"/>
        <w:spacing w:after="0"/>
        <w:rPr>
          <w:sz w:val="20"/>
          <w:szCs w:val="20"/>
          <w:color w:val="auto"/>
        </w:rPr>
      </w:pPr>
      <w:r>
        <w:rPr>
          <w:rFonts w:ascii="Arial" w:cs="Arial" w:eastAsia="Arial" w:hAnsi="Arial"/>
          <w:sz w:val="24"/>
          <w:szCs w:val="24"/>
          <w:b w:val="1"/>
          <w:bCs w:val="1"/>
          <w:color w:val="auto"/>
        </w:rPr>
        <w:t>CONSOLIDATED EDISON COMPANY</w:t>
      </w:r>
    </w:p>
    <w:p>
      <w:pPr>
        <w:spacing w:after="0" w:line="53" w:lineRule="exact"/>
        <w:rPr>
          <w:sz w:val="20"/>
          <w:szCs w:val="20"/>
          <w:color w:val="auto"/>
        </w:rPr>
      </w:pPr>
    </w:p>
    <w:p>
      <w:pPr>
        <w:ind w:left="4380"/>
        <w:spacing w:after="0"/>
        <w:rPr>
          <w:sz w:val="20"/>
          <w:szCs w:val="20"/>
          <w:color w:val="auto"/>
        </w:rPr>
      </w:pPr>
      <w:r>
        <w:rPr>
          <w:rFonts w:ascii="Arial" w:cs="Arial" w:eastAsia="Arial" w:hAnsi="Arial"/>
          <w:sz w:val="25"/>
          <w:szCs w:val="25"/>
          <w:b w:val="1"/>
          <w:bCs w:val="1"/>
          <w:color w:val="auto"/>
        </w:rPr>
        <w:t>OF NEW YORK, INC.</w:t>
      </w:r>
    </w:p>
    <w:p>
      <w:pPr>
        <w:spacing w:after="0" w:line="25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Effective as of May 17, 2021</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SECTION 1. The annual meeting of stockholders of the Company for the election of Trustees and such other business as may properly come before such meeting shall be held on the third Monday in May in each year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rPr>
          <w:sz w:val="20"/>
          <w:szCs w:val="20"/>
          <w:color w:val="auto"/>
        </w:rPr>
      </w:pPr>
      <w:r>
        <w:rPr>
          <w:rFonts w:ascii="Arial" w:cs="Arial" w:eastAsia="Arial" w:hAnsi="Arial"/>
          <w:sz w:val="17"/>
          <w:szCs w:val="17"/>
          <w:color w:val="auto"/>
        </w:rPr>
        <w:t>Annual</w:t>
      </w:r>
    </w:p>
    <w:p>
      <w:pPr>
        <w:spacing w:after="0" w:line="22" w:lineRule="exact"/>
        <w:rPr>
          <w:sz w:val="20"/>
          <w:szCs w:val="20"/>
          <w:color w:val="auto"/>
        </w:rPr>
      </w:pPr>
    </w:p>
    <w:p>
      <w:pPr>
        <w:sectPr>
          <w:pgSz w:w="11900" w:h="16838" w:orient="portrait"/>
          <w:cols w:equalWidth="0" w:num="2">
            <w:col w:w="8720" w:space="200"/>
            <w:col w:w="1199"/>
          </w:cols>
          <w:pgMar w:left="340" w:top="1440" w:right="1440" w:bottom="1440" w:gutter="0" w:footer="0" w:header="0"/>
          <w:type w:val="continuous"/>
        </w:sectPr>
      </w:pPr>
    </w:p>
    <w:p>
      <w:pPr>
        <w:ind w:right="559"/>
        <w:spacing w:after="0" w:line="219" w:lineRule="auto"/>
        <w:rPr>
          <w:sz w:val="20"/>
          <w:szCs w:val="20"/>
          <w:color w:val="auto"/>
        </w:rPr>
      </w:pPr>
      <w:r>
        <w:rPr>
          <w:rFonts w:ascii="Arial" w:cs="Arial" w:eastAsia="Arial" w:hAnsi="Arial"/>
          <w:sz w:val="18"/>
          <w:szCs w:val="18"/>
          <w:color w:val="auto"/>
        </w:rPr>
        <w:t>such hour and at such place in the City of New York or the County of Westchester as may be designated by the Meeting Board of Trustees.</w:t>
      </w:r>
    </w:p>
    <w:p>
      <w:pPr>
        <w:spacing w:after="0" w:line="26" w:lineRule="exact"/>
        <w:rPr>
          <w:sz w:val="20"/>
          <w:szCs w:val="20"/>
          <w:color w:val="auto"/>
        </w:rPr>
      </w:pPr>
    </w:p>
    <w:p>
      <w:pPr>
        <w:ind w:right="479"/>
        <w:spacing w:after="0" w:line="219" w:lineRule="auto"/>
        <w:rPr>
          <w:sz w:val="20"/>
          <w:szCs w:val="20"/>
          <w:color w:val="auto"/>
        </w:rPr>
      </w:pPr>
      <w:r>
        <w:rPr>
          <w:rFonts w:ascii="Arial" w:cs="Arial" w:eastAsia="Arial" w:hAnsi="Arial"/>
          <w:sz w:val="18"/>
          <w:szCs w:val="18"/>
          <w:color w:val="auto"/>
        </w:rPr>
        <w:t>SECTION 2. Special meetings of the stockholders of the Company may be held upon call of the Chairman of Special the Board, the President, the Board of Trustees, or stockholders holding one-fourth of the outstanding shares of Meetings</w:t>
      </w:r>
    </w:p>
    <w:p>
      <w:pPr>
        <w:spacing w:after="0"/>
        <w:tabs>
          <w:tab w:leader="none" w:pos="8900" w:val="left"/>
        </w:tabs>
        <w:rPr>
          <w:sz w:val="20"/>
          <w:szCs w:val="20"/>
          <w:color w:val="auto"/>
        </w:rPr>
      </w:pPr>
      <w:r>
        <w:rPr>
          <w:rFonts w:ascii="Arial" w:cs="Arial" w:eastAsia="Arial" w:hAnsi="Arial"/>
          <w:sz w:val="18"/>
          <w:szCs w:val="18"/>
          <w:color w:val="auto"/>
        </w:rPr>
        <w:t>stock entitled to vote at such meeting.</w:t>
      </w:r>
      <w:r>
        <w:rPr>
          <w:sz w:val="20"/>
          <w:szCs w:val="20"/>
          <w:color w:val="auto"/>
        </w:rPr>
        <w:tab/>
      </w:r>
      <w:r>
        <w:rPr>
          <w:rFonts w:ascii="Arial" w:cs="Arial" w:eastAsia="Arial" w:hAnsi="Arial"/>
          <w:sz w:val="17"/>
          <w:szCs w:val="17"/>
          <w:color w:val="auto"/>
        </w:rPr>
        <w:t>Stockholders</w:t>
      </w:r>
    </w:p>
    <w:p>
      <w:pPr>
        <w:sectPr>
          <w:pgSz w:w="11900" w:h="16838" w:orient="portrait"/>
          <w:cols w:equalWidth="0" w:num="1">
            <w:col w:w="10119"/>
          </w:cols>
          <w:pgMar w:left="340" w:top="1440" w:right="1440" w:bottom="1440" w:gutter="0" w:footer="0" w:header="0"/>
          <w:type w:val="continuous"/>
        </w:sectPr>
      </w:pPr>
    </w:p>
    <w:p>
      <w:pPr>
        <w:spacing w:after="0" w:line="3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SECTION 3. Notice of the time and place of every meeting of stockholders, the purpose of such meeting and, in case of a special meeting, the person or persons by or at whose direction the meeting is being called, shall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Notice</w:t>
      </w:r>
    </w:p>
    <w:p>
      <w:pPr>
        <w:spacing w:after="0"/>
        <w:rPr>
          <w:sz w:val="20"/>
          <w:szCs w:val="20"/>
          <w:color w:val="auto"/>
        </w:rPr>
      </w:pPr>
      <w:r>
        <w:rPr>
          <w:rFonts w:ascii="Arial" w:cs="Arial" w:eastAsia="Arial" w:hAnsi="Arial"/>
          <w:sz w:val="17"/>
          <w:szCs w:val="17"/>
          <w:color w:val="auto"/>
        </w:rPr>
        <w:t>Stockholders’</w:t>
      </w:r>
    </w:p>
    <w:p>
      <w:pPr>
        <w:spacing w:after="0" w:line="21" w:lineRule="exact"/>
        <w:rPr>
          <w:sz w:val="20"/>
          <w:szCs w:val="20"/>
          <w:color w:val="auto"/>
        </w:rPr>
      </w:pPr>
    </w:p>
    <w:p>
      <w:pPr>
        <w:sectPr>
          <w:pgSz w:w="11900" w:h="16838" w:orient="portrait"/>
          <w:cols w:equalWidth="0" w:num="2">
            <w:col w:w="8700" w:space="220"/>
            <w:col w:w="1199"/>
          </w:cols>
          <w:pgMar w:left="340" w:top="1440" w:right="1440" w:bottom="1440" w:gutter="0" w:footer="0" w:header="0"/>
          <w:type w:val="continuous"/>
        </w:sectPr>
      </w:pPr>
    </w:p>
    <w:p>
      <w:pPr>
        <w:ind w:right="559"/>
        <w:spacing w:after="0" w:line="202" w:lineRule="auto"/>
        <w:rPr>
          <w:sz w:val="20"/>
          <w:szCs w:val="20"/>
          <w:color w:val="auto"/>
        </w:rPr>
      </w:pPr>
      <w:r>
        <w:rPr>
          <w:rFonts w:ascii="Arial" w:cs="Arial" w:eastAsia="Arial" w:hAnsi="Arial"/>
          <w:sz w:val="18"/>
          <w:szCs w:val="18"/>
          <w:color w:val="auto"/>
        </w:rPr>
        <w:t>be mailed by the Secretary, or other officer performing his duties, at least ten days, but not more than fifty days, Meeting before the meeting to each stockholder of record, at his last known Post Office address; provided, however,</w:t>
      </w:r>
    </w:p>
    <w:p>
      <w:pPr>
        <w:spacing w:after="0" w:line="2" w:lineRule="exact"/>
        <w:rPr>
          <w:sz w:val="20"/>
          <w:szCs w:val="20"/>
          <w:color w:val="auto"/>
        </w:rPr>
      </w:pPr>
    </w:p>
    <w:p>
      <w:pPr>
        <w:ind w:right="1319"/>
        <w:spacing w:after="0" w:line="229" w:lineRule="auto"/>
        <w:rPr>
          <w:sz w:val="20"/>
          <w:szCs w:val="20"/>
          <w:color w:val="auto"/>
        </w:rPr>
      </w:pPr>
      <w:r>
        <w:rPr>
          <w:rFonts w:ascii="Arial" w:cs="Arial" w:eastAsia="Arial" w:hAnsi="Arial"/>
          <w:sz w:val="18"/>
          <w:szCs w:val="18"/>
          <w:color w:val="auto"/>
        </w:rPr>
        <w:t>that if a stockholder be present at a meeting, in person or by proxy, without protesting prior to the conclusion of the meeting the lack of notice of such meeting, or in writing waives notice thereof before or after the meeting, the mailing to such stockholder of notice of such meeting is unnecessary.</w:t>
      </w:r>
    </w:p>
    <w:p>
      <w:pPr>
        <w:sectPr>
          <w:pgSz w:w="11900" w:h="16838" w:orient="portrait"/>
          <w:cols w:equalWidth="0" w:num="1">
            <w:col w:w="10119"/>
          </w:cols>
          <w:pgMar w:left="340" w:top="1440" w:right="1440" w:bottom="1440" w:gutter="0" w:footer="0" w:header="0"/>
          <w:type w:val="continuous"/>
        </w:sectPr>
      </w:pPr>
    </w:p>
    <w:p>
      <w:pPr>
        <w:spacing w:after="0" w:line="2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SECTION 4. The holders of a majority of the outstanding shares of stock of the Company, entitled to vote at a meeting, present in person or by proxy shall constitute a quorum, but less than a quorum shall have power to adjourn.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159"/>
        <w:spacing w:after="0" w:line="258" w:lineRule="auto"/>
        <w:rPr>
          <w:sz w:val="20"/>
          <w:szCs w:val="20"/>
          <w:color w:val="auto"/>
        </w:rPr>
      </w:pPr>
      <w:r>
        <w:rPr>
          <w:rFonts w:ascii="Arial" w:cs="Arial" w:eastAsia="Arial" w:hAnsi="Arial"/>
          <w:sz w:val="17"/>
          <w:szCs w:val="17"/>
          <w:color w:val="auto"/>
        </w:rPr>
        <w:t>Quorum Stockholders</w:t>
      </w:r>
    </w:p>
    <w:p>
      <w:pPr>
        <w:spacing w:after="0" w:line="201" w:lineRule="exact"/>
        <w:rPr>
          <w:sz w:val="20"/>
          <w:szCs w:val="20"/>
          <w:color w:val="auto"/>
        </w:rPr>
      </w:pPr>
    </w:p>
    <w:p>
      <w:pPr>
        <w:sectPr>
          <w:pgSz w:w="11900" w:h="16838" w:orient="portrait"/>
          <w:cols w:equalWidth="0" w:num="2">
            <w:col w:w="8700" w:space="220"/>
            <w:col w:w="1199"/>
          </w:cols>
          <w:pgMar w:left="340" w:top="1440" w:right="1440" w:bottom="1440" w:gutter="0" w:footer="0" w:header="0"/>
          <w:type w:val="continuous"/>
        </w:sectPr>
      </w:pPr>
    </w:p>
    <w:p>
      <w:pPr>
        <w:spacing w:after="0" w:line="227" w:lineRule="auto"/>
        <w:rPr>
          <w:sz w:val="20"/>
          <w:szCs w:val="20"/>
          <w:color w:val="auto"/>
        </w:rPr>
      </w:pPr>
      <w:r>
        <w:rPr>
          <w:rFonts w:ascii="Arial" w:cs="Arial" w:eastAsia="Arial" w:hAnsi="Arial"/>
          <w:sz w:val="18"/>
          <w:szCs w:val="18"/>
          <w:color w:val="auto"/>
        </w:rPr>
        <w:t>SECTION 5. The Chairman of the Board, or in his absence the President, shall preside over all meetings of stockholders. In their absence one of the Vice Presidents shall preside over such meetings. The Secretary of the Board of Trustees shall act as Secretary of such meeting, if present. In his absence, the Chairman of the meeting may appoint any person to act as Secretary of the meeting.</w:t>
      </w:r>
    </w:p>
    <w:p>
      <w:pPr>
        <w:spacing w:after="0" w:line="20" w:lineRule="exact"/>
        <w:rPr>
          <w:sz w:val="20"/>
          <w:szCs w:val="20"/>
          <w:color w:val="auto"/>
        </w:rPr>
      </w:pPr>
      <w:r>
        <w:rPr>
          <w:sz w:val="20"/>
          <w:szCs w:val="20"/>
          <w:color w:val="auto"/>
        </w:rPr>
        <w:br w:type="column"/>
      </w:r>
    </w:p>
    <w:p>
      <w:pPr>
        <w:ind w:right="119"/>
        <w:spacing w:after="0"/>
        <w:rPr>
          <w:sz w:val="20"/>
          <w:szCs w:val="20"/>
          <w:color w:val="auto"/>
        </w:rPr>
      </w:pPr>
      <w:r>
        <w:rPr>
          <w:rFonts w:ascii="Arial" w:cs="Arial" w:eastAsia="Arial" w:hAnsi="Arial"/>
          <w:sz w:val="17"/>
          <w:szCs w:val="17"/>
          <w:color w:val="auto"/>
        </w:rPr>
        <w:t>Chairman, Secretary, Stockholders’ Meetings</w:t>
      </w:r>
    </w:p>
    <w:p>
      <w:pPr>
        <w:spacing w:after="0" w:line="28" w:lineRule="exact"/>
        <w:rPr>
          <w:sz w:val="20"/>
          <w:szCs w:val="20"/>
          <w:color w:val="auto"/>
        </w:rPr>
      </w:pPr>
    </w:p>
    <w:p>
      <w:pPr>
        <w:sectPr>
          <w:pgSz w:w="11900" w:h="16838" w:orient="portrait"/>
          <w:cols w:equalWidth="0" w:num="2">
            <w:col w:w="8640" w:space="280"/>
            <w:col w:w="1199"/>
          </w:cols>
          <w:pgMar w:left="340" w:top="1440" w:right="1440" w:bottom="1440" w:gutter="0" w:footer="0" w:header="0"/>
          <w:type w:val="continuous"/>
        </w:sectPr>
      </w:pPr>
    </w:p>
    <w:p>
      <w:pPr>
        <w:ind w:right="179"/>
        <w:spacing w:after="0"/>
        <w:rPr>
          <w:sz w:val="20"/>
          <w:szCs w:val="20"/>
          <w:color w:val="auto"/>
        </w:rPr>
      </w:pPr>
      <w:r>
        <w:rPr>
          <w:rFonts w:ascii="Arial" w:cs="Arial" w:eastAsia="Arial" w:hAnsi="Arial"/>
          <w:sz w:val="18"/>
          <w:szCs w:val="18"/>
          <w:color w:val="auto"/>
        </w:rPr>
        <w:t>SECTION 6. At each meeting of stockholders at which votes are to be taken by ballot there shall be at least two Inspectors of and not more than five inspectors of election and of stockholders’ votes, who shall be either designated prior to Election such meeting by the Board of Trustees or, in the absence of such designation, appointed by the Chairman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119"/>
          </w:cols>
          <w:pgMar w:left="340" w:top="1440" w:right="1440" w:bottom="1440" w:gutter="0" w:footer="0" w:header="0"/>
          <w:type w:val="continuous"/>
        </w:sectPr>
      </w:pPr>
    </w:p>
    <w:bookmarkStart w:id="91" w:name="page92"/>
    <w:bookmarkEnd w:id="91"/>
    <w:p>
      <w:pPr>
        <w:spacing w:after="0" w:line="18"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Stock</w:t>
      </w:r>
    </w:p>
    <w:p>
      <w:pPr>
        <w:spacing w:after="0" w:line="219" w:lineRule="auto"/>
        <w:rPr>
          <w:sz w:val="20"/>
          <w:szCs w:val="20"/>
          <w:color w:val="auto"/>
        </w:rPr>
      </w:pPr>
      <w:r>
        <w:rPr>
          <w:rFonts w:ascii="Arial" w:cs="Arial" w:eastAsia="Arial" w:hAnsi="Arial"/>
          <w:sz w:val="18"/>
          <w:szCs w:val="18"/>
          <w:color w:val="auto"/>
        </w:rPr>
        <w:t>SECTION 7. The Board of Trustees may, in their discretion, appoint one or more transfer agents, paying agents Transfers</w:t>
      </w:r>
    </w:p>
    <w:p>
      <w:pPr>
        <w:spacing w:after="0"/>
        <w:tabs>
          <w:tab w:leader="none" w:pos="8900" w:val="left"/>
        </w:tabs>
        <w:rPr>
          <w:sz w:val="20"/>
          <w:szCs w:val="20"/>
          <w:color w:val="auto"/>
        </w:rPr>
      </w:pPr>
      <w:r>
        <w:rPr>
          <w:rFonts w:ascii="Arial" w:cs="Arial" w:eastAsia="Arial" w:hAnsi="Arial"/>
          <w:sz w:val="18"/>
          <w:szCs w:val="18"/>
          <w:color w:val="auto"/>
        </w:rPr>
        <w:t>and/or registrars of the stock of the Company.</w:t>
      </w:r>
      <w:r>
        <w:rPr>
          <w:sz w:val="20"/>
          <w:szCs w:val="20"/>
          <w:color w:val="auto"/>
        </w:rPr>
        <w:tab/>
      </w:r>
      <w:r>
        <w:rPr>
          <w:rFonts w:ascii="Arial" w:cs="Arial" w:eastAsia="Arial" w:hAnsi="Arial"/>
          <w:sz w:val="17"/>
          <w:szCs w:val="17"/>
          <w:color w:val="auto"/>
        </w:rPr>
        <w:t>Registrars</w:t>
      </w:r>
    </w:p>
    <w:p>
      <w:pPr>
        <w:sectPr>
          <w:pgSz w:w="11900" w:h="16838" w:orient="portrait"/>
          <w:cols w:equalWidth="0" w:num="1">
            <w:col w:w="10420"/>
          </w:cols>
          <w:pgMar w:left="340" w:top="1440" w:right="1139" w:bottom="1440" w:gutter="0" w:footer="0" w:header="0"/>
        </w:sectPr>
      </w:pPr>
    </w:p>
    <w:p>
      <w:pPr>
        <w:spacing w:after="0" w:line="3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SECTION 8. The affairs of the Company shall be managed under the direction of a Board consisting of twelve Trustees, who shall be elected annually by the stockholders by ballot and shall hold office until their successors are elected and qualified. Vacancies in the Board of Trustees may be filled by the Board at any meeting, but if the number of Trustees is increased or decreased by the Board by an amendment of this section of the By-laws, such amendment shall require the vote of a majority of the whole Board. Members of the Board of Trustees shall be entitled to receive such reasonable fees or other forms of compensation, on a per diem, annual or other basis, as may be fixed by resolution of the Board of Trustees or the stockholders in respect of their services as such, including attendance at meetings of the Board and its committees; provided, however, that nothing herein contained shall be construed as precluding any Trustee from serving the Company in any capacity other than as a member of the Board or a committee thereof and receiving compensation for such other services.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660"/>
        <w:spacing w:after="0" w:line="225" w:lineRule="auto"/>
        <w:rPr>
          <w:sz w:val="20"/>
          <w:szCs w:val="20"/>
          <w:color w:val="auto"/>
        </w:rPr>
      </w:pPr>
      <w:r>
        <w:rPr>
          <w:rFonts w:ascii="Arial" w:cs="Arial" w:eastAsia="Arial" w:hAnsi="Arial"/>
          <w:sz w:val="18"/>
          <w:szCs w:val="18"/>
          <w:color w:val="auto"/>
        </w:rPr>
        <w:t>Number of Board Members Vacancies Fees</w:t>
      </w:r>
    </w:p>
    <w:p>
      <w:pPr>
        <w:spacing w:after="0" w:line="1144" w:lineRule="exact"/>
        <w:rPr>
          <w:sz w:val="20"/>
          <w:szCs w:val="20"/>
          <w:color w:val="auto"/>
        </w:rPr>
      </w:pPr>
    </w:p>
    <w:p>
      <w:pPr>
        <w:sectPr>
          <w:pgSz w:w="11900" w:h="16838" w:orient="portrait"/>
          <w:cols w:equalWidth="0" w:num="2">
            <w:col w:w="8840" w:space="80"/>
            <w:col w:w="1500"/>
          </w:cols>
          <w:pgMar w:left="340" w:top="1440" w:right="1139" w:bottom="1440" w:gutter="0" w:footer="0" w:header="0"/>
          <w:type w:val="continuous"/>
        </w:sectPr>
      </w:pPr>
    </w:p>
    <w:p>
      <w:pPr>
        <w:ind w:left="8920"/>
        <w:spacing w:after="0"/>
        <w:rPr>
          <w:sz w:val="20"/>
          <w:szCs w:val="20"/>
          <w:color w:val="auto"/>
        </w:rPr>
      </w:pPr>
      <w:r>
        <w:rPr>
          <w:rFonts w:ascii="Arial" w:cs="Arial" w:eastAsia="Arial" w:hAnsi="Arial"/>
          <w:sz w:val="18"/>
          <w:szCs w:val="18"/>
          <w:color w:val="auto"/>
        </w:rPr>
        <w:t>Board</w:t>
      </w:r>
    </w:p>
    <w:p>
      <w:pPr>
        <w:ind w:left="8920"/>
        <w:spacing w:after="0"/>
        <w:rPr>
          <w:sz w:val="20"/>
          <w:szCs w:val="20"/>
          <w:color w:val="auto"/>
        </w:rPr>
      </w:pPr>
      <w:r>
        <w:rPr>
          <w:rFonts w:ascii="Arial" w:cs="Arial" w:eastAsia="Arial" w:hAnsi="Arial"/>
          <w:sz w:val="17"/>
          <w:szCs w:val="17"/>
          <w:color w:val="auto"/>
        </w:rPr>
        <w:t>Meetings</w:t>
      </w:r>
    </w:p>
    <w:p>
      <w:pPr>
        <w:sectPr>
          <w:pgSz w:w="11900" w:h="16838" w:orient="portrait"/>
          <w:cols w:equalWidth="0" w:num="1">
            <w:col w:w="10420"/>
          </w:cols>
          <w:pgMar w:left="340" w:top="1440"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900" w:type="dxa"/>
            <w:vAlign w:val="bottom"/>
          </w:tcPr>
          <w:p>
            <w:pPr>
              <w:spacing w:after="0"/>
              <w:rPr>
                <w:sz w:val="18"/>
                <w:szCs w:val="18"/>
                <w:color w:val="auto"/>
              </w:rPr>
            </w:pPr>
          </w:p>
        </w:tc>
        <w:tc>
          <w:tcPr>
            <w:tcW w:w="1520" w:type="dxa"/>
            <w:vAlign w:val="bottom"/>
          </w:tcPr>
          <w:p>
            <w:pPr>
              <w:ind w:left="20"/>
              <w:spacing w:after="0"/>
              <w:rPr>
                <w:sz w:val="20"/>
                <w:szCs w:val="20"/>
                <w:color w:val="auto"/>
              </w:rPr>
            </w:pPr>
            <w:r>
              <w:rPr>
                <w:rFonts w:ascii="Arial" w:cs="Arial" w:eastAsia="Arial" w:hAnsi="Arial"/>
                <w:sz w:val="18"/>
                <w:szCs w:val="18"/>
                <w:color w:val="auto"/>
              </w:rPr>
              <w:t>Notices</w:t>
            </w:r>
          </w:p>
        </w:tc>
        <w:tc>
          <w:tcPr>
            <w:tcW w:w="0" w:type="dxa"/>
            <w:vAlign w:val="bottom"/>
          </w:tcPr>
          <w:p>
            <w:pPr>
              <w:spacing w:after="0"/>
              <w:rPr>
                <w:sz w:val="1"/>
                <w:szCs w:val="1"/>
                <w:color w:val="auto"/>
              </w:rPr>
            </w:pPr>
          </w:p>
        </w:tc>
      </w:tr>
      <w:tr>
        <w:trPr>
          <w:trHeight w:val="215"/>
        </w:trPr>
        <w:tc>
          <w:tcPr>
            <w:tcW w:w="8900" w:type="dxa"/>
            <w:vAlign w:val="bottom"/>
          </w:tcPr>
          <w:p>
            <w:pPr>
              <w:spacing w:after="0"/>
              <w:rPr>
                <w:sz w:val="20"/>
                <w:szCs w:val="20"/>
                <w:color w:val="auto"/>
              </w:rPr>
            </w:pPr>
            <w:r>
              <w:rPr>
                <w:rFonts w:ascii="Arial" w:cs="Arial" w:eastAsia="Arial" w:hAnsi="Arial"/>
                <w:sz w:val="18"/>
                <w:szCs w:val="18"/>
                <w:color w:val="auto"/>
              </w:rPr>
              <w:t>SECTION 9. Meetings of the Board of Trustees shall be held at the time and place fixed by resolution of the</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Board or upon call of the Chairman of the Board, the President, or a Vice President or any two Trustees. The</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Secretary of the Board or officer performing his duties shall give 24 hours’ notice of all meetings of Trustees;</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provided that a meeting may be held without notice immediately after the annual election of Trustees, and</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notice need not be given of regular meetings held at times fixed by resolution of the Board. Meetings may be</w:t>
            </w:r>
          </w:p>
        </w:tc>
        <w:tc>
          <w:tcPr>
            <w:tcW w:w="1520" w:type="dxa"/>
            <w:vAlign w:val="bottom"/>
            <w:vMerge w:val="restart"/>
          </w:tcPr>
          <w:p>
            <w:pPr>
              <w:ind w:left="20"/>
              <w:spacing w:after="0"/>
              <w:rPr>
                <w:sz w:val="20"/>
                <w:szCs w:val="20"/>
                <w:color w:val="auto"/>
              </w:rPr>
            </w:pPr>
            <w:r>
              <w:rPr>
                <w:rFonts w:ascii="Arial" w:cs="Arial" w:eastAsia="Arial" w:hAnsi="Arial"/>
                <w:sz w:val="18"/>
                <w:szCs w:val="18"/>
                <w:color w:val="auto"/>
              </w:rPr>
              <w:t>Quorum</w:t>
            </w: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held at any time without notice if all the Trustees are present and none protests the lack of notice either prior to</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the meeting or at its commencement, or if those not present waive notice either before or after the meeting.</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Notice by mailing or telegraphing, or delivering by hand, to the usual business address or residence of the</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900" w:type="dxa"/>
            <w:vAlign w:val="bottom"/>
          </w:tcPr>
          <w:p>
            <w:pPr>
              <w:spacing w:after="0"/>
              <w:rPr>
                <w:sz w:val="20"/>
                <w:szCs w:val="20"/>
                <w:color w:val="auto"/>
              </w:rPr>
            </w:pPr>
            <w:r>
              <w:rPr>
                <w:rFonts w:ascii="Arial" w:cs="Arial" w:eastAsia="Arial" w:hAnsi="Arial"/>
                <w:sz w:val="18"/>
                <w:szCs w:val="18"/>
                <w:color w:val="auto"/>
              </w:rPr>
              <w:t>Trustee not less than the time above specified before the meeting shall be sufficient. A majority of the Trustees</w:t>
            </w:r>
          </w:p>
        </w:tc>
        <w:tc>
          <w:tcPr>
            <w:tcW w:w="1520" w:type="dxa"/>
            <w:vAlign w:val="bottom"/>
          </w:tcPr>
          <w:p>
            <w:pPr>
              <w:ind w:left="20"/>
              <w:spacing w:after="0"/>
              <w:rPr>
                <w:sz w:val="20"/>
                <w:szCs w:val="20"/>
                <w:color w:val="auto"/>
              </w:rPr>
            </w:pPr>
            <w:r>
              <w:rPr>
                <w:rFonts w:ascii="Arial" w:cs="Arial" w:eastAsia="Arial" w:hAnsi="Arial"/>
                <w:sz w:val="18"/>
                <w:szCs w:val="18"/>
                <w:color w:val="auto"/>
              </w:rPr>
              <w:t>Participation</w:t>
            </w:r>
          </w:p>
        </w:tc>
        <w:tc>
          <w:tcPr>
            <w:tcW w:w="0" w:type="dxa"/>
            <w:vAlign w:val="bottom"/>
          </w:tcPr>
          <w:p>
            <w:pPr>
              <w:spacing w:after="0"/>
              <w:rPr>
                <w:sz w:val="1"/>
                <w:szCs w:val="1"/>
                <w:color w:val="auto"/>
              </w:rPr>
            </w:pPr>
          </w:p>
        </w:tc>
      </w:tr>
      <w:tr>
        <w:trPr>
          <w:trHeight w:val="134"/>
        </w:trPr>
        <w:tc>
          <w:tcPr>
            <w:tcW w:w="10420" w:type="dxa"/>
            <w:vAlign w:val="bottom"/>
            <w:gridSpan w:val="2"/>
          </w:tcPr>
          <w:p>
            <w:pPr>
              <w:spacing w:after="0" w:line="134" w:lineRule="exact"/>
              <w:rPr>
                <w:sz w:val="20"/>
                <w:szCs w:val="20"/>
                <w:color w:val="auto"/>
              </w:rPr>
            </w:pPr>
            <w:r>
              <w:rPr>
                <w:rFonts w:ascii="Arial" w:cs="Arial" w:eastAsia="Arial" w:hAnsi="Arial"/>
                <w:sz w:val="11"/>
                <w:szCs w:val="11"/>
                <w:color w:val="auto"/>
              </w:rPr>
              <w:t xml:space="preserve">in office shall constitute a quorum, but less than such quorum shall have power to adjourn. The Chairman of the </w:t>
            </w:r>
            <w:r>
              <w:rPr>
                <w:rFonts w:ascii="Arial" w:cs="Arial" w:eastAsia="Arial" w:hAnsi="Arial"/>
                <w:sz w:val="15"/>
                <w:szCs w:val="15"/>
                <w:color w:val="auto"/>
                <w:vertAlign w:val="subscript"/>
              </w:rPr>
              <w:t>by</w:t>
            </w: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Board or, in his absence a Chairman pro tem elected by the meeting from among the Trustees present shall</w:t>
            </w:r>
          </w:p>
        </w:tc>
        <w:tc>
          <w:tcPr>
            <w:tcW w:w="1520" w:type="dxa"/>
            <w:vAlign w:val="bottom"/>
            <w:vMerge w:val="restart"/>
          </w:tcPr>
          <w:p>
            <w:pPr>
              <w:ind w:left="20"/>
              <w:spacing w:after="0"/>
              <w:rPr>
                <w:sz w:val="20"/>
                <w:szCs w:val="20"/>
                <w:color w:val="auto"/>
              </w:rPr>
            </w:pPr>
            <w:r>
              <w:rPr>
                <w:rFonts w:ascii="Arial" w:cs="Arial" w:eastAsia="Arial" w:hAnsi="Arial"/>
                <w:sz w:val="18"/>
                <w:szCs w:val="18"/>
                <w:color w:val="auto"/>
              </w:rPr>
              <w:t>Conference</w:t>
            </w:r>
          </w:p>
        </w:tc>
        <w:tc>
          <w:tcPr>
            <w:tcW w:w="0" w:type="dxa"/>
            <w:vAlign w:val="bottom"/>
          </w:tcPr>
          <w:p>
            <w:pPr>
              <w:spacing w:after="0"/>
              <w:rPr>
                <w:sz w:val="1"/>
                <w:szCs w:val="1"/>
                <w:color w:val="auto"/>
              </w:rPr>
            </w:pPr>
          </w:p>
        </w:tc>
      </w:tr>
      <w:tr>
        <w:trPr>
          <w:trHeight w:val="81"/>
        </w:trPr>
        <w:tc>
          <w:tcPr>
            <w:tcW w:w="8900" w:type="dxa"/>
            <w:vAlign w:val="bottom"/>
            <w:vMerge w:val="restart"/>
          </w:tcPr>
          <w:p>
            <w:pPr>
              <w:spacing w:after="0" w:line="189" w:lineRule="exact"/>
              <w:rPr>
                <w:sz w:val="20"/>
                <w:szCs w:val="20"/>
                <w:color w:val="auto"/>
              </w:rPr>
            </w:pPr>
            <w:r>
              <w:rPr>
                <w:rFonts w:ascii="Arial" w:cs="Arial" w:eastAsia="Arial" w:hAnsi="Arial"/>
                <w:sz w:val="18"/>
                <w:szCs w:val="18"/>
                <w:color w:val="auto"/>
              </w:rPr>
              <w:t>preside at all meetings of the Board. Any one or more members of the Board may participate in a meeting of</w:t>
            </w: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8900" w:type="dxa"/>
            <w:vAlign w:val="bottom"/>
            <w:vMerge w:val="continue"/>
          </w:tcPr>
          <w:p>
            <w:pPr>
              <w:spacing w:after="0"/>
              <w:rPr>
                <w:sz w:val="9"/>
                <w:szCs w:val="9"/>
                <w:color w:val="auto"/>
              </w:rPr>
            </w:pPr>
          </w:p>
        </w:tc>
        <w:tc>
          <w:tcPr>
            <w:tcW w:w="1520" w:type="dxa"/>
            <w:vAlign w:val="bottom"/>
            <w:vMerge w:val="restart"/>
          </w:tcPr>
          <w:p>
            <w:pPr>
              <w:ind w:left="20"/>
              <w:spacing w:after="0"/>
              <w:rPr>
                <w:sz w:val="20"/>
                <w:szCs w:val="20"/>
                <w:color w:val="auto"/>
              </w:rPr>
            </w:pPr>
            <w:r>
              <w:rPr>
                <w:rFonts w:ascii="Arial" w:cs="Arial" w:eastAsia="Arial" w:hAnsi="Arial"/>
                <w:sz w:val="18"/>
                <w:szCs w:val="18"/>
                <w:color w:val="auto"/>
              </w:rPr>
              <w:t>Telephone</w:t>
            </w:r>
          </w:p>
        </w:tc>
        <w:tc>
          <w:tcPr>
            <w:tcW w:w="0" w:type="dxa"/>
            <w:vAlign w:val="bottom"/>
          </w:tcPr>
          <w:p>
            <w:pPr>
              <w:spacing w:after="0"/>
              <w:rPr>
                <w:sz w:val="1"/>
                <w:szCs w:val="1"/>
                <w:color w:val="auto"/>
              </w:rPr>
            </w:pPr>
          </w:p>
        </w:tc>
      </w:tr>
      <w:tr>
        <w:trPr>
          <w:trHeight w:val="109"/>
        </w:trPr>
        <w:tc>
          <w:tcPr>
            <w:tcW w:w="8900" w:type="dxa"/>
            <w:vAlign w:val="bottom"/>
            <w:vMerge w:val="restart"/>
          </w:tcPr>
          <w:p>
            <w:pPr>
              <w:spacing w:after="0" w:line="189" w:lineRule="exact"/>
              <w:rPr>
                <w:sz w:val="20"/>
                <w:szCs w:val="20"/>
                <w:color w:val="auto"/>
              </w:rPr>
            </w:pPr>
            <w:r>
              <w:rPr>
                <w:rFonts w:ascii="Arial" w:cs="Arial" w:eastAsia="Arial" w:hAnsi="Arial"/>
                <w:sz w:val="18"/>
                <w:szCs w:val="18"/>
                <w:color w:val="auto"/>
              </w:rPr>
              <w:t>the Board by means of a conference telephone or similar communications equipment allowing all persons</w:t>
            </w: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890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participating in the meeting to hear each other at the same time. Participation by such means shall constitute</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presence in person at such meeting. Any action required or permitted to be taken by the Board may be taken</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without a meeting if all members of the Board consent in writing to the adoption of a resolution authorizing the</w:t>
            </w:r>
          </w:p>
        </w:tc>
        <w:tc>
          <w:tcPr>
            <w:tcW w:w="1520" w:type="dxa"/>
            <w:vAlign w:val="bottom"/>
          </w:tcPr>
          <w:p>
            <w:pPr>
              <w:ind w:left="20"/>
              <w:spacing w:after="0" w:line="189" w:lineRule="exact"/>
              <w:rPr>
                <w:sz w:val="20"/>
                <w:szCs w:val="20"/>
                <w:color w:val="auto"/>
              </w:rPr>
            </w:pPr>
            <w:r>
              <w:rPr>
                <w:rFonts w:ascii="Arial" w:cs="Arial" w:eastAsia="Arial" w:hAnsi="Arial"/>
                <w:sz w:val="18"/>
                <w:szCs w:val="18"/>
                <w:color w:val="auto"/>
              </w:rPr>
              <w:t>Action by</w:t>
            </w: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action; provided, however, that no action taken by the Board by unanimous written consent shall be taken in</w:t>
            </w:r>
          </w:p>
        </w:tc>
        <w:tc>
          <w:tcPr>
            <w:tcW w:w="1520" w:type="dxa"/>
            <w:vAlign w:val="bottom"/>
          </w:tcPr>
          <w:p>
            <w:pPr>
              <w:ind w:left="20"/>
              <w:spacing w:after="0" w:line="189" w:lineRule="exact"/>
              <w:rPr>
                <w:sz w:val="20"/>
                <w:szCs w:val="20"/>
                <w:color w:val="auto"/>
              </w:rPr>
            </w:pPr>
            <w:r>
              <w:rPr>
                <w:rFonts w:ascii="Arial" w:cs="Arial" w:eastAsia="Arial" w:hAnsi="Arial"/>
                <w:sz w:val="18"/>
                <w:szCs w:val="18"/>
                <w:color w:val="auto"/>
              </w:rPr>
              <w:t>Unanimous</w:t>
            </w: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lieu of a regular monthly meeting of the Board. Each resolution so adopted and the written consents thereto by</w:t>
            </w:r>
          </w:p>
        </w:tc>
        <w:tc>
          <w:tcPr>
            <w:tcW w:w="1520" w:type="dxa"/>
            <w:vAlign w:val="bottom"/>
          </w:tcPr>
          <w:p>
            <w:pPr>
              <w:ind w:left="20"/>
              <w:spacing w:after="0" w:line="189" w:lineRule="exact"/>
              <w:rPr>
                <w:sz w:val="20"/>
                <w:szCs w:val="20"/>
                <w:color w:val="auto"/>
              </w:rPr>
            </w:pPr>
            <w:r>
              <w:rPr>
                <w:rFonts w:ascii="Arial" w:cs="Arial" w:eastAsia="Arial" w:hAnsi="Arial"/>
                <w:sz w:val="18"/>
                <w:szCs w:val="18"/>
                <w:color w:val="auto"/>
              </w:rPr>
              <w:t>Written</w:t>
            </w:r>
          </w:p>
        </w:tc>
        <w:tc>
          <w:tcPr>
            <w:tcW w:w="0" w:type="dxa"/>
            <w:vAlign w:val="bottom"/>
          </w:tcPr>
          <w:p>
            <w:pPr>
              <w:spacing w:after="0"/>
              <w:rPr>
                <w:sz w:val="1"/>
                <w:szCs w:val="1"/>
                <w:color w:val="auto"/>
              </w:rPr>
            </w:pPr>
          </w:p>
        </w:tc>
      </w:tr>
      <w:tr>
        <w:trPr>
          <w:trHeight w:val="217"/>
        </w:trPr>
        <w:tc>
          <w:tcPr>
            <w:tcW w:w="8900" w:type="dxa"/>
            <w:vAlign w:val="bottom"/>
          </w:tcPr>
          <w:p>
            <w:pPr>
              <w:spacing w:after="0"/>
              <w:rPr>
                <w:sz w:val="20"/>
                <w:szCs w:val="20"/>
                <w:color w:val="auto"/>
              </w:rPr>
            </w:pPr>
            <w:r>
              <w:rPr>
                <w:rFonts w:ascii="Arial" w:cs="Arial" w:eastAsia="Arial" w:hAnsi="Arial"/>
                <w:sz w:val="18"/>
                <w:szCs w:val="18"/>
                <w:color w:val="auto"/>
              </w:rPr>
              <w:t>the members of the Board shall be filed with the minutes of the proceedings of the Board.</w:t>
            </w:r>
          </w:p>
        </w:tc>
        <w:tc>
          <w:tcPr>
            <w:tcW w:w="1520" w:type="dxa"/>
            <w:vAlign w:val="bottom"/>
          </w:tcPr>
          <w:p>
            <w:pPr>
              <w:ind w:left="20"/>
              <w:spacing w:after="0"/>
              <w:rPr>
                <w:sz w:val="20"/>
                <w:szCs w:val="20"/>
                <w:color w:val="auto"/>
              </w:rPr>
            </w:pPr>
            <w:r>
              <w:rPr>
                <w:rFonts w:ascii="Arial" w:cs="Arial" w:eastAsia="Arial" w:hAnsi="Arial"/>
                <w:sz w:val="18"/>
                <w:szCs w:val="18"/>
                <w:color w:val="auto"/>
              </w:rPr>
              <w:t>Consent</w:t>
            </w:r>
          </w:p>
        </w:tc>
        <w:tc>
          <w:tcPr>
            <w:tcW w:w="0" w:type="dxa"/>
            <w:vAlign w:val="bottom"/>
          </w:tcPr>
          <w:p>
            <w:pPr>
              <w:spacing w:after="0"/>
              <w:rPr>
                <w:sz w:val="1"/>
                <w:szCs w:val="1"/>
                <w:color w:val="auto"/>
              </w:rPr>
            </w:pPr>
          </w:p>
        </w:tc>
      </w:tr>
      <w:tr>
        <w:trPr>
          <w:trHeight w:val="215"/>
        </w:trPr>
        <w:tc>
          <w:tcPr>
            <w:tcW w:w="8900" w:type="dxa"/>
            <w:vAlign w:val="bottom"/>
          </w:tcPr>
          <w:p>
            <w:pPr>
              <w:spacing w:after="0"/>
              <w:rPr>
                <w:sz w:val="20"/>
                <w:szCs w:val="20"/>
                <w:color w:val="auto"/>
              </w:rPr>
            </w:pPr>
            <w:r>
              <w:rPr>
                <w:rFonts w:ascii="Arial" w:cs="Arial" w:eastAsia="Arial" w:hAnsi="Arial"/>
                <w:sz w:val="18"/>
                <w:szCs w:val="18"/>
                <w:color w:val="auto"/>
              </w:rPr>
              <w:t>SECTION 10. The Board of Trustees, as soon as may be practical after the election of Trustees in each year,</w:t>
            </w:r>
          </w:p>
        </w:tc>
        <w:tc>
          <w:tcPr>
            <w:tcW w:w="1520" w:type="dxa"/>
            <w:vAlign w:val="bottom"/>
          </w:tcPr>
          <w:p>
            <w:pPr>
              <w:ind w:left="20"/>
              <w:spacing w:after="0"/>
              <w:rPr>
                <w:sz w:val="20"/>
                <w:szCs w:val="20"/>
                <w:color w:val="auto"/>
              </w:rPr>
            </w:pPr>
            <w:r>
              <w:rPr>
                <w:rFonts w:ascii="Arial" w:cs="Arial" w:eastAsia="Arial" w:hAnsi="Arial"/>
                <w:sz w:val="18"/>
                <w:szCs w:val="18"/>
                <w:color w:val="auto"/>
                <w:w w:val="97"/>
              </w:rPr>
              <w:t>Election of Officers</w:t>
            </w: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shall elect from their number a Chairman of the Board and shall elect a President and a Chief Executive Officer</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w w:val="99"/>
              </w:rPr>
              <w:t>of the Company. The Board shall also elect one or more Vice Presidents, a Secretary and a Treasurer, and may</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from time to time elect such other officers as they may deem proper. Any two or more offices may be held by</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900" w:type="dxa"/>
            <w:vAlign w:val="bottom"/>
          </w:tcPr>
          <w:p>
            <w:pPr>
              <w:spacing w:after="0"/>
              <w:rPr>
                <w:sz w:val="20"/>
                <w:szCs w:val="20"/>
                <w:color w:val="auto"/>
              </w:rPr>
            </w:pPr>
            <w:r>
              <w:rPr>
                <w:rFonts w:ascii="Arial" w:cs="Arial" w:eastAsia="Arial" w:hAnsi="Arial"/>
                <w:sz w:val="18"/>
                <w:szCs w:val="18"/>
                <w:color w:val="auto"/>
              </w:rPr>
              <w:t>the same person, except as otherwise may be required by law.</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420"/>
          </w:cols>
          <w:pgMar w:left="340" w:top="1440" w:right="1139" w:bottom="1440" w:gutter="0" w:footer="0" w:header="0"/>
          <w:type w:val="continuous"/>
        </w:sectPr>
      </w:pPr>
    </w:p>
    <w:bookmarkStart w:id="92" w:name="page93"/>
    <w:bookmarkEnd w:id="92"/>
    <w:p>
      <w:pPr>
        <w:spacing w:after="0" w:line="221" w:lineRule="auto"/>
        <w:framePr w:w="1080" w:h="541" w:wrap="auto" w:vAnchor="page" w:hAnchor="page" w:x="9220" w:y="3906"/>
        <w:rPr>
          <w:rFonts w:ascii="Arial" w:cs="Arial" w:eastAsia="Arial" w:hAnsi="Arial"/>
          <w:sz w:val="17"/>
          <w:szCs w:val="17"/>
          <w:color w:val="auto"/>
        </w:rPr>
      </w:pPr>
      <w:r>
        <w:rPr>
          <w:rFonts w:ascii="Arial" w:cs="Arial" w:eastAsia="Arial" w:hAnsi="Arial"/>
          <w:sz w:val="17"/>
          <w:szCs w:val="17"/>
          <w:color w:val="auto"/>
        </w:rPr>
        <w:t>Appointment Executive Committee</w:t>
      </w:r>
    </w:p>
    <w:p>
      <w:pPr>
        <w:jc w:val="both"/>
        <w:spacing w:after="0" w:line="221" w:lineRule="auto"/>
        <w:framePr w:w="940" w:h="541" w:wrap="auto" w:vAnchor="page" w:hAnchor="page" w:x="9220" w:y="7159"/>
        <w:rPr>
          <w:rFonts w:ascii="Arial" w:cs="Arial" w:eastAsia="Arial" w:hAnsi="Arial"/>
          <w:sz w:val="17"/>
          <w:szCs w:val="17"/>
          <w:color w:val="auto"/>
        </w:rPr>
      </w:pPr>
      <w:r>
        <w:rPr>
          <w:rFonts w:ascii="Arial" w:cs="Arial" w:eastAsia="Arial" w:hAnsi="Arial"/>
          <w:sz w:val="17"/>
          <w:szCs w:val="17"/>
          <w:color w:val="auto"/>
        </w:rPr>
        <w:t>Executive Committee Quorum</w:t>
      </w:r>
    </w:p>
    <w:p>
      <w:pPr>
        <w:spacing w:after="0" w:line="199" w:lineRule="auto"/>
        <w:framePr w:w="940" w:h="163" w:wrap="auto" w:vAnchor="page" w:hAnchor="page" w:x="9220" w:y="7983"/>
        <w:rPr>
          <w:rFonts w:ascii="Arial" w:cs="Arial" w:eastAsia="Arial" w:hAnsi="Arial"/>
          <w:sz w:val="17"/>
          <w:szCs w:val="17"/>
          <w:color w:val="auto"/>
        </w:rPr>
      </w:pPr>
      <w:r>
        <w:rPr>
          <w:rFonts w:ascii="Arial" w:cs="Arial" w:eastAsia="Arial" w:hAnsi="Arial"/>
          <w:sz w:val="17"/>
          <w:szCs w:val="17"/>
          <w:color w:val="auto"/>
        </w:rPr>
        <w:t>Committee</w:t>
      </w:r>
    </w:p>
    <w:p>
      <w:pPr>
        <w:spacing w:after="0" w:line="199" w:lineRule="auto"/>
        <w:framePr w:w="800" w:h="163" w:wrap="auto" w:vAnchor="page" w:hAnchor="page" w:x="9220" w:y="8172"/>
        <w:rPr>
          <w:rFonts w:ascii="Arial" w:cs="Arial" w:eastAsia="Arial" w:hAnsi="Arial"/>
          <w:sz w:val="17"/>
          <w:szCs w:val="17"/>
          <w:color w:val="auto"/>
        </w:rPr>
      </w:pPr>
      <w:r>
        <w:rPr>
          <w:rFonts w:ascii="Arial" w:cs="Arial" w:eastAsia="Arial" w:hAnsi="Arial"/>
          <w:sz w:val="17"/>
          <w:szCs w:val="17"/>
          <w:color w:val="auto"/>
        </w:rPr>
        <w:t>Meetings</w:t>
      </w:r>
    </w:p>
    <w:p>
      <w:pPr>
        <w:spacing w:after="0" w:line="224" w:lineRule="auto"/>
        <w:framePr w:w="1060" w:h="730" w:wrap="auto" w:vAnchor="page" w:hAnchor="page" w:x="9220" w:y="9090"/>
        <w:rPr>
          <w:rFonts w:ascii="Arial" w:cs="Arial" w:eastAsia="Arial" w:hAnsi="Arial"/>
          <w:sz w:val="17"/>
          <w:szCs w:val="17"/>
          <w:color w:val="auto"/>
        </w:rPr>
      </w:pPr>
      <w:r>
        <w:rPr>
          <w:rFonts w:ascii="Arial" w:cs="Arial" w:eastAsia="Arial" w:hAnsi="Arial"/>
          <w:sz w:val="17"/>
          <w:szCs w:val="17"/>
          <w:color w:val="auto"/>
        </w:rPr>
        <w:t>Participation by Conference Telephone</w:t>
      </w:r>
    </w:p>
    <w:p>
      <w:pPr>
        <w:spacing w:after="0" w:line="224" w:lineRule="auto"/>
        <w:framePr w:w="980" w:h="730" w:wrap="auto" w:vAnchor="page" w:hAnchor="page" w:x="9220" w:y="10089"/>
        <w:rPr>
          <w:rFonts w:ascii="Arial" w:cs="Arial" w:eastAsia="Arial" w:hAnsi="Arial"/>
          <w:sz w:val="17"/>
          <w:szCs w:val="17"/>
          <w:color w:val="auto"/>
        </w:rPr>
      </w:pPr>
      <w:r>
        <w:rPr>
          <w:rFonts w:ascii="Arial" w:cs="Arial" w:eastAsia="Arial" w:hAnsi="Arial"/>
          <w:sz w:val="17"/>
          <w:szCs w:val="17"/>
          <w:color w:val="auto"/>
        </w:rPr>
        <w:t>Action by Unanimous Written Consent</w:t>
      </w:r>
    </w:p>
    <w:p>
      <w:pPr>
        <w:spacing w:after="0" w:line="209" w:lineRule="auto"/>
        <w:framePr w:w="780" w:h="541" w:wrap="auto" w:vAnchor="page" w:hAnchor="page" w:x="9220" w:y="3150"/>
        <w:rPr>
          <w:rFonts w:ascii="Arial" w:cs="Arial" w:eastAsia="Arial" w:hAnsi="Arial"/>
          <w:sz w:val="18"/>
          <w:szCs w:val="18"/>
          <w:color w:val="auto"/>
        </w:rPr>
      </w:pPr>
      <w:r>
        <w:rPr>
          <w:rFonts w:ascii="Arial" w:cs="Arial" w:eastAsia="Arial" w:hAnsi="Arial"/>
          <w:sz w:val="18"/>
          <w:szCs w:val="18"/>
          <w:color w:val="auto"/>
        </w:rPr>
        <w:t>Duties of Other Officers</w:t>
      </w:r>
    </w:p>
    <w:p>
      <w:pPr>
        <w:spacing w:after="0" w:line="279" w:lineRule="exact"/>
        <w:rPr>
          <w:rFonts w:ascii="Arial" w:cs="Arial" w:eastAsia="Arial" w:hAnsi="Arial"/>
          <w:sz w:val="18"/>
          <w:szCs w:val="18"/>
          <w:color w:val="auto"/>
        </w:rPr>
      </w:pPr>
    </w:p>
    <w:p>
      <w:pPr>
        <w:spacing w:after="0" w:line="229" w:lineRule="auto"/>
        <w:rPr>
          <w:sz w:val="20"/>
          <w:szCs w:val="20"/>
          <w:color w:val="auto"/>
        </w:rPr>
      </w:pPr>
      <w:r>
        <w:rPr>
          <w:rFonts w:ascii="Arial" w:cs="Arial" w:eastAsia="Arial" w:hAnsi="Arial"/>
          <w:sz w:val="18"/>
          <w:szCs w:val="18"/>
          <w:color w:val="auto"/>
        </w:rPr>
        <w:t>SECTION 11. The term of office of all officers shall be until the next election of Trustees and until their respective successors are chosen and qualify, but any officer may be removed from office at any time by the Board of Trustees. Vacancies among the officers may be filled by the Board of Trustees at any meeting</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8"/>
          <w:szCs w:val="18"/>
          <w:color w:val="auto"/>
        </w:rPr>
        <w:t>Term of</w:t>
      </w:r>
    </w:p>
    <w:p>
      <w:pPr>
        <w:spacing w:after="0"/>
        <w:rPr>
          <w:sz w:val="20"/>
          <w:szCs w:val="20"/>
          <w:color w:val="auto"/>
        </w:rPr>
      </w:pPr>
      <w:r>
        <w:rPr>
          <w:rFonts w:ascii="Arial" w:cs="Arial" w:eastAsia="Arial" w:hAnsi="Arial"/>
          <w:sz w:val="18"/>
          <w:szCs w:val="18"/>
          <w:color w:val="auto"/>
        </w:rPr>
        <w:t>Office</w:t>
      </w:r>
    </w:p>
    <w:p>
      <w:pPr>
        <w:spacing w:after="0" w:line="22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Vacancies</w:t>
      </w:r>
    </w:p>
    <w:p>
      <w:pPr>
        <w:spacing w:after="0" w:line="48" w:lineRule="exact"/>
        <w:rPr>
          <w:rFonts w:ascii="Arial" w:cs="Arial" w:eastAsia="Arial" w:hAnsi="Arial"/>
          <w:sz w:val="18"/>
          <w:szCs w:val="18"/>
          <w:color w:val="auto"/>
        </w:rPr>
      </w:pPr>
    </w:p>
    <w:p>
      <w:pPr>
        <w:sectPr>
          <w:pgSz w:w="11900" w:h="16838" w:orient="portrait"/>
          <w:cols w:equalWidth="0" w:num="2">
            <w:col w:w="8600" w:space="320"/>
            <w:col w:w="1199"/>
          </w:cols>
          <w:pgMar w:left="340" w:top="1440" w:right="1440" w:bottom="1440" w:gutter="0" w:footer="0" w:header="0"/>
        </w:sectPr>
      </w:pPr>
    </w:p>
    <w:p>
      <w:pPr>
        <w:ind w:right="419"/>
        <w:spacing w:after="0" w:line="232" w:lineRule="auto"/>
        <w:rPr>
          <w:sz w:val="20"/>
          <w:szCs w:val="20"/>
          <w:color w:val="auto"/>
        </w:rPr>
      </w:pPr>
      <w:r>
        <w:rPr>
          <w:rFonts w:ascii="Arial" w:cs="Arial" w:eastAsia="Arial" w:hAnsi="Arial"/>
          <w:sz w:val="17"/>
          <w:szCs w:val="17"/>
          <w:color w:val="auto"/>
        </w:rPr>
        <w:t>SECTION 12. The Chairman of the Board and the President shall have such duties as usually pertain to their Duties of respective offices, except as otherwise directed by the Board of Trustees or the Executive Committee, and shall Executive also have such powers and duties as may from time to time be conferred upon them by the Board of Trustees Officers or the Executive Committee. The Vice Presidents and the other officers of the Company shall have such duties</w:t>
      </w:r>
    </w:p>
    <w:p>
      <w:pPr>
        <w:ind w:right="1299"/>
        <w:spacing w:after="0" w:line="227" w:lineRule="auto"/>
        <w:rPr>
          <w:sz w:val="20"/>
          <w:szCs w:val="20"/>
          <w:color w:val="auto"/>
        </w:rPr>
      </w:pPr>
      <w:r>
        <w:rPr>
          <w:rFonts w:ascii="Arial" w:cs="Arial" w:eastAsia="Arial" w:hAnsi="Arial"/>
          <w:sz w:val="18"/>
          <w:szCs w:val="18"/>
          <w:color w:val="auto"/>
        </w:rPr>
        <w:t>as usually pertain to their respective offices, except as otherwise directed by the Board of Trustees, the Executive Committee, the Chairman of the Board or the President, and shall also have such powers and duties as may from time to time be conferred upon them by the Board of Trustees, the Executive Committee, the Chairman of the Board or the President.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right="1279"/>
        <w:spacing w:after="0" w:line="220" w:lineRule="auto"/>
        <w:rPr>
          <w:sz w:val="20"/>
          <w:szCs w:val="20"/>
          <w:color w:val="auto"/>
        </w:rPr>
      </w:pPr>
      <w:r>
        <w:rPr>
          <w:rFonts w:ascii="Arial" w:cs="Arial" w:eastAsia="Arial" w:hAnsi="Arial"/>
          <w:sz w:val="18"/>
          <w:szCs w:val="18"/>
          <w:color w:val="auto"/>
        </w:rPr>
        <w:t>SECTION 13. The Board of Trustees, as soon as may be after the election of Trustees in each year, may by a resolution passed by a majority of the whole Board, appoint an Executive Committee, to consist of the Chairman of the Board and three or more additional Trustees as the Board may from time to time determine, which shall have and may exercise during the intervals between the meetings of the Board all the powers vested in the Board except that neither the Executive Committee nor any other committee appointed pursuant to this section of the By-laws shall have authority as to any of the following matters: the submission to stockholders of any action as to which stockholders’ authorization is required by law; the filling of vacancies on the Board or on any committee thereof; the fixing of compensation of any Trustee for serving on the Board or on any committee thereof; the amendment or repeal of these By-laws, or the adoption of new By-laws; and the amendment or repeal of any resolution of the Board which by its terms shall not be so amendable or repealable. The Board shall have the power at any time to change the membership of such Executive Committee and to fill vacancies in it. The Executive Committee may make rules for the conduct of its business and may appoint such committees and assistants as it may deem necessary. Four members of said Executive Committee shall constitute a quorum. The Chairman of the Board or, in his absence a Chairman pro tem elected by the meeting from among the members of the Executive Committee present shall preside at all meetings of the Executive Committee. The Board may designate one or more Trustees as alternate members of any committee appointed pursuant to this section of the By-laws who may replace any absent member or members at any meeting of such committee. The Board of Trustees may also from time to time appoint other committees consisting of three or more Trustees with such powers as may be granted to them by the Board of Trustees, subject to the restrictions contained in this section of the By-laws. Any one or more members of any committee appointed pursuant to this section may participate in any meeting of such committee by means of a conference telephone or similar communications equipment allowing all persons participating in the meeting to hear each other at the same time. Participation by such means shall constitute presence in person at such meeting. Any action required or permitted to be taken by any committee appointed pursuant to this section may be taken without a meeting if all members of such committee consent in writing to the adoption of a resolution authorizing the action. Each resolution so adopted and the written consents thereto by the members of such committee shall be filed with the minutes of the proceedings of such committee.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5" w:lineRule="exact"/>
        <w:rPr>
          <w:rFonts w:ascii="Arial" w:cs="Arial" w:eastAsia="Arial" w:hAnsi="Arial"/>
          <w:sz w:val="18"/>
          <w:szCs w:val="18"/>
          <w:color w:val="auto"/>
        </w:rPr>
      </w:pPr>
    </w:p>
    <w:p>
      <w:pPr>
        <w:ind w:left="554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119"/>
          </w:cols>
          <w:pgMar w:left="340" w:top="1440" w:right="1440" w:bottom="1440" w:gutter="0" w:footer="0" w:header="0"/>
          <w:type w:val="continuous"/>
        </w:sectPr>
      </w:pPr>
    </w:p>
    <w:bookmarkStart w:id="93" w:name="page94"/>
    <w:bookmarkEnd w:id="93"/>
    <w:p>
      <w:pPr>
        <w:spacing w:after="0" w:line="3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SECTION 14. The Board of Trustees are authorized to select such depositories as they shall deem proper for the funds of the Company. All checks and drafts against such deposited funds shall be signed by such person or persons and in such manner as may be specified by the Board of Trustees.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Depositories Signatures</w:t>
      </w:r>
    </w:p>
    <w:p>
      <w:pPr>
        <w:spacing w:after="0" w:line="201" w:lineRule="exact"/>
        <w:rPr>
          <w:sz w:val="20"/>
          <w:szCs w:val="20"/>
          <w:color w:val="auto"/>
        </w:rPr>
      </w:pPr>
    </w:p>
    <w:p>
      <w:pPr>
        <w:sectPr>
          <w:pgSz w:w="11900" w:h="16838" w:orient="portrait"/>
          <w:cols w:equalWidth="0" w:num="2">
            <w:col w:w="8720" w:space="200"/>
            <w:col w:w="1200"/>
          </w:cols>
          <w:pgMar w:left="340" w:top="1440" w:right="1439" w:bottom="1440" w:gutter="0" w:footer="0" w:header="0"/>
        </w:sectPr>
      </w:pPr>
    </w:p>
    <w:p>
      <w:pPr>
        <w:spacing w:after="0" w:line="220" w:lineRule="auto"/>
        <w:rPr>
          <w:sz w:val="20"/>
          <w:szCs w:val="20"/>
          <w:color w:val="auto"/>
        </w:rPr>
      </w:pPr>
      <w:r>
        <w:rPr>
          <w:rFonts w:ascii="Arial" w:cs="Arial" w:eastAsia="Arial" w:hAnsi="Arial"/>
          <w:sz w:val="18"/>
          <w:szCs w:val="18"/>
          <w:color w:val="auto"/>
        </w:rPr>
        <w:t>SECTION 15. The Company shall fully indemnify in all circumstances to the extent not prohibited by law any person made, or threatened to be made, a party to an action or proceeding, whether civil or criminal, including an investigative, administrative or legislative proceeding, and including an action by or in the right of the Company or any other corporation of any type or kind, domestic or foreign, or any partnership, joint venture, trust, employee benefit plan or other enterprise, by reason of the fact that he, his testator or intestate, is or was a Trustee or officer of the Company, or is or was serving at the request of the Company any other corporation of any type or kind, domestic or foreign, or any partnership, joint venture, trust, employee benefit plan or other enterprise, as a director, officer or in any other capacity against any and all judgments, fines, amounts paid in settlement, and expenses, including attorneys’ fees, actually and reasonably incurred as a result of or in connection with any such action or proceeding or related appeal; provided, however, that no indemnification shall be made to or on behalf of any Trustee, director or officer if a judgment or other final adjudication adverse to the Trustee, director or officer establishes that his acts were committed in bad faith or were the result of active and deliberate dishonesty and were material to the cause of action so adjudicated, or that he personally gained in fact a financial profit or other advantage to which he was not legally entitled; and, except in the case of an action or proceeding specifically approved by the Board of Trustees, the Company shall pay expenses incurred by or on behalf of such a person in defending such a civil or criminal action or proceeding (including appeals) in advance of the final disposition of such action or proceeding promptly upon receipt by the Company, from time to time, of a written demand of such person for such advancement, together with an undertaking by or on behalf of such person to repay any expenses so advanced to the extent that the person receiving the advancement is ultimately found not to be entitled to indemnification for such expenses; and the right to indemnification and advancement of defense expenses granted by or pursuant to this by-law (i) shall not limit or exclude, but shall be in addition to, any other rights which may be granted by or pursuant to any statute, certificate of incorporation, by-law, resolution or agreement, (ii) shall be deemed to constitute contractual obligations of the Company to any Trustee, director or officer who serves in such capacity at any time while this by-law is in effect, (iii) are intended to be retroactive and shall be available with respect to events occurring prior to the adoption of this by-law and (iv) shall continue to exist after the repeal or modification hereof with respect to events occurring prior thereto. It is the intent of this by-law to require the Company to indemnify the persons referred to herein for the aforementioned judgments, fines, amounts paid in settlement and expenses, including attorneys’ fees, in each and every circumstance in which such indemnification could lawfully be permitted by an express provision of a by-law, and the indemnification required by this by-law shall not be limited by the absence of an express recital of such circumstances. The Company may, with the approval of the Board of Trustees, enter into an agreement with any person who is, or is about to become, a Trustee or officer of the Company, or who is serving, or is about to serve, at the request of the Company, any other corporation of any type or kind, domestic or foreign, or any partnership, joint venture, trust, employee benefit plan or other enterprise, as a director, officer or in any other capacity, which agreement may provide for indemnification of such person and advancement of defense expenses to such person upon such terms, and to the extent, as may be permitted by law.</w:t>
      </w:r>
    </w:p>
    <w:p>
      <w:pPr>
        <w:spacing w:after="0" w:line="20" w:lineRule="exact"/>
        <w:rPr>
          <w:sz w:val="20"/>
          <w:szCs w:val="20"/>
          <w:color w:val="auto"/>
        </w:rPr>
      </w:pPr>
      <w:r>
        <w:rPr>
          <w:sz w:val="20"/>
          <w:szCs w:val="20"/>
          <w:color w:val="auto"/>
        </w:rPr>
        <w:br w:type="column"/>
      </w:r>
    </w:p>
    <w:p>
      <w:pPr>
        <w:spacing w:after="0" w:line="245" w:lineRule="auto"/>
        <w:rPr>
          <w:sz w:val="20"/>
          <w:szCs w:val="20"/>
          <w:color w:val="auto"/>
        </w:rPr>
      </w:pPr>
      <w:r>
        <w:rPr>
          <w:rFonts w:ascii="Arial" w:cs="Arial" w:eastAsia="Arial" w:hAnsi="Arial"/>
          <w:sz w:val="17"/>
          <w:szCs w:val="17"/>
          <w:color w:val="auto"/>
        </w:rPr>
        <w:t>Indemnification of Trustees and Officers</w:t>
      </w:r>
    </w:p>
    <w:p>
      <w:pPr>
        <w:spacing w:after="0" w:line="6621" w:lineRule="exact"/>
        <w:rPr>
          <w:sz w:val="20"/>
          <w:szCs w:val="20"/>
          <w:color w:val="auto"/>
        </w:rPr>
      </w:pPr>
    </w:p>
    <w:p>
      <w:pPr>
        <w:sectPr>
          <w:pgSz w:w="11900" w:h="16838" w:orient="portrait"/>
          <w:cols w:equalWidth="0" w:num="2">
            <w:col w:w="8860" w:space="60"/>
            <w:col w:w="1200"/>
          </w:cols>
          <w:pgMar w:left="340" w:top="1440"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120"/>
          </w:cols>
          <w:pgMar w:left="340" w:top="1440" w:right="1439" w:bottom="1440" w:gutter="0" w:footer="0" w:header="0"/>
          <w:type w:val="continuous"/>
        </w:sectPr>
      </w:pPr>
    </w:p>
    <w:bookmarkStart w:id="94" w:name="page95"/>
    <w:bookmarkEnd w:id="94"/>
    <w:p>
      <w:pPr>
        <w:spacing w:after="0" w:line="36" w:lineRule="exact"/>
        <w:rPr>
          <w:sz w:val="20"/>
          <w:szCs w:val="20"/>
          <w:color w:val="auto"/>
        </w:rPr>
      </w:pPr>
    </w:p>
    <w:p>
      <w:pPr>
        <w:ind w:right="1319"/>
        <w:spacing w:after="0" w:line="229" w:lineRule="auto"/>
        <w:rPr>
          <w:sz w:val="20"/>
          <w:szCs w:val="20"/>
          <w:color w:val="auto"/>
        </w:rPr>
      </w:pPr>
      <w:r>
        <w:rPr>
          <w:rFonts w:ascii="Arial" w:cs="Arial" w:eastAsia="Arial" w:hAnsi="Arial"/>
          <w:sz w:val="18"/>
          <w:szCs w:val="18"/>
          <w:color w:val="auto"/>
        </w:rPr>
        <w:t>SECTION 16. Wherever the expression “Trustees” or “Board of Trustees” is used in these By-laws the same shall be deemed to apply to the Directors or Board of Directors, as the case may be, if the designation of those persons constituting the governing board of this Company is changed from “Trustees” to “Directors”.</w:t>
      </w:r>
    </w:p>
    <w:p>
      <w:pPr>
        <w:sectPr>
          <w:pgSz w:w="11900" w:h="16838" w:orient="portrait"/>
          <w:cols w:equalWidth="0" w:num="1">
            <w:col w:w="10119"/>
          </w:cols>
          <w:pgMar w:left="340" w:top="1440" w:right="1440" w:bottom="1440" w:gutter="0" w:footer="0" w:header="0"/>
        </w:sectPr>
      </w:pPr>
    </w:p>
    <w:p>
      <w:pPr>
        <w:spacing w:after="0" w:line="2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SECTION 17. Either the Board of Trustees or the stockholders may alter or amend these By-laws at any meeting duly held as above provided, the notice of which includes notice of the proposed amendment.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39"/>
        <w:spacing w:after="0" w:line="258" w:lineRule="auto"/>
        <w:rPr>
          <w:sz w:val="20"/>
          <w:szCs w:val="20"/>
          <w:color w:val="auto"/>
        </w:rPr>
      </w:pPr>
      <w:r>
        <w:rPr>
          <w:rFonts w:ascii="Arial" w:cs="Arial" w:eastAsia="Arial" w:hAnsi="Arial"/>
          <w:sz w:val="17"/>
          <w:szCs w:val="17"/>
          <w:color w:val="auto"/>
        </w:rPr>
        <w:t>Amendment of By-laws</w:t>
      </w:r>
    </w:p>
    <w:p>
      <w:pPr>
        <w:spacing w:after="0" w:line="200" w:lineRule="exact"/>
        <w:rPr>
          <w:sz w:val="20"/>
          <w:szCs w:val="20"/>
          <w:color w:val="auto"/>
        </w:rPr>
      </w:pPr>
    </w:p>
    <w:p>
      <w:pPr>
        <w:sectPr>
          <w:pgSz w:w="11900" w:h="16838" w:orient="portrait"/>
          <w:cols w:equalWidth="0" w:num="2">
            <w:col w:w="8280" w:space="640"/>
            <w:col w:w="1199"/>
          </w:cols>
          <w:pgMar w:left="3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0119"/>
          </w:cols>
          <w:pgMar w:left="340" w:top="1440" w:right="1440" w:bottom="1440" w:gutter="0" w:footer="0" w:header="0"/>
          <w:type w:val="continuous"/>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1083310</wp:posOffset>
            </wp:positionV>
            <wp:extent cx="7080885" cy="8255"/>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19">
                      <a:extLst>
                        <a:ext uri="{28A0092B-C50C-407E-A947-70E740481C1C}"/>
                      </a:extLst>
                    </a:blip>
                    <a:srcRect/>
                    <a:stretch>
                      <a:fillRect/>
                    </a:stretch>
                  </pic:blipFill>
                  <pic:spPr bwMode="auto">
                    <a:xfrm>
                      <a:off x="0" y="0"/>
                      <a:ext cx="7080885"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1109345</wp:posOffset>
            </wp:positionV>
            <wp:extent cx="7080885" cy="8255"/>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2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EMERGENCY BY-LAWS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CONSOLIDATED EDISON COMPANY OF NEW YORK, INC.</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As Amended</w:t>
      </w:r>
    </w:p>
    <w:p>
      <w:pPr>
        <w:jc w:val="center"/>
        <w:ind w:right="-119"/>
        <w:spacing w:after="0"/>
        <w:rPr>
          <w:sz w:val="20"/>
          <w:szCs w:val="20"/>
          <w:color w:val="auto"/>
        </w:rPr>
      </w:pPr>
      <w:r>
        <w:rPr>
          <w:rFonts w:ascii="Arial" w:cs="Arial" w:eastAsia="Arial" w:hAnsi="Arial"/>
          <w:sz w:val="18"/>
          <w:szCs w:val="18"/>
          <w:color w:val="auto"/>
        </w:rPr>
        <w:t>February 19, 2009</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Effective February 19, 2009</w:t>
      </w:r>
    </w:p>
    <w:p>
      <w:pPr>
        <w:spacing w:after="0" w:line="279"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SECTION 1. These Emergency By-laws may be declared effective by the Defense Council of New York as constituted under the New York State Defense Emergency Act in the event of attack and shall cease to be effective when the Council declares the end of the period of attack. These Emergency By-laws shall also be effective in the event of an attack, major disaster, catastrophe, or national or local emergency, during which a quorum of the entire Board of Trustees is unavailable to act in a meeting of the Board called in the manner provided in the By-laws of the Company.</w:t>
      </w:r>
    </w:p>
    <w:p>
      <w:pPr>
        <w:spacing w:after="0" w:line="29"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SECTION 2. During the period in which these Emergency By-laws are effective, the affairs of the Company shall be managed by such Trustees theretofore elected as are available to act, and a majority of such Trustees shall constitute a quorum. In the event that there are less than three Trustees available to act, then and in that event the Board of Trustees shall consist of such Trustees theretofore elected and available to act, if any, plus such number of officers of the Company, added to the Board in the order of seniority by title and, within title, seniority by tenure with the Company, not theretofore elected as Trustees as will make a Board of not less than three nor more than five members. The Board as so constituted shall continue until such time as a quorum of the entire Board (including any duly elected successors) becomes available.</w:t>
      </w:r>
    </w:p>
    <w:p>
      <w:pPr>
        <w:spacing w:after="0" w:line="31"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SECTION 3. The By-laws of the Company shall remain in effect during the period in which these Emergency By-laws are effective to the extent that said By-laws are not inconsistent with these Emergency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80"/>
          </w:cols>
          <w:pgMar w:left="340" w:top="1440" w:right="47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Timothy P. Cawley, certify that:</w:t>
      </w:r>
    </w:p>
    <w:p>
      <w:pPr>
        <w:spacing w:after="0" w:line="225" w:lineRule="exact"/>
        <w:rPr>
          <w:sz w:val="20"/>
          <w:szCs w:val="20"/>
          <w:color w:val="auto"/>
        </w:rPr>
      </w:pPr>
    </w:p>
    <w:p>
      <w:pPr>
        <w:ind w:left="980" w:right="360"/>
        <w:spacing w:after="0" w:line="261"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2021 of Consolidated Edison, Inc.;</w:t>
      </w:r>
    </w:p>
    <w:p>
      <w:pPr>
        <w:spacing w:after="0" w:line="197" w:lineRule="exact"/>
        <w:rPr>
          <w:rFonts w:ascii="Arial" w:cs="Arial" w:eastAsia="Arial" w:hAnsi="Arial"/>
          <w:sz w:val="18"/>
          <w:szCs w:val="18"/>
          <w:color w:val="auto"/>
        </w:rPr>
      </w:pPr>
    </w:p>
    <w:p>
      <w:pPr>
        <w:ind w:left="980" w:right="120"/>
        <w:spacing w:after="0" w:line="256"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980" w:right="280"/>
        <w:spacing w:after="0" w:line="256"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980" w:right="100"/>
        <w:spacing w:after="0" w:line="256"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00" w:firstLine="4"/>
        <w:spacing w:after="0" w:line="256" w:lineRule="auto"/>
        <w:tabs>
          <w:tab w:leader="none" w:pos="157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1300" w:right="500" w:firstLine="4"/>
        <w:spacing w:after="0" w:line="256" w:lineRule="auto"/>
        <w:tabs>
          <w:tab w:leader="none" w:pos="157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1300" w:right="300" w:firstLine="4"/>
        <w:spacing w:after="0" w:line="256" w:lineRule="auto"/>
        <w:tabs>
          <w:tab w:leader="none" w:pos="15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60" w:firstLine="4"/>
        <w:spacing w:after="0" w:line="256" w:lineRule="auto"/>
        <w:tabs>
          <w:tab w:leader="none" w:pos="157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980" w:right="320"/>
        <w:spacing w:after="0" w:line="256"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60" w:firstLine="4"/>
        <w:spacing w:after="0" w:line="256" w:lineRule="auto"/>
        <w:tabs>
          <w:tab w:leader="none" w:pos="157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500" w:firstLine="4"/>
        <w:spacing w:after="0" w:line="261" w:lineRule="auto"/>
        <w:tabs>
          <w:tab w:leader="none" w:pos="157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36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Timothy P. Cawley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6350</wp:posOffset>
            </wp:positionV>
            <wp:extent cx="3111500" cy="8890"/>
            <wp:wrapNone/>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21">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Timothy P. Cawley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6"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Robert Hoglund, certify that:</w:t>
      </w:r>
    </w:p>
    <w:p>
      <w:pPr>
        <w:spacing w:after="0" w:line="225" w:lineRule="exact"/>
        <w:rPr>
          <w:sz w:val="20"/>
          <w:szCs w:val="20"/>
          <w:color w:val="auto"/>
        </w:rPr>
      </w:pPr>
    </w:p>
    <w:p>
      <w:pPr>
        <w:ind w:left="980" w:right="360"/>
        <w:spacing w:after="0" w:line="261"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2021 of Consolidated Edison, Inc.;</w:t>
      </w:r>
    </w:p>
    <w:p>
      <w:pPr>
        <w:spacing w:after="0" w:line="197" w:lineRule="exact"/>
        <w:rPr>
          <w:rFonts w:ascii="Arial" w:cs="Arial" w:eastAsia="Arial" w:hAnsi="Arial"/>
          <w:sz w:val="18"/>
          <w:szCs w:val="18"/>
          <w:color w:val="auto"/>
        </w:rPr>
      </w:pPr>
    </w:p>
    <w:p>
      <w:pPr>
        <w:ind w:left="980" w:right="120"/>
        <w:spacing w:after="0" w:line="256"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980" w:right="280"/>
        <w:spacing w:after="0" w:line="256"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980" w:right="100"/>
        <w:spacing w:after="0" w:line="256"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00" w:firstLine="4"/>
        <w:spacing w:after="0" w:line="256" w:lineRule="auto"/>
        <w:tabs>
          <w:tab w:leader="none" w:pos="157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1300" w:right="500" w:firstLine="4"/>
        <w:spacing w:after="0" w:line="256" w:lineRule="auto"/>
        <w:tabs>
          <w:tab w:leader="none" w:pos="157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1300" w:right="300" w:firstLine="4"/>
        <w:spacing w:after="0" w:line="256" w:lineRule="auto"/>
        <w:tabs>
          <w:tab w:leader="none" w:pos="15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60" w:firstLine="4"/>
        <w:spacing w:after="0" w:line="256" w:lineRule="auto"/>
        <w:tabs>
          <w:tab w:leader="none" w:pos="157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980" w:right="320"/>
        <w:spacing w:after="0" w:line="256"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60" w:firstLine="4"/>
        <w:spacing w:after="0" w:line="256" w:lineRule="auto"/>
        <w:tabs>
          <w:tab w:leader="none" w:pos="157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500" w:firstLine="4"/>
        <w:spacing w:after="0" w:line="261" w:lineRule="auto"/>
        <w:tabs>
          <w:tab w:leader="none" w:pos="157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36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Robert Hoglund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6350</wp:posOffset>
            </wp:positionV>
            <wp:extent cx="3120390" cy="8890"/>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22">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Robert Hoglund</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6"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Timothy P. Cawley, certify that:</w:t>
      </w:r>
    </w:p>
    <w:p>
      <w:pPr>
        <w:spacing w:after="0" w:line="225" w:lineRule="exact"/>
        <w:rPr>
          <w:sz w:val="20"/>
          <w:szCs w:val="20"/>
          <w:color w:val="auto"/>
        </w:rPr>
      </w:pPr>
    </w:p>
    <w:p>
      <w:pPr>
        <w:ind w:left="980" w:right="420"/>
        <w:spacing w:after="0" w:line="261"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2021 of Consolidated Edison Company of New York, Inc.;</w:t>
      </w:r>
    </w:p>
    <w:p>
      <w:pPr>
        <w:spacing w:after="0" w:line="197" w:lineRule="exact"/>
        <w:rPr>
          <w:rFonts w:ascii="Arial" w:cs="Arial" w:eastAsia="Arial" w:hAnsi="Arial"/>
          <w:sz w:val="18"/>
          <w:szCs w:val="18"/>
          <w:color w:val="auto"/>
        </w:rPr>
      </w:pPr>
    </w:p>
    <w:p>
      <w:pPr>
        <w:ind w:left="980" w:right="120"/>
        <w:spacing w:after="0" w:line="256"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980" w:right="280"/>
        <w:spacing w:after="0" w:line="256"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980" w:right="100"/>
        <w:spacing w:after="0" w:line="256"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00" w:firstLine="4"/>
        <w:spacing w:after="0" w:line="256" w:lineRule="auto"/>
        <w:tabs>
          <w:tab w:leader="none" w:pos="15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1300" w:right="500" w:firstLine="4"/>
        <w:spacing w:after="0" w:line="256" w:lineRule="auto"/>
        <w:tabs>
          <w:tab w:leader="none" w:pos="15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1300" w:right="300" w:firstLine="4"/>
        <w:spacing w:after="0" w:line="256" w:lineRule="auto"/>
        <w:tabs>
          <w:tab w:leader="none" w:pos="15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60" w:firstLine="4"/>
        <w:spacing w:after="0" w:line="256" w:lineRule="auto"/>
        <w:tabs>
          <w:tab w:leader="none" w:pos="15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980" w:right="320"/>
        <w:spacing w:after="0" w:line="256"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60" w:firstLine="4"/>
        <w:spacing w:after="0" w:line="256" w:lineRule="auto"/>
        <w:tabs>
          <w:tab w:leader="none" w:pos="15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500" w:firstLine="4"/>
        <w:spacing w:after="0" w:line="261" w:lineRule="auto"/>
        <w:tabs>
          <w:tab w:leader="none" w:pos="15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36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Timothy P. Cawley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6350</wp:posOffset>
            </wp:positionV>
            <wp:extent cx="3111500" cy="8255"/>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2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Timothy P. Cawley</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86"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Robert Hoglund, certify that:</w:t>
      </w:r>
    </w:p>
    <w:p>
      <w:pPr>
        <w:spacing w:after="0" w:line="225" w:lineRule="exact"/>
        <w:rPr>
          <w:sz w:val="20"/>
          <w:szCs w:val="20"/>
          <w:color w:val="auto"/>
        </w:rPr>
      </w:pPr>
    </w:p>
    <w:p>
      <w:pPr>
        <w:ind w:left="980" w:right="420"/>
        <w:spacing w:after="0" w:line="261"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2021 of Consolidated Edison Company of New York, Inc.;</w:t>
      </w:r>
    </w:p>
    <w:p>
      <w:pPr>
        <w:spacing w:after="0" w:line="197" w:lineRule="exact"/>
        <w:rPr>
          <w:rFonts w:ascii="Arial" w:cs="Arial" w:eastAsia="Arial" w:hAnsi="Arial"/>
          <w:sz w:val="18"/>
          <w:szCs w:val="18"/>
          <w:color w:val="auto"/>
        </w:rPr>
      </w:pPr>
    </w:p>
    <w:p>
      <w:pPr>
        <w:ind w:left="980" w:right="120"/>
        <w:spacing w:after="0" w:line="256"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980" w:right="280"/>
        <w:spacing w:after="0" w:line="256"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980" w:right="100"/>
        <w:spacing w:after="0" w:line="256"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00" w:firstLine="4"/>
        <w:spacing w:after="0" w:line="256" w:lineRule="auto"/>
        <w:tabs>
          <w:tab w:leader="none" w:pos="157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1300" w:right="500" w:firstLine="4"/>
        <w:spacing w:after="0" w:line="256" w:lineRule="auto"/>
        <w:tabs>
          <w:tab w:leader="none" w:pos="157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1300" w:right="300" w:firstLine="4"/>
        <w:spacing w:after="0" w:line="256" w:lineRule="auto"/>
        <w:tabs>
          <w:tab w:leader="none" w:pos="15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60" w:firstLine="4"/>
        <w:spacing w:after="0" w:line="256" w:lineRule="auto"/>
        <w:tabs>
          <w:tab w:leader="none" w:pos="157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980" w:right="320"/>
        <w:spacing w:after="0" w:line="256"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60" w:firstLine="4"/>
        <w:spacing w:after="0" w:line="256" w:lineRule="auto"/>
        <w:tabs>
          <w:tab w:leader="none" w:pos="157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500" w:firstLine="4"/>
        <w:spacing w:after="0" w:line="261" w:lineRule="auto"/>
        <w:tabs>
          <w:tab w:leader="none" w:pos="157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36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Robert Hoglund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6350</wp:posOffset>
            </wp:positionV>
            <wp:extent cx="3111500" cy="8890"/>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24">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Robert Hoglund</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6"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Under Section 906 of the Sarbanes-Oxley Act of 2002</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 Timothy P. Cawley, the Chief Executive Officer of Consolidated Edison, Inc. (the “Company”) certify that the Company’s Quarterly Report on Form 10-Q for the quarterly period ended June 30, 2021, which this statement accompanies,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spacing w:after="0" w:line="33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Timothy P. Cawley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6350</wp:posOffset>
            </wp:positionV>
            <wp:extent cx="2588895" cy="8890"/>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25">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Timothy P. Cawley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ectPr>
          <w:pgSz w:w="11900" w:h="16838" w:orient="portrait"/>
          <w:cols w:equalWidth="0" w:num="1">
            <w:col w:w="11240"/>
          </w:cols>
          <w:pgMar w:left="320" w:top="886"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Under Section 906 of the Sarbanes-Oxley Act of 2002</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 Robert Hoglund, the Chief Financial Officer of Consolidated Edison, Inc. (the “Company”) certify that the Company’s Quarterly Report on Form 10-Q for the quarterly period ended June 30, 2021, which this statement accompanies,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spacing w:after="0" w:line="33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Robert Hoglund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6350</wp:posOffset>
            </wp:positionV>
            <wp:extent cx="2588895" cy="8890"/>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6">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Robert Hoglund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ectPr>
          <w:pgSz w:w="11900" w:h="16838" w:orient="portrait"/>
          <w:cols w:equalWidth="0" w:num="1">
            <w:col w:w="11240"/>
          </w:cols>
          <w:pgMar w:left="320" w:top="886"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Under Section 906 of the Sarbanes-Oxley Act of 2002</w:t>
      </w:r>
    </w:p>
    <w:p>
      <w:pPr>
        <w:spacing w:after="0" w:line="24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 Timothy P. Cawley, the Chief Executive Officer of Consolidated Edison Company of New York, Inc. (the “Company”) certify that the Company’s Quarterly Report on Form 10-Q for the quarterly period ended June 30, 2021, which this statement accompanies,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spacing w:after="0" w:line="34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Timothy P. Cawley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6350</wp:posOffset>
            </wp:positionV>
            <wp:extent cx="2588895" cy="8255"/>
            <wp:wrapNone/>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2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Timothy P. Cawley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ectPr>
          <w:pgSz w:w="11900" w:h="16838" w:orient="portrait"/>
          <w:cols w:equalWidth="0" w:num="1">
            <w:col w:w="11240"/>
          </w:cols>
          <w:pgMar w:left="320" w:top="886"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Under Section 906 of the Sarbanes-Oxley Act of 2002</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 Robert Hoglund, the Chief Financial Officer of Consolidated Edison Company of New York, Inc. (the “Company”) certify that the Company’s Quarterly Report on Form 10-Q for the quarterly period ended June 30, 2021, which this statement accompanies,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spacing w:after="0" w:line="34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Robert Hoglund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6350</wp:posOffset>
            </wp:positionV>
            <wp:extent cx="2588895" cy="8255"/>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2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Robert Hoglund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lowerLetter"/>
      <w:start w:val="1"/>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1)"/>
      <w:numFmt w:val="lowerLetter"/>
      <w:start w:val="4"/>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png"/><Relationship Id="rId2740" Type="http://schemas.openxmlformats.org/officeDocument/2006/relationships/image" Target="media/image2733.png"/><Relationship Id="rId2741" Type="http://schemas.openxmlformats.org/officeDocument/2006/relationships/image" Target="media/image2734.pn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png"/><Relationship Id="rId2754" Type="http://schemas.openxmlformats.org/officeDocument/2006/relationships/image" Target="media/image2747.png"/><Relationship Id="rId2755" Type="http://schemas.openxmlformats.org/officeDocument/2006/relationships/image" Target="media/image2748.png"/><Relationship Id="rId2756" Type="http://schemas.openxmlformats.org/officeDocument/2006/relationships/image" Target="media/image2749.pn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png"/><Relationship Id="rId2761" Type="http://schemas.openxmlformats.org/officeDocument/2006/relationships/image" Target="media/image2754.png"/><Relationship Id="rId2762" Type="http://schemas.openxmlformats.org/officeDocument/2006/relationships/image" Target="media/image2755.png"/><Relationship Id="rId2763" Type="http://schemas.openxmlformats.org/officeDocument/2006/relationships/image" Target="media/image2756.png"/><Relationship Id="rId2764" Type="http://schemas.openxmlformats.org/officeDocument/2006/relationships/image" Target="media/image2757.png"/><Relationship Id="rId2765" Type="http://schemas.openxmlformats.org/officeDocument/2006/relationships/image" Target="media/image2758.png"/><Relationship Id="rId2766" Type="http://schemas.openxmlformats.org/officeDocument/2006/relationships/image" Target="media/image2759.png"/><Relationship Id="rId2767" Type="http://schemas.openxmlformats.org/officeDocument/2006/relationships/image" Target="media/image2760.png"/><Relationship Id="rId2768" Type="http://schemas.openxmlformats.org/officeDocument/2006/relationships/image" Target="media/image2761.png"/><Relationship Id="rId2769" Type="http://schemas.openxmlformats.org/officeDocument/2006/relationships/image" Target="media/image2762.pn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png"/><Relationship Id="rId2778" Type="http://schemas.openxmlformats.org/officeDocument/2006/relationships/image" Target="media/image2771.png"/><Relationship Id="rId2779" Type="http://schemas.openxmlformats.org/officeDocument/2006/relationships/image" Target="media/image2772.pn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pn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png"/><Relationship Id="rId2809" Type="http://schemas.openxmlformats.org/officeDocument/2006/relationships/image" Target="media/image2802.png"/><Relationship Id="rId2810" Type="http://schemas.openxmlformats.org/officeDocument/2006/relationships/image" Target="media/image2803.pn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png"/><Relationship Id="rId2860" Type="http://schemas.openxmlformats.org/officeDocument/2006/relationships/image" Target="media/image2853.pn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png"/><Relationship Id="rId2864" Type="http://schemas.openxmlformats.org/officeDocument/2006/relationships/image" Target="media/image2857.pn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png"/><Relationship Id="rId2917" Type="http://schemas.openxmlformats.org/officeDocument/2006/relationships/image" Target="media/image2910.pn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png"/><Relationship Id="rId2921" Type="http://schemas.openxmlformats.org/officeDocument/2006/relationships/image" Target="media/image2914.pn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png"/><Relationship Id="rId2935" Type="http://schemas.openxmlformats.org/officeDocument/2006/relationships/image" Target="media/image2928.png"/><Relationship Id="rId2936" Type="http://schemas.openxmlformats.org/officeDocument/2006/relationships/image" Target="media/image2929.png"/><Relationship Id="rId2937" Type="http://schemas.openxmlformats.org/officeDocument/2006/relationships/image" Target="media/image2930.png"/><Relationship Id="rId2938" Type="http://schemas.openxmlformats.org/officeDocument/2006/relationships/image" Target="media/image2931.png"/><Relationship Id="rId2939" Type="http://schemas.openxmlformats.org/officeDocument/2006/relationships/image" Target="media/image2932.png"/><Relationship Id="rId2940" Type="http://schemas.openxmlformats.org/officeDocument/2006/relationships/image" Target="media/image2933.png"/><Relationship Id="rId2941" Type="http://schemas.openxmlformats.org/officeDocument/2006/relationships/image" Target="media/image2934.png"/><Relationship Id="rId2942" Type="http://schemas.openxmlformats.org/officeDocument/2006/relationships/image" Target="media/image2935.png"/><Relationship Id="rId2943" Type="http://schemas.openxmlformats.org/officeDocument/2006/relationships/image" Target="media/image2936.pn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png"/><Relationship Id="rId2947" Type="http://schemas.openxmlformats.org/officeDocument/2006/relationships/image" Target="media/image2940.png"/><Relationship Id="rId2948" Type="http://schemas.openxmlformats.org/officeDocument/2006/relationships/image" Target="media/image2941.png"/><Relationship Id="rId2949" Type="http://schemas.openxmlformats.org/officeDocument/2006/relationships/image" Target="media/image2942.png"/><Relationship Id="rId2950" Type="http://schemas.openxmlformats.org/officeDocument/2006/relationships/image" Target="media/image2943.png"/><Relationship Id="rId2951" Type="http://schemas.openxmlformats.org/officeDocument/2006/relationships/image" Target="media/image2944.png"/><Relationship Id="rId2952" Type="http://schemas.openxmlformats.org/officeDocument/2006/relationships/image" Target="media/image2945.png"/><Relationship Id="rId2953" Type="http://schemas.openxmlformats.org/officeDocument/2006/relationships/image" Target="media/image2946.png"/><Relationship Id="rId2954" Type="http://schemas.openxmlformats.org/officeDocument/2006/relationships/image" Target="media/image2947.png"/><Relationship Id="rId2955" Type="http://schemas.openxmlformats.org/officeDocument/2006/relationships/image" Target="media/image2948.png"/><Relationship Id="rId2956" Type="http://schemas.openxmlformats.org/officeDocument/2006/relationships/image" Target="media/image2949.png"/><Relationship Id="rId2957" Type="http://schemas.openxmlformats.org/officeDocument/2006/relationships/image" Target="media/image2950.png"/><Relationship Id="rId2958" Type="http://schemas.openxmlformats.org/officeDocument/2006/relationships/image" Target="media/image2951.png"/><Relationship Id="rId2959" Type="http://schemas.openxmlformats.org/officeDocument/2006/relationships/image" Target="media/image2952.png"/><Relationship Id="rId2960" Type="http://schemas.openxmlformats.org/officeDocument/2006/relationships/image" Target="media/image2953.png"/><Relationship Id="rId2961" Type="http://schemas.openxmlformats.org/officeDocument/2006/relationships/image" Target="media/image2954.png"/><Relationship Id="rId2962" Type="http://schemas.openxmlformats.org/officeDocument/2006/relationships/image" Target="media/image2955.png"/><Relationship Id="rId2963" Type="http://schemas.openxmlformats.org/officeDocument/2006/relationships/image" Target="media/image2956.png"/><Relationship Id="rId2964" Type="http://schemas.openxmlformats.org/officeDocument/2006/relationships/image" Target="media/image2957.pn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png"/><Relationship Id="rId2968" Type="http://schemas.openxmlformats.org/officeDocument/2006/relationships/image" Target="media/image2961.png"/><Relationship Id="rId2969" Type="http://schemas.openxmlformats.org/officeDocument/2006/relationships/image" Target="media/image2962.png"/><Relationship Id="rId2970" Type="http://schemas.openxmlformats.org/officeDocument/2006/relationships/image" Target="media/image2963.png"/><Relationship Id="rId2971" Type="http://schemas.openxmlformats.org/officeDocument/2006/relationships/image" Target="media/image2964.pn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png"/><Relationship Id="rId2975" Type="http://schemas.openxmlformats.org/officeDocument/2006/relationships/image" Target="media/image2968.png"/><Relationship Id="rId2976" Type="http://schemas.openxmlformats.org/officeDocument/2006/relationships/image" Target="media/image2969.png"/><Relationship Id="rId2977" Type="http://schemas.openxmlformats.org/officeDocument/2006/relationships/image" Target="media/image2970.png"/><Relationship Id="rId2978" Type="http://schemas.openxmlformats.org/officeDocument/2006/relationships/image" Target="media/image2971.png"/><Relationship Id="rId2979" Type="http://schemas.openxmlformats.org/officeDocument/2006/relationships/image" Target="media/image2972.png"/><Relationship Id="rId2980" Type="http://schemas.openxmlformats.org/officeDocument/2006/relationships/image" Target="media/image2973.png"/><Relationship Id="rId2981" Type="http://schemas.openxmlformats.org/officeDocument/2006/relationships/image" Target="media/image2974.png"/><Relationship Id="rId2982" Type="http://schemas.openxmlformats.org/officeDocument/2006/relationships/image" Target="media/image2975.png"/><Relationship Id="rId2983" Type="http://schemas.openxmlformats.org/officeDocument/2006/relationships/image" Target="media/image2976.png"/><Relationship Id="rId2984" Type="http://schemas.openxmlformats.org/officeDocument/2006/relationships/image" Target="media/image2977.png"/><Relationship Id="rId2985" Type="http://schemas.openxmlformats.org/officeDocument/2006/relationships/image" Target="media/image2978.png"/><Relationship Id="rId2986" Type="http://schemas.openxmlformats.org/officeDocument/2006/relationships/image" Target="media/image2979.pn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png"/><Relationship Id="rId2990" Type="http://schemas.openxmlformats.org/officeDocument/2006/relationships/image" Target="media/image2983.png"/><Relationship Id="rId2991" Type="http://schemas.openxmlformats.org/officeDocument/2006/relationships/image" Target="media/image2984.png"/><Relationship Id="rId2992" Type="http://schemas.openxmlformats.org/officeDocument/2006/relationships/image" Target="media/image2985.png"/><Relationship Id="rId2993" Type="http://schemas.openxmlformats.org/officeDocument/2006/relationships/image" Target="media/image2986.png"/><Relationship Id="rId2994" Type="http://schemas.openxmlformats.org/officeDocument/2006/relationships/image" Target="media/image2987.png"/><Relationship Id="rId2995" Type="http://schemas.openxmlformats.org/officeDocument/2006/relationships/image" Target="media/image2988.png"/><Relationship Id="rId2996" Type="http://schemas.openxmlformats.org/officeDocument/2006/relationships/image" Target="media/image2989.png"/><Relationship Id="rId2997" Type="http://schemas.openxmlformats.org/officeDocument/2006/relationships/image" Target="media/image2990.png"/><Relationship Id="rId2998" Type="http://schemas.openxmlformats.org/officeDocument/2006/relationships/image" Target="media/image2991.png"/><Relationship Id="rId2999" Type="http://schemas.openxmlformats.org/officeDocument/2006/relationships/image" Target="media/image2992.png"/><Relationship Id="rId3000" Type="http://schemas.openxmlformats.org/officeDocument/2006/relationships/image" Target="media/image2993.png"/><Relationship Id="rId3001" Type="http://schemas.openxmlformats.org/officeDocument/2006/relationships/image" Target="media/image2994.png"/><Relationship Id="rId3002" Type="http://schemas.openxmlformats.org/officeDocument/2006/relationships/image" Target="media/image2995.png"/><Relationship Id="rId3003" Type="http://schemas.openxmlformats.org/officeDocument/2006/relationships/image" Target="media/image2996.pn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pn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png"/><Relationship Id="rId3021" Type="http://schemas.openxmlformats.org/officeDocument/2006/relationships/image" Target="media/image3014.png"/><Relationship Id="rId3022" Type="http://schemas.openxmlformats.org/officeDocument/2006/relationships/image" Target="media/image3015.png"/><Relationship Id="rId3023" Type="http://schemas.openxmlformats.org/officeDocument/2006/relationships/image" Target="media/image3016.pn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png"/><Relationship Id="rId3027" Type="http://schemas.openxmlformats.org/officeDocument/2006/relationships/image" Target="media/image3020.png"/><Relationship Id="rId3028" Type="http://schemas.openxmlformats.org/officeDocument/2006/relationships/image" Target="media/image3021.png"/><Relationship Id="rId3029" Type="http://schemas.openxmlformats.org/officeDocument/2006/relationships/image" Target="media/image3022.png"/><Relationship Id="rId3030" Type="http://schemas.openxmlformats.org/officeDocument/2006/relationships/image" Target="media/image3023.png"/><Relationship Id="rId3031" Type="http://schemas.openxmlformats.org/officeDocument/2006/relationships/image" Target="media/image3024.png"/><Relationship Id="rId3032" Type="http://schemas.openxmlformats.org/officeDocument/2006/relationships/image" Target="media/image3025.png"/><Relationship Id="rId3033" Type="http://schemas.openxmlformats.org/officeDocument/2006/relationships/image" Target="media/image3026.png"/><Relationship Id="rId3034" Type="http://schemas.openxmlformats.org/officeDocument/2006/relationships/image" Target="media/image3027.png"/><Relationship Id="rId3035" Type="http://schemas.openxmlformats.org/officeDocument/2006/relationships/image" Target="media/image3028.png"/><Relationship Id="rId3036" Type="http://schemas.openxmlformats.org/officeDocument/2006/relationships/image" Target="media/image3029.png"/><Relationship Id="rId3037" Type="http://schemas.openxmlformats.org/officeDocument/2006/relationships/image" Target="media/image3030.png"/><Relationship Id="rId3038" Type="http://schemas.openxmlformats.org/officeDocument/2006/relationships/image" Target="media/image3031.png"/><Relationship Id="rId3039" Type="http://schemas.openxmlformats.org/officeDocument/2006/relationships/image" Target="media/image3032.png"/><Relationship Id="rId3040" Type="http://schemas.openxmlformats.org/officeDocument/2006/relationships/image" Target="media/image3033.png"/><Relationship Id="rId3041" Type="http://schemas.openxmlformats.org/officeDocument/2006/relationships/image" Target="media/image3034.png"/><Relationship Id="rId3042" Type="http://schemas.openxmlformats.org/officeDocument/2006/relationships/image" Target="media/image3035.png"/><Relationship Id="rId3043" Type="http://schemas.openxmlformats.org/officeDocument/2006/relationships/image" Target="media/image3036.png"/><Relationship Id="rId3044" Type="http://schemas.openxmlformats.org/officeDocument/2006/relationships/image" Target="media/image3037.pn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png"/><Relationship Id="rId3048" Type="http://schemas.openxmlformats.org/officeDocument/2006/relationships/image" Target="media/image3041.png"/><Relationship Id="rId3049" Type="http://schemas.openxmlformats.org/officeDocument/2006/relationships/image" Target="media/image3042.png"/><Relationship Id="rId3050" Type="http://schemas.openxmlformats.org/officeDocument/2006/relationships/image" Target="media/image3043.png"/><Relationship Id="rId3051" Type="http://schemas.openxmlformats.org/officeDocument/2006/relationships/image" Target="media/image3044.png"/><Relationship Id="rId3052" Type="http://schemas.openxmlformats.org/officeDocument/2006/relationships/image" Target="media/image3045.png"/><Relationship Id="rId3053" Type="http://schemas.openxmlformats.org/officeDocument/2006/relationships/image" Target="media/image3046.png"/><Relationship Id="rId3054" Type="http://schemas.openxmlformats.org/officeDocument/2006/relationships/image" Target="media/image3047.png"/><Relationship Id="rId3055" Type="http://schemas.openxmlformats.org/officeDocument/2006/relationships/image" Target="media/image3048.png"/><Relationship Id="rId3056" Type="http://schemas.openxmlformats.org/officeDocument/2006/relationships/image" Target="media/image3049.pn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png"/><Relationship Id="rId3062" Type="http://schemas.openxmlformats.org/officeDocument/2006/relationships/image" Target="media/image3055.png"/><Relationship Id="rId3063" Type="http://schemas.openxmlformats.org/officeDocument/2006/relationships/image" Target="media/image3056.png"/><Relationship Id="rId3064" Type="http://schemas.openxmlformats.org/officeDocument/2006/relationships/image" Target="media/image3057.png"/><Relationship Id="rId3065" Type="http://schemas.openxmlformats.org/officeDocument/2006/relationships/image" Target="media/image3058.png"/><Relationship Id="rId3066" Type="http://schemas.openxmlformats.org/officeDocument/2006/relationships/image" Target="media/image3059.pn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png"/><Relationship Id="rId3072" Type="http://schemas.openxmlformats.org/officeDocument/2006/relationships/image" Target="media/image3065.png"/><Relationship Id="rId3073" Type="http://schemas.openxmlformats.org/officeDocument/2006/relationships/image" Target="media/image3066.png"/><Relationship Id="rId3074" Type="http://schemas.openxmlformats.org/officeDocument/2006/relationships/image" Target="media/image3067.png"/><Relationship Id="rId3075" Type="http://schemas.openxmlformats.org/officeDocument/2006/relationships/image" Target="media/image3068.png"/><Relationship Id="rId3076" Type="http://schemas.openxmlformats.org/officeDocument/2006/relationships/image" Target="media/image3069.png"/><Relationship Id="rId3077" Type="http://schemas.openxmlformats.org/officeDocument/2006/relationships/image" Target="media/image3070.png"/><Relationship Id="rId3078" Type="http://schemas.openxmlformats.org/officeDocument/2006/relationships/image" Target="media/image3071.png"/><Relationship Id="rId3079" Type="http://schemas.openxmlformats.org/officeDocument/2006/relationships/image" Target="media/image3072.png"/><Relationship Id="rId3080" Type="http://schemas.openxmlformats.org/officeDocument/2006/relationships/image" Target="media/image3073.png"/><Relationship Id="rId3081" Type="http://schemas.openxmlformats.org/officeDocument/2006/relationships/image" Target="media/image3074.png"/><Relationship Id="rId3082" Type="http://schemas.openxmlformats.org/officeDocument/2006/relationships/image" Target="media/image3075.png"/><Relationship Id="rId3083" Type="http://schemas.openxmlformats.org/officeDocument/2006/relationships/image" Target="media/image3076.png"/><Relationship Id="rId3084" Type="http://schemas.openxmlformats.org/officeDocument/2006/relationships/image" Target="media/image3077.png"/><Relationship Id="rId3085" Type="http://schemas.openxmlformats.org/officeDocument/2006/relationships/image" Target="media/image3078.png"/><Relationship Id="rId3086" Type="http://schemas.openxmlformats.org/officeDocument/2006/relationships/image" Target="media/image3079.png"/><Relationship Id="rId3087" Type="http://schemas.openxmlformats.org/officeDocument/2006/relationships/image" Target="media/image3080.png"/><Relationship Id="rId3088" Type="http://schemas.openxmlformats.org/officeDocument/2006/relationships/image" Target="media/image3081.png"/><Relationship Id="rId3089" Type="http://schemas.openxmlformats.org/officeDocument/2006/relationships/image" Target="media/image3082.png"/><Relationship Id="rId3090" Type="http://schemas.openxmlformats.org/officeDocument/2006/relationships/image" Target="media/image3083.png"/><Relationship Id="rId3091" Type="http://schemas.openxmlformats.org/officeDocument/2006/relationships/image" Target="media/image3084.png"/><Relationship Id="rId3092" Type="http://schemas.openxmlformats.org/officeDocument/2006/relationships/image" Target="media/image3085.png"/><Relationship Id="rId3093" Type="http://schemas.openxmlformats.org/officeDocument/2006/relationships/image" Target="media/image3086.png"/><Relationship Id="rId3094" Type="http://schemas.openxmlformats.org/officeDocument/2006/relationships/image" Target="media/image3087.png"/><Relationship Id="rId3095" Type="http://schemas.openxmlformats.org/officeDocument/2006/relationships/image" Target="media/image3088.png"/><Relationship Id="rId3096" Type="http://schemas.openxmlformats.org/officeDocument/2006/relationships/image" Target="media/image3089.png"/><Relationship Id="rId3097" Type="http://schemas.openxmlformats.org/officeDocument/2006/relationships/image" Target="media/image3090.png"/><Relationship Id="rId3098" Type="http://schemas.openxmlformats.org/officeDocument/2006/relationships/image" Target="media/image3091.png"/><Relationship Id="rId3099" Type="http://schemas.openxmlformats.org/officeDocument/2006/relationships/image" Target="media/image3092.png"/><Relationship Id="rId3100" Type="http://schemas.openxmlformats.org/officeDocument/2006/relationships/image" Target="media/image3093.png"/><Relationship Id="rId3101" Type="http://schemas.openxmlformats.org/officeDocument/2006/relationships/image" Target="media/image3094.png"/><Relationship Id="rId3102" Type="http://schemas.openxmlformats.org/officeDocument/2006/relationships/image" Target="media/image3095.png"/><Relationship Id="rId3103" Type="http://schemas.openxmlformats.org/officeDocument/2006/relationships/image" Target="media/image3096.png"/><Relationship Id="rId3104" Type="http://schemas.openxmlformats.org/officeDocument/2006/relationships/image" Target="media/image3097.png"/><Relationship Id="rId3105" Type="http://schemas.openxmlformats.org/officeDocument/2006/relationships/image" Target="media/image3098.png"/><Relationship Id="rId3106" Type="http://schemas.openxmlformats.org/officeDocument/2006/relationships/image" Target="media/image3099.png"/><Relationship Id="rId3107" Type="http://schemas.openxmlformats.org/officeDocument/2006/relationships/image" Target="media/image3100.png"/><Relationship Id="rId3108" Type="http://schemas.openxmlformats.org/officeDocument/2006/relationships/image" Target="media/image3101.png"/><Relationship Id="rId3109" Type="http://schemas.openxmlformats.org/officeDocument/2006/relationships/image" Target="media/image3102.png"/><Relationship Id="rId3110" Type="http://schemas.openxmlformats.org/officeDocument/2006/relationships/image" Target="media/image3103.png"/><Relationship Id="rId3111" Type="http://schemas.openxmlformats.org/officeDocument/2006/relationships/image" Target="media/image3104.png"/><Relationship Id="rId3112" Type="http://schemas.openxmlformats.org/officeDocument/2006/relationships/image" Target="media/image3105.png"/><Relationship Id="rId3113" Type="http://schemas.openxmlformats.org/officeDocument/2006/relationships/image" Target="media/image3106.png"/><Relationship Id="rId3114" Type="http://schemas.openxmlformats.org/officeDocument/2006/relationships/image" Target="media/image3107.png"/><Relationship Id="rId3115" Type="http://schemas.openxmlformats.org/officeDocument/2006/relationships/image" Target="media/image3108.png"/><Relationship Id="rId3116" Type="http://schemas.openxmlformats.org/officeDocument/2006/relationships/image" Target="media/image3109.png"/><Relationship Id="rId3117" Type="http://schemas.openxmlformats.org/officeDocument/2006/relationships/image" Target="media/image3110.png"/><Relationship Id="rId3118" Type="http://schemas.openxmlformats.org/officeDocument/2006/relationships/image" Target="media/image3111.png"/><Relationship Id="rId3119" Type="http://schemas.openxmlformats.org/officeDocument/2006/relationships/image" Target="media/image3112.png"/><Relationship Id="rId3120" Type="http://schemas.openxmlformats.org/officeDocument/2006/relationships/image" Target="media/image3113.png"/><Relationship Id="rId3121" Type="http://schemas.openxmlformats.org/officeDocument/2006/relationships/image" Target="media/image3114.png"/><Relationship Id="rId3122" Type="http://schemas.openxmlformats.org/officeDocument/2006/relationships/image" Target="media/image3115.png"/><Relationship Id="rId3123" Type="http://schemas.openxmlformats.org/officeDocument/2006/relationships/image" Target="media/image3116.png"/><Relationship Id="rId3124" Type="http://schemas.openxmlformats.org/officeDocument/2006/relationships/image" Target="media/image3117.png"/><Relationship Id="rId3125" Type="http://schemas.openxmlformats.org/officeDocument/2006/relationships/image" Target="media/image3118.png"/><Relationship Id="rId3126" Type="http://schemas.openxmlformats.org/officeDocument/2006/relationships/image" Target="media/image3119.png"/><Relationship Id="rId3127" Type="http://schemas.openxmlformats.org/officeDocument/2006/relationships/image" Target="media/image3120.png"/><Relationship Id="rId3128" Type="http://schemas.openxmlformats.org/officeDocument/2006/relationships/image" Target="media/image3121.png"/><Relationship Id="rId3129" Type="http://schemas.openxmlformats.org/officeDocument/2006/relationships/image" Target="media/image3122.png"/><Relationship Id="rId3130" Type="http://schemas.openxmlformats.org/officeDocument/2006/relationships/image" Target="media/image3123.png"/><Relationship Id="rId3131" Type="http://schemas.openxmlformats.org/officeDocument/2006/relationships/image" Target="media/image3124.png"/><Relationship Id="rId3132" Type="http://schemas.openxmlformats.org/officeDocument/2006/relationships/image" Target="media/image3125.png"/><Relationship Id="rId3133" Type="http://schemas.openxmlformats.org/officeDocument/2006/relationships/image" Target="media/image3126.png"/><Relationship Id="rId3134" Type="http://schemas.openxmlformats.org/officeDocument/2006/relationships/image" Target="media/image3127.png"/><Relationship Id="rId3135" Type="http://schemas.openxmlformats.org/officeDocument/2006/relationships/image" Target="media/image3128.pn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png"/><Relationship Id="rId3139" Type="http://schemas.openxmlformats.org/officeDocument/2006/relationships/image" Target="media/image3132.pn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png"/><Relationship Id="rId3143" Type="http://schemas.openxmlformats.org/officeDocument/2006/relationships/image" Target="media/image3136.png"/><Relationship Id="rId3144" Type="http://schemas.openxmlformats.org/officeDocument/2006/relationships/image" Target="media/image3137.png"/><Relationship Id="rId3145" Type="http://schemas.openxmlformats.org/officeDocument/2006/relationships/image" Target="media/image3138.png"/><Relationship Id="rId3146" Type="http://schemas.openxmlformats.org/officeDocument/2006/relationships/image" Target="media/image3139.png"/><Relationship Id="rId3147" Type="http://schemas.openxmlformats.org/officeDocument/2006/relationships/image" Target="media/image3140.png"/><Relationship Id="rId3148" Type="http://schemas.openxmlformats.org/officeDocument/2006/relationships/image" Target="media/image3141.png"/><Relationship Id="rId3149" Type="http://schemas.openxmlformats.org/officeDocument/2006/relationships/image" Target="media/image3142.png"/><Relationship Id="rId3150" Type="http://schemas.openxmlformats.org/officeDocument/2006/relationships/image" Target="media/image3143.png"/><Relationship Id="rId3151" Type="http://schemas.openxmlformats.org/officeDocument/2006/relationships/image" Target="media/image3144.png"/><Relationship Id="rId3152" Type="http://schemas.openxmlformats.org/officeDocument/2006/relationships/image" Target="media/image3145.png"/><Relationship Id="rId3153" Type="http://schemas.openxmlformats.org/officeDocument/2006/relationships/image" Target="media/image3146.png"/><Relationship Id="rId3154" Type="http://schemas.openxmlformats.org/officeDocument/2006/relationships/image" Target="media/image3147.png"/><Relationship Id="rId3155" Type="http://schemas.openxmlformats.org/officeDocument/2006/relationships/image" Target="media/image3148.png"/><Relationship Id="rId3156" Type="http://schemas.openxmlformats.org/officeDocument/2006/relationships/image" Target="media/image3149.png"/><Relationship Id="rId3157" Type="http://schemas.openxmlformats.org/officeDocument/2006/relationships/image" Target="media/image3150.png"/><Relationship Id="rId3158" Type="http://schemas.openxmlformats.org/officeDocument/2006/relationships/image" Target="media/image3151.png"/><Relationship Id="rId3159" Type="http://schemas.openxmlformats.org/officeDocument/2006/relationships/image" Target="media/image3152.png"/><Relationship Id="rId3160" Type="http://schemas.openxmlformats.org/officeDocument/2006/relationships/image" Target="media/image3153.png"/><Relationship Id="rId3161" Type="http://schemas.openxmlformats.org/officeDocument/2006/relationships/image" Target="media/image3154.png"/><Relationship Id="rId3162" Type="http://schemas.openxmlformats.org/officeDocument/2006/relationships/image" Target="media/image3155.png"/><Relationship Id="rId3163" Type="http://schemas.openxmlformats.org/officeDocument/2006/relationships/image" Target="media/image3156.png"/><Relationship Id="rId3164" Type="http://schemas.openxmlformats.org/officeDocument/2006/relationships/image" Target="media/image3157.png"/><Relationship Id="rId3165" Type="http://schemas.openxmlformats.org/officeDocument/2006/relationships/image" Target="media/image3158.png"/><Relationship Id="rId3166" Type="http://schemas.openxmlformats.org/officeDocument/2006/relationships/image" Target="media/image3159.png"/><Relationship Id="rId3167" Type="http://schemas.openxmlformats.org/officeDocument/2006/relationships/image" Target="media/image3160.png"/><Relationship Id="rId3168" Type="http://schemas.openxmlformats.org/officeDocument/2006/relationships/image" Target="media/image3161.png"/><Relationship Id="rId3169" Type="http://schemas.openxmlformats.org/officeDocument/2006/relationships/image" Target="media/image3162.png"/><Relationship Id="rId3170" Type="http://schemas.openxmlformats.org/officeDocument/2006/relationships/image" Target="media/image3163.png"/><Relationship Id="rId3171" Type="http://schemas.openxmlformats.org/officeDocument/2006/relationships/image" Target="media/image3164.png"/><Relationship Id="rId3172" Type="http://schemas.openxmlformats.org/officeDocument/2006/relationships/image" Target="media/image3165.png"/><Relationship Id="rId3173" Type="http://schemas.openxmlformats.org/officeDocument/2006/relationships/image" Target="media/image3166.png"/><Relationship Id="rId3174" Type="http://schemas.openxmlformats.org/officeDocument/2006/relationships/image" Target="media/image3167.png"/><Relationship Id="rId3175" Type="http://schemas.openxmlformats.org/officeDocument/2006/relationships/image" Target="media/image3168.png"/><Relationship Id="rId3176" Type="http://schemas.openxmlformats.org/officeDocument/2006/relationships/image" Target="media/image3169.png"/><Relationship Id="rId3177" Type="http://schemas.openxmlformats.org/officeDocument/2006/relationships/image" Target="media/image3170.png"/><Relationship Id="rId3178" Type="http://schemas.openxmlformats.org/officeDocument/2006/relationships/image" Target="media/image3171.png"/><Relationship Id="rId3179" Type="http://schemas.openxmlformats.org/officeDocument/2006/relationships/image" Target="media/image3172.png"/><Relationship Id="rId3180" Type="http://schemas.openxmlformats.org/officeDocument/2006/relationships/image" Target="media/image3173.png"/><Relationship Id="rId3181" Type="http://schemas.openxmlformats.org/officeDocument/2006/relationships/image" Target="media/image3174.png"/><Relationship Id="rId3182" Type="http://schemas.openxmlformats.org/officeDocument/2006/relationships/image" Target="media/image3175.png"/><Relationship Id="rId3183" Type="http://schemas.openxmlformats.org/officeDocument/2006/relationships/image" Target="media/image3176.png"/><Relationship Id="rId3184" Type="http://schemas.openxmlformats.org/officeDocument/2006/relationships/image" Target="media/image3177.png"/><Relationship Id="rId3185" Type="http://schemas.openxmlformats.org/officeDocument/2006/relationships/image" Target="media/image3178.png"/><Relationship Id="rId3186" Type="http://schemas.openxmlformats.org/officeDocument/2006/relationships/image" Target="media/image3179.png"/><Relationship Id="rId3187" Type="http://schemas.openxmlformats.org/officeDocument/2006/relationships/image" Target="media/image3180.png"/><Relationship Id="rId3188" Type="http://schemas.openxmlformats.org/officeDocument/2006/relationships/image" Target="media/image3181.png"/><Relationship Id="rId3189" Type="http://schemas.openxmlformats.org/officeDocument/2006/relationships/image" Target="media/image3182.png"/><Relationship Id="rId3190" Type="http://schemas.openxmlformats.org/officeDocument/2006/relationships/image" Target="media/image3183.png"/><Relationship Id="rId3191" Type="http://schemas.openxmlformats.org/officeDocument/2006/relationships/image" Target="media/image3184.png"/><Relationship Id="rId3192" Type="http://schemas.openxmlformats.org/officeDocument/2006/relationships/image" Target="media/image3185.png"/><Relationship Id="rId3193" Type="http://schemas.openxmlformats.org/officeDocument/2006/relationships/image" Target="media/image3186.png"/><Relationship Id="rId3194" Type="http://schemas.openxmlformats.org/officeDocument/2006/relationships/image" Target="media/image3187.png"/><Relationship Id="rId3195" Type="http://schemas.openxmlformats.org/officeDocument/2006/relationships/image" Target="media/image3188.png"/><Relationship Id="rId3196" Type="http://schemas.openxmlformats.org/officeDocument/2006/relationships/image" Target="media/image3189.png"/><Relationship Id="rId3197" Type="http://schemas.openxmlformats.org/officeDocument/2006/relationships/image" Target="media/image3190.png"/><Relationship Id="rId3198" Type="http://schemas.openxmlformats.org/officeDocument/2006/relationships/image" Target="media/image3191.png"/><Relationship Id="rId3199" Type="http://schemas.openxmlformats.org/officeDocument/2006/relationships/image" Target="media/image3192.png"/><Relationship Id="rId3200" Type="http://schemas.openxmlformats.org/officeDocument/2006/relationships/image" Target="media/image3193.png"/><Relationship Id="rId3201" Type="http://schemas.openxmlformats.org/officeDocument/2006/relationships/image" Target="media/image3194.png"/><Relationship Id="rId3202" Type="http://schemas.openxmlformats.org/officeDocument/2006/relationships/image" Target="media/image3195.png"/><Relationship Id="rId3203" Type="http://schemas.openxmlformats.org/officeDocument/2006/relationships/image" Target="media/image3196.png"/><Relationship Id="rId3204" Type="http://schemas.openxmlformats.org/officeDocument/2006/relationships/image" Target="media/image3197.png"/><Relationship Id="rId3205" Type="http://schemas.openxmlformats.org/officeDocument/2006/relationships/image" Target="media/image3198.png"/><Relationship Id="rId3206" Type="http://schemas.openxmlformats.org/officeDocument/2006/relationships/image" Target="media/image3199.png"/><Relationship Id="rId3207" Type="http://schemas.openxmlformats.org/officeDocument/2006/relationships/image" Target="media/image3200.png"/><Relationship Id="rId3208" Type="http://schemas.openxmlformats.org/officeDocument/2006/relationships/image" Target="media/image3201.png"/><Relationship Id="rId3209" Type="http://schemas.openxmlformats.org/officeDocument/2006/relationships/image" Target="media/image3202.png"/><Relationship Id="rId3210" Type="http://schemas.openxmlformats.org/officeDocument/2006/relationships/image" Target="media/image3203.png"/><Relationship Id="rId3211" Type="http://schemas.openxmlformats.org/officeDocument/2006/relationships/image" Target="media/image3204.png"/><Relationship Id="rId3212" Type="http://schemas.openxmlformats.org/officeDocument/2006/relationships/image" Target="media/image3205.png"/><Relationship Id="rId3213" Type="http://schemas.openxmlformats.org/officeDocument/2006/relationships/image" Target="media/image3206.png"/><Relationship Id="rId3214" Type="http://schemas.openxmlformats.org/officeDocument/2006/relationships/image" Target="media/image3207.png"/><Relationship Id="rId3215" Type="http://schemas.openxmlformats.org/officeDocument/2006/relationships/image" Target="media/image3208.png"/><Relationship Id="rId3216" Type="http://schemas.openxmlformats.org/officeDocument/2006/relationships/image" Target="media/image3209.png"/><Relationship Id="rId3217" Type="http://schemas.openxmlformats.org/officeDocument/2006/relationships/image" Target="media/image3210.png"/><Relationship Id="rId3218" Type="http://schemas.openxmlformats.org/officeDocument/2006/relationships/image" Target="media/image3211.png"/><Relationship Id="rId3219" Type="http://schemas.openxmlformats.org/officeDocument/2006/relationships/image" Target="media/image3212.png"/><Relationship Id="rId3220" Type="http://schemas.openxmlformats.org/officeDocument/2006/relationships/image" Target="media/image3213.png"/><Relationship Id="rId3221" Type="http://schemas.openxmlformats.org/officeDocument/2006/relationships/image" Target="media/image3214.png"/><Relationship Id="rId3222" Type="http://schemas.openxmlformats.org/officeDocument/2006/relationships/image" Target="media/image3215.png"/><Relationship Id="rId3223" Type="http://schemas.openxmlformats.org/officeDocument/2006/relationships/image" Target="media/image3216.png"/><Relationship Id="rId3224" Type="http://schemas.openxmlformats.org/officeDocument/2006/relationships/image" Target="media/image3217.png"/><Relationship Id="rId3225" Type="http://schemas.openxmlformats.org/officeDocument/2006/relationships/image" Target="media/image3218.png"/><Relationship Id="rId3226" Type="http://schemas.openxmlformats.org/officeDocument/2006/relationships/image" Target="media/image3219.png"/><Relationship Id="rId3227" Type="http://schemas.openxmlformats.org/officeDocument/2006/relationships/image" Target="media/image3220.png"/><Relationship Id="rId3228" Type="http://schemas.openxmlformats.org/officeDocument/2006/relationships/image" Target="media/image3221.png"/><Relationship Id="rId3229" Type="http://schemas.openxmlformats.org/officeDocument/2006/relationships/image" Target="media/image3222.png"/><Relationship Id="rId3230" Type="http://schemas.openxmlformats.org/officeDocument/2006/relationships/image" Target="media/image3223.png"/><Relationship Id="rId3231" Type="http://schemas.openxmlformats.org/officeDocument/2006/relationships/image" Target="media/image3224.png"/><Relationship Id="rId3232" Type="http://schemas.openxmlformats.org/officeDocument/2006/relationships/image" Target="media/image3225.png"/><Relationship Id="rId3233" Type="http://schemas.openxmlformats.org/officeDocument/2006/relationships/image" Target="media/image3226.png"/><Relationship Id="rId3234" Type="http://schemas.openxmlformats.org/officeDocument/2006/relationships/image" Target="media/image3227.png"/><Relationship Id="rId3235" Type="http://schemas.openxmlformats.org/officeDocument/2006/relationships/image" Target="media/image3228.png"/><Relationship Id="rId3236" Type="http://schemas.openxmlformats.org/officeDocument/2006/relationships/image" Target="media/image3229.png"/><Relationship Id="rId3237" Type="http://schemas.openxmlformats.org/officeDocument/2006/relationships/image" Target="media/image3230.png"/><Relationship Id="rId3238" Type="http://schemas.openxmlformats.org/officeDocument/2006/relationships/image" Target="media/image3231.png"/><Relationship Id="rId3239" Type="http://schemas.openxmlformats.org/officeDocument/2006/relationships/image" Target="media/image3232.png"/><Relationship Id="rId3240" Type="http://schemas.openxmlformats.org/officeDocument/2006/relationships/image" Target="media/image3233.png"/><Relationship Id="rId3241" Type="http://schemas.openxmlformats.org/officeDocument/2006/relationships/image" Target="media/image3234.png"/><Relationship Id="rId3242" Type="http://schemas.openxmlformats.org/officeDocument/2006/relationships/image" Target="media/image3235.png"/><Relationship Id="rId3243" Type="http://schemas.openxmlformats.org/officeDocument/2006/relationships/image" Target="media/image3236.png"/><Relationship Id="rId3244" Type="http://schemas.openxmlformats.org/officeDocument/2006/relationships/image" Target="media/image3237.png"/><Relationship Id="rId3245" Type="http://schemas.openxmlformats.org/officeDocument/2006/relationships/image" Target="media/image3238.png"/><Relationship Id="rId3246" Type="http://schemas.openxmlformats.org/officeDocument/2006/relationships/image" Target="media/image3239.png"/><Relationship Id="rId3247" Type="http://schemas.openxmlformats.org/officeDocument/2006/relationships/image" Target="media/image3240.png"/><Relationship Id="rId3248" Type="http://schemas.openxmlformats.org/officeDocument/2006/relationships/image" Target="media/image3241.png"/><Relationship Id="rId3249" Type="http://schemas.openxmlformats.org/officeDocument/2006/relationships/image" Target="media/image3242.png"/><Relationship Id="rId3250" Type="http://schemas.openxmlformats.org/officeDocument/2006/relationships/image" Target="media/image3243.png"/><Relationship Id="rId3251" Type="http://schemas.openxmlformats.org/officeDocument/2006/relationships/image" Target="media/image3244.png"/><Relationship Id="rId3252" Type="http://schemas.openxmlformats.org/officeDocument/2006/relationships/image" Target="media/image3245.png"/><Relationship Id="rId3253" Type="http://schemas.openxmlformats.org/officeDocument/2006/relationships/image" Target="media/image3246.png"/><Relationship Id="rId3254" Type="http://schemas.openxmlformats.org/officeDocument/2006/relationships/image" Target="media/image3247.png"/><Relationship Id="rId3255" Type="http://schemas.openxmlformats.org/officeDocument/2006/relationships/image" Target="media/image3248.png"/><Relationship Id="rId3256" Type="http://schemas.openxmlformats.org/officeDocument/2006/relationships/image" Target="media/image3249.png"/><Relationship Id="rId3257" Type="http://schemas.openxmlformats.org/officeDocument/2006/relationships/image" Target="media/image3250.png"/><Relationship Id="rId3258" Type="http://schemas.openxmlformats.org/officeDocument/2006/relationships/image" Target="media/image3251.png"/><Relationship Id="rId3259" Type="http://schemas.openxmlformats.org/officeDocument/2006/relationships/image" Target="media/image3252.png"/><Relationship Id="rId3260" Type="http://schemas.openxmlformats.org/officeDocument/2006/relationships/image" Target="media/image3253.png"/><Relationship Id="rId3261" Type="http://schemas.openxmlformats.org/officeDocument/2006/relationships/image" Target="media/image3254.png"/><Relationship Id="rId3262" Type="http://schemas.openxmlformats.org/officeDocument/2006/relationships/image" Target="media/image3255.png"/><Relationship Id="rId3263" Type="http://schemas.openxmlformats.org/officeDocument/2006/relationships/image" Target="media/image3256.png"/><Relationship Id="rId3264" Type="http://schemas.openxmlformats.org/officeDocument/2006/relationships/image" Target="media/image3257.png"/><Relationship Id="rId3265" Type="http://schemas.openxmlformats.org/officeDocument/2006/relationships/image" Target="media/image3258.png"/><Relationship Id="rId3266" Type="http://schemas.openxmlformats.org/officeDocument/2006/relationships/image" Target="media/image3259.png"/><Relationship Id="rId3267" Type="http://schemas.openxmlformats.org/officeDocument/2006/relationships/image" Target="media/image3260.png"/><Relationship Id="rId3268" Type="http://schemas.openxmlformats.org/officeDocument/2006/relationships/image" Target="media/image3261.png"/><Relationship Id="rId3269" Type="http://schemas.openxmlformats.org/officeDocument/2006/relationships/image" Target="media/image3262.png"/><Relationship Id="rId3270" Type="http://schemas.openxmlformats.org/officeDocument/2006/relationships/image" Target="media/image3263.png"/><Relationship Id="rId3271" Type="http://schemas.openxmlformats.org/officeDocument/2006/relationships/image" Target="media/image3264.png"/><Relationship Id="rId3272" Type="http://schemas.openxmlformats.org/officeDocument/2006/relationships/image" Target="media/image3265.png"/><Relationship Id="rId3273" Type="http://schemas.openxmlformats.org/officeDocument/2006/relationships/image" Target="media/image3266.png"/><Relationship Id="rId3274" Type="http://schemas.openxmlformats.org/officeDocument/2006/relationships/image" Target="media/image3267.png"/><Relationship Id="rId3275" Type="http://schemas.openxmlformats.org/officeDocument/2006/relationships/image" Target="media/image3268.png"/><Relationship Id="rId3276" Type="http://schemas.openxmlformats.org/officeDocument/2006/relationships/image" Target="media/image3269.png"/><Relationship Id="rId3277" Type="http://schemas.openxmlformats.org/officeDocument/2006/relationships/image" Target="media/image3270.png"/><Relationship Id="rId3278" Type="http://schemas.openxmlformats.org/officeDocument/2006/relationships/image" Target="media/image3271.png"/><Relationship Id="rId3279" Type="http://schemas.openxmlformats.org/officeDocument/2006/relationships/image" Target="media/image3272.png"/><Relationship Id="rId3280" Type="http://schemas.openxmlformats.org/officeDocument/2006/relationships/image" Target="media/image3273.png"/><Relationship Id="rId3281" Type="http://schemas.openxmlformats.org/officeDocument/2006/relationships/image" Target="media/image3274.png"/><Relationship Id="rId3282" Type="http://schemas.openxmlformats.org/officeDocument/2006/relationships/image" Target="media/image3275.png"/><Relationship Id="rId3283" Type="http://schemas.openxmlformats.org/officeDocument/2006/relationships/image" Target="media/image3276.png"/><Relationship Id="rId3284" Type="http://schemas.openxmlformats.org/officeDocument/2006/relationships/image" Target="media/image3277.png"/><Relationship Id="rId3285" Type="http://schemas.openxmlformats.org/officeDocument/2006/relationships/image" Target="media/image3278.png"/><Relationship Id="rId3286" Type="http://schemas.openxmlformats.org/officeDocument/2006/relationships/image" Target="media/image3279.png"/><Relationship Id="rId3287" Type="http://schemas.openxmlformats.org/officeDocument/2006/relationships/image" Target="media/image3280.png"/><Relationship Id="rId3288" Type="http://schemas.openxmlformats.org/officeDocument/2006/relationships/image" Target="media/image3281.png"/><Relationship Id="rId3289" Type="http://schemas.openxmlformats.org/officeDocument/2006/relationships/image" Target="media/image3282.png"/><Relationship Id="rId3290" Type="http://schemas.openxmlformats.org/officeDocument/2006/relationships/image" Target="media/image3283.png"/><Relationship Id="rId3291" Type="http://schemas.openxmlformats.org/officeDocument/2006/relationships/image" Target="media/image3284.png"/><Relationship Id="rId3292" Type="http://schemas.openxmlformats.org/officeDocument/2006/relationships/image" Target="media/image3285.png"/><Relationship Id="rId3293" Type="http://schemas.openxmlformats.org/officeDocument/2006/relationships/image" Target="media/image3286.png"/><Relationship Id="rId3294" Type="http://schemas.openxmlformats.org/officeDocument/2006/relationships/image" Target="media/image3287.png"/><Relationship Id="rId3295" Type="http://schemas.openxmlformats.org/officeDocument/2006/relationships/image" Target="media/image3288.png"/><Relationship Id="rId3296" Type="http://schemas.openxmlformats.org/officeDocument/2006/relationships/image" Target="media/image3289.png"/><Relationship Id="rId3297" Type="http://schemas.openxmlformats.org/officeDocument/2006/relationships/image" Target="media/image3290.png"/><Relationship Id="rId3298" Type="http://schemas.openxmlformats.org/officeDocument/2006/relationships/image" Target="media/image3291.png"/><Relationship Id="rId3299" Type="http://schemas.openxmlformats.org/officeDocument/2006/relationships/image" Target="media/image3292.png"/><Relationship Id="rId3300" Type="http://schemas.openxmlformats.org/officeDocument/2006/relationships/image" Target="media/image3293.png"/><Relationship Id="rId3301" Type="http://schemas.openxmlformats.org/officeDocument/2006/relationships/image" Target="media/image3294.png"/><Relationship Id="rId3302" Type="http://schemas.openxmlformats.org/officeDocument/2006/relationships/image" Target="media/image3295.png"/><Relationship Id="rId3303" Type="http://schemas.openxmlformats.org/officeDocument/2006/relationships/image" Target="media/image3296.png"/><Relationship Id="rId3304" Type="http://schemas.openxmlformats.org/officeDocument/2006/relationships/image" Target="media/image3297.png"/><Relationship Id="rId3305" Type="http://schemas.openxmlformats.org/officeDocument/2006/relationships/image" Target="media/image3298.png"/><Relationship Id="rId3306" Type="http://schemas.openxmlformats.org/officeDocument/2006/relationships/image" Target="media/image3299.png"/><Relationship Id="rId3307" Type="http://schemas.openxmlformats.org/officeDocument/2006/relationships/image" Target="media/image3300.png"/><Relationship Id="rId3308" Type="http://schemas.openxmlformats.org/officeDocument/2006/relationships/image" Target="media/image3301.png"/><Relationship Id="rId3309" Type="http://schemas.openxmlformats.org/officeDocument/2006/relationships/image" Target="media/image3302.png"/><Relationship Id="rId3310" Type="http://schemas.openxmlformats.org/officeDocument/2006/relationships/image" Target="media/image3303.png"/><Relationship Id="rId3311" Type="http://schemas.openxmlformats.org/officeDocument/2006/relationships/image" Target="media/image3304.png"/><Relationship Id="rId3312" Type="http://schemas.openxmlformats.org/officeDocument/2006/relationships/image" Target="media/image3305.png"/><Relationship Id="rId3313" Type="http://schemas.openxmlformats.org/officeDocument/2006/relationships/image" Target="media/image3306.png"/><Relationship Id="rId3314" Type="http://schemas.openxmlformats.org/officeDocument/2006/relationships/image" Target="media/image3307.png"/><Relationship Id="rId3315" Type="http://schemas.openxmlformats.org/officeDocument/2006/relationships/image" Target="media/image3308.png"/><Relationship Id="rId3316" Type="http://schemas.openxmlformats.org/officeDocument/2006/relationships/image" Target="media/image3309.png"/><Relationship Id="rId3317" Type="http://schemas.openxmlformats.org/officeDocument/2006/relationships/image" Target="media/image3310.png"/><Relationship Id="rId3318" Type="http://schemas.openxmlformats.org/officeDocument/2006/relationships/image" Target="media/image3311.png"/><Relationship Id="rId3319" Type="http://schemas.openxmlformats.org/officeDocument/2006/relationships/image" Target="media/image3312.png"/><Relationship Id="rId3320" Type="http://schemas.openxmlformats.org/officeDocument/2006/relationships/image" Target="media/image3313.png"/><Relationship Id="rId3321" Type="http://schemas.openxmlformats.org/officeDocument/2006/relationships/image" Target="media/image3314.png"/><Relationship Id="rId3322" Type="http://schemas.openxmlformats.org/officeDocument/2006/relationships/image" Target="media/image3315.png"/><Relationship Id="rId3323" Type="http://schemas.openxmlformats.org/officeDocument/2006/relationships/image" Target="media/image3316.png"/><Relationship Id="rId3324" Type="http://schemas.openxmlformats.org/officeDocument/2006/relationships/image" Target="media/image3317.png"/><Relationship Id="rId3325" Type="http://schemas.openxmlformats.org/officeDocument/2006/relationships/image" Target="media/image3318.png"/><Relationship Id="rId3326" Type="http://schemas.openxmlformats.org/officeDocument/2006/relationships/image" Target="media/image3319.png"/><Relationship Id="rId3327" Type="http://schemas.openxmlformats.org/officeDocument/2006/relationships/image" Target="media/image3320.png"/><Relationship Id="rId3328" Type="http://schemas.openxmlformats.org/officeDocument/2006/relationships/image" Target="media/image3321.png"/><Relationship Id="rId3329" Type="http://schemas.openxmlformats.org/officeDocument/2006/relationships/image" Target="media/image3322.png"/><Relationship Id="rId3330" Type="http://schemas.openxmlformats.org/officeDocument/2006/relationships/image" Target="media/image3323.png"/><Relationship Id="rId3331" Type="http://schemas.openxmlformats.org/officeDocument/2006/relationships/image" Target="media/image3324.png"/><Relationship Id="rId3332" Type="http://schemas.openxmlformats.org/officeDocument/2006/relationships/image" Target="media/image3325.png"/><Relationship Id="rId3333" Type="http://schemas.openxmlformats.org/officeDocument/2006/relationships/image" Target="media/image3326.png"/><Relationship Id="rId3334" Type="http://schemas.openxmlformats.org/officeDocument/2006/relationships/image" Target="media/image3327.png"/><Relationship Id="rId3335" Type="http://schemas.openxmlformats.org/officeDocument/2006/relationships/image" Target="media/image3328.png"/><Relationship Id="rId3336" Type="http://schemas.openxmlformats.org/officeDocument/2006/relationships/image" Target="media/image3329.png"/><Relationship Id="rId3337" Type="http://schemas.openxmlformats.org/officeDocument/2006/relationships/image" Target="media/image3330.png"/><Relationship Id="rId3338" Type="http://schemas.openxmlformats.org/officeDocument/2006/relationships/image" Target="media/image3331.png"/><Relationship Id="rId3339" Type="http://schemas.openxmlformats.org/officeDocument/2006/relationships/image" Target="media/image3332.png"/><Relationship Id="rId3340" Type="http://schemas.openxmlformats.org/officeDocument/2006/relationships/image" Target="media/image3333.png"/><Relationship Id="rId3341" Type="http://schemas.openxmlformats.org/officeDocument/2006/relationships/image" Target="media/image3334.png"/><Relationship Id="rId3342" Type="http://schemas.openxmlformats.org/officeDocument/2006/relationships/image" Target="media/image3335.png"/><Relationship Id="rId3343" Type="http://schemas.openxmlformats.org/officeDocument/2006/relationships/image" Target="media/image3336.png"/><Relationship Id="rId3344" Type="http://schemas.openxmlformats.org/officeDocument/2006/relationships/image" Target="media/image3337.png"/><Relationship Id="rId3345" Type="http://schemas.openxmlformats.org/officeDocument/2006/relationships/image" Target="media/image3338.png"/><Relationship Id="rId3346" Type="http://schemas.openxmlformats.org/officeDocument/2006/relationships/image" Target="media/image3339.png"/><Relationship Id="rId3347" Type="http://schemas.openxmlformats.org/officeDocument/2006/relationships/image" Target="media/image3340.png"/><Relationship Id="rId3348" Type="http://schemas.openxmlformats.org/officeDocument/2006/relationships/image" Target="media/image3341.png"/><Relationship Id="rId3349" Type="http://schemas.openxmlformats.org/officeDocument/2006/relationships/image" Target="media/image3342.png"/><Relationship Id="rId3350" Type="http://schemas.openxmlformats.org/officeDocument/2006/relationships/image" Target="media/image3343.png"/><Relationship Id="rId3351" Type="http://schemas.openxmlformats.org/officeDocument/2006/relationships/image" Target="media/image3344.png"/><Relationship Id="rId3352" Type="http://schemas.openxmlformats.org/officeDocument/2006/relationships/image" Target="media/image3345.png"/><Relationship Id="rId3353" Type="http://schemas.openxmlformats.org/officeDocument/2006/relationships/image" Target="media/image3346.png"/><Relationship Id="rId3354" Type="http://schemas.openxmlformats.org/officeDocument/2006/relationships/image" Target="media/image3347.png"/><Relationship Id="rId3355" Type="http://schemas.openxmlformats.org/officeDocument/2006/relationships/image" Target="media/image3348.png"/><Relationship Id="rId3356" Type="http://schemas.openxmlformats.org/officeDocument/2006/relationships/image" Target="media/image3349.png"/><Relationship Id="rId3357" Type="http://schemas.openxmlformats.org/officeDocument/2006/relationships/image" Target="media/image3350.png"/><Relationship Id="rId3358" Type="http://schemas.openxmlformats.org/officeDocument/2006/relationships/image" Target="media/image3351.png"/><Relationship Id="rId3359" Type="http://schemas.openxmlformats.org/officeDocument/2006/relationships/image" Target="media/image3352.png"/><Relationship Id="rId3360" Type="http://schemas.openxmlformats.org/officeDocument/2006/relationships/image" Target="media/image3353.png"/><Relationship Id="rId3361" Type="http://schemas.openxmlformats.org/officeDocument/2006/relationships/image" Target="media/image3354.png"/><Relationship Id="rId3362" Type="http://schemas.openxmlformats.org/officeDocument/2006/relationships/image" Target="media/image3355.png"/><Relationship Id="rId3363" Type="http://schemas.openxmlformats.org/officeDocument/2006/relationships/image" Target="media/image3356.png"/><Relationship Id="rId3364" Type="http://schemas.openxmlformats.org/officeDocument/2006/relationships/image" Target="media/image3357.png"/><Relationship Id="rId3365" Type="http://schemas.openxmlformats.org/officeDocument/2006/relationships/image" Target="media/image3358.png"/><Relationship Id="rId3366" Type="http://schemas.openxmlformats.org/officeDocument/2006/relationships/image" Target="media/image3359.png"/><Relationship Id="rId3367" Type="http://schemas.openxmlformats.org/officeDocument/2006/relationships/image" Target="media/image3360.png"/><Relationship Id="rId3368" Type="http://schemas.openxmlformats.org/officeDocument/2006/relationships/image" Target="media/image3361.png"/><Relationship Id="rId3369" Type="http://schemas.openxmlformats.org/officeDocument/2006/relationships/image" Target="media/image3362.png"/><Relationship Id="rId3370" Type="http://schemas.openxmlformats.org/officeDocument/2006/relationships/image" Target="media/image3363.png"/><Relationship Id="rId3371" Type="http://schemas.openxmlformats.org/officeDocument/2006/relationships/image" Target="media/image3364.png"/><Relationship Id="rId3372" Type="http://schemas.openxmlformats.org/officeDocument/2006/relationships/image" Target="media/image3365.png"/><Relationship Id="rId3373" Type="http://schemas.openxmlformats.org/officeDocument/2006/relationships/image" Target="media/image3366.png"/><Relationship Id="rId3374" Type="http://schemas.openxmlformats.org/officeDocument/2006/relationships/image" Target="media/image3367.png"/><Relationship Id="rId3375" Type="http://schemas.openxmlformats.org/officeDocument/2006/relationships/image" Target="media/image3368.png"/><Relationship Id="rId3376" Type="http://schemas.openxmlformats.org/officeDocument/2006/relationships/image" Target="media/image3369.png"/><Relationship Id="rId3377" Type="http://schemas.openxmlformats.org/officeDocument/2006/relationships/image" Target="media/image3370.png"/><Relationship Id="rId3378" Type="http://schemas.openxmlformats.org/officeDocument/2006/relationships/image" Target="media/image3371.png"/><Relationship Id="rId3379" Type="http://schemas.openxmlformats.org/officeDocument/2006/relationships/image" Target="media/image3372.png"/><Relationship Id="rId3380" Type="http://schemas.openxmlformats.org/officeDocument/2006/relationships/image" Target="media/image3373.png"/><Relationship Id="rId3381" Type="http://schemas.openxmlformats.org/officeDocument/2006/relationships/image" Target="media/image3374.png"/><Relationship Id="rId3382" Type="http://schemas.openxmlformats.org/officeDocument/2006/relationships/image" Target="media/image3375.png"/><Relationship Id="rId3383" Type="http://schemas.openxmlformats.org/officeDocument/2006/relationships/image" Target="media/image3376.png"/><Relationship Id="rId3384" Type="http://schemas.openxmlformats.org/officeDocument/2006/relationships/image" Target="media/image3377.png"/><Relationship Id="rId3385" Type="http://schemas.openxmlformats.org/officeDocument/2006/relationships/image" Target="media/image3378.png"/><Relationship Id="rId3386" Type="http://schemas.openxmlformats.org/officeDocument/2006/relationships/image" Target="media/image3379.png"/><Relationship Id="rId3387" Type="http://schemas.openxmlformats.org/officeDocument/2006/relationships/image" Target="media/image3380.png"/><Relationship Id="rId3388" Type="http://schemas.openxmlformats.org/officeDocument/2006/relationships/image" Target="media/image3381.png"/><Relationship Id="rId3389" Type="http://schemas.openxmlformats.org/officeDocument/2006/relationships/image" Target="media/image3382.png"/><Relationship Id="rId3390" Type="http://schemas.openxmlformats.org/officeDocument/2006/relationships/image" Target="media/image3383.png"/><Relationship Id="rId3391" Type="http://schemas.openxmlformats.org/officeDocument/2006/relationships/image" Target="media/image3384.png"/><Relationship Id="rId3392" Type="http://schemas.openxmlformats.org/officeDocument/2006/relationships/image" Target="media/image3385.png"/><Relationship Id="rId3393" Type="http://schemas.openxmlformats.org/officeDocument/2006/relationships/image" Target="media/image3386.png"/><Relationship Id="rId3394" Type="http://schemas.openxmlformats.org/officeDocument/2006/relationships/image" Target="media/image3387.png"/><Relationship Id="rId3395" Type="http://schemas.openxmlformats.org/officeDocument/2006/relationships/image" Target="media/image3388.png"/><Relationship Id="rId3396" Type="http://schemas.openxmlformats.org/officeDocument/2006/relationships/image" Target="media/image3389.png"/><Relationship Id="rId3397" Type="http://schemas.openxmlformats.org/officeDocument/2006/relationships/image" Target="media/image3390.png"/><Relationship Id="rId3398" Type="http://schemas.openxmlformats.org/officeDocument/2006/relationships/image" Target="media/image3391.png"/><Relationship Id="rId3399" Type="http://schemas.openxmlformats.org/officeDocument/2006/relationships/image" Target="media/image3392.png"/><Relationship Id="rId3400" Type="http://schemas.openxmlformats.org/officeDocument/2006/relationships/image" Target="media/image3393.png"/><Relationship Id="rId3401" Type="http://schemas.openxmlformats.org/officeDocument/2006/relationships/image" Target="media/image3394.png"/><Relationship Id="rId3402" Type="http://schemas.openxmlformats.org/officeDocument/2006/relationships/image" Target="media/image3395.png"/><Relationship Id="rId3403" Type="http://schemas.openxmlformats.org/officeDocument/2006/relationships/image" Target="media/image3396.png"/><Relationship Id="rId3404" Type="http://schemas.openxmlformats.org/officeDocument/2006/relationships/image" Target="media/image3397.png"/><Relationship Id="rId3405" Type="http://schemas.openxmlformats.org/officeDocument/2006/relationships/image" Target="media/image3398.png"/><Relationship Id="rId3406" Type="http://schemas.openxmlformats.org/officeDocument/2006/relationships/image" Target="media/image3399.png"/><Relationship Id="rId3407" Type="http://schemas.openxmlformats.org/officeDocument/2006/relationships/image" Target="media/image3400.png"/><Relationship Id="rId3408" Type="http://schemas.openxmlformats.org/officeDocument/2006/relationships/image" Target="media/image3401.png"/><Relationship Id="rId3409" Type="http://schemas.openxmlformats.org/officeDocument/2006/relationships/image" Target="media/image3402.png"/><Relationship Id="rId3410" Type="http://schemas.openxmlformats.org/officeDocument/2006/relationships/image" Target="media/image3403.png"/><Relationship Id="rId3411" Type="http://schemas.openxmlformats.org/officeDocument/2006/relationships/image" Target="media/image3404.png"/><Relationship Id="rId3412" Type="http://schemas.openxmlformats.org/officeDocument/2006/relationships/image" Target="media/image3405.png"/><Relationship Id="rId3413" Type="http://schemas.openxmlformats.org/officeDocument/2006/relationships/image" Target="media/image3406.png"/><Relationship Id="rId3414" Type="http://schemas.openxmlformats.org/officeDocument/2006/relationships/image" Target="media/image3407.png"/><Relationship Id="rId3415" Type="http://schemas.openxmlformats.org/officeDocument/2006/relationships/image" Target="media/image3408.png"/><Relationship Id="rId3416" Type="http://schemas.openxmlformats.org/officeDocument/2006/relationships/image" Target="media/image3409.png"/><Relationship Id="rId3417" Type="http://schemas.openxmlformats.org/officeDocument/2006/relationships/image" Target="media/image3410.png"/><Relationship Id="rId3418" Type="http://schemas.openxmlformats.org/officeDocument/2006/relationships/image" Target="media/image3411.png"/><Relationship Id="rId3419" Type="http://schemas.openxmlformats.org/officeDocument/2006/relationships/image" Target="media/image3412.png"/><Relationship Id="rId3420" Type="http://schemas.openxmlformats.org/officeDocument/2006/relationships/image" Target="media/image3413.png"/><Relationship Id="rId3421" Type="http://schemas.openxmlformats.org/officeDocument/2006/relationships/image" Target="media/image3414.png"/><Relationship Id="rId3422" Type="http://schemas.openxmlformats.org/officeDocument/2006/relationships/image" Target="media/image3415.png"/><Relationship Id="rId3423" Type="http://schemas.openxmlformats.org/officeDocument/2006/relationships/image" Target="media/image3416.png"/><Relationship Id="rId3424" Type="http://schemas.openxmlformats.org/officeDocument/2006/relationships/image" Target="media/image3417.png"/><Relationship Id="rId3425" Type="http://schemas.openxmlformats.org/officeDocument/2006/relationships/image" Target="media/image3418.png"/><Relationship Id="rId3426" Type="http://schemas.openxmlformats.org/officeDocument/2006/relationships/image" Target="media/image3419.png"/><Relationship Id="rId3427" Type="http://schemas.openxmlformats.org/officeDocument/2006/relationships/image" Target="media/image3420.png"/><Relationship Id="rId3428" Type="http://schemas.openxmlformats.org/officeDocument/2006/relationships/image" Target="media/image3421.png"/><Relationship Id="rId3429" Type="http://schemas.openxmlformats.org/officeDocument/2006/relationships/image" Target="media/image3422.png"/><Relationship Id="rId3430" Type="http://schemas.openxmlformats.org/officeDocument/2006/relationships/image" Target="media/image3423.png"/><Relationship Id="rId3431" Type="http://schemas.openxmlformats.org/officeDocument/2006/relationships/image" Target="media/image3424.png"/><Relationship Id="rId3432" Type="http://schemas.openxmlformats.org/officeDocument/2006/relationships/image" Target="media/image3425.png"/><Relationship Id="rId3433" Type="http://schemas.openxmlformats.org/officeDocument/2006/relationships/image" Target="media/image3426.png"/><Relationship Id="rId3434" Type="http://schemas.openxmlformats.org/officeDocument/2006/relationships/image" Target="media/image3427.png"/><Relationship Id="rId3435" Type="http://schemas.openxmlformats.org/officeDocument/2006/relationships/image" Target="media/image3428.png"/><Relationship Id="rId3436" Type="http://schemas.openxmlformats.org/officeDocument/2006/relationships/image" Target="media/image3429.png"/><Relationship Id="rId3437" Type="http://schemas.openxmlformats.org/officeDocument/2006/relationships/image" Target="media/image3430.png"/><Relationship Id="rId3438" Type="http://schemas.openxmlformats.org/officeDocument/2006/relationships/image" Target="media/image3431.png"/><Relationship Id="rId3439" Type="http://schemas.openxmlformats.org/officeDocument/2006/relationships/image" Target="media/image3432.png"/><Relationship Id="rId3440" Type="http://schemas.openxmlformats.org/officeDocument/2006/relationships/image" Target="media/image3433.png"/><Relationship Id="rId3441" Type="http://schemas.openxmlformats.org/officeDocument/2006/relationships/image" Target="media/image3434.png"/><Relationship Id="rId3442" Type="http://schemas.openxmlformats.org/officeDocument/2006/relationships/image" Target="media/image3435.png"/><Relationship Id="rId3443" Type="http://schemas.openxmlformats.org/officeDocument/2006/relationships/image" Target="media/image3436.png"/><Relationship Id="rId3444" Type="http://schemas.openxmlformats.org/officeDocument/2006/relationships/image" Target="media/image3437.png"/><Relationship Id="rId3445" Type="http://schemas.openxmlformats.org/officeDocument/2006/relationships/image" Target="media/image3438.png"/><Relationship Id="rId3446" Type="http://schemas.openxmlformats.org/officeDocument/2006/relationships/image" Target="media/image3439.png"/><Relationship Id="rId3447" Type="http://schemas.openxmlformats.org/officeDocument/2006/relationships/image" Target="media/image3440.png"/><Relationship Id="rId3448" Type="http://schemas.openxmlformats.org/officeDocument/2006/relationships/image" Target="media/image3441.png"/><Relationship Id="rId3449" Type="http://schemas.openxmlformats.org/officeDocument/2006/relationships/image" Target="media/image3442.png"/><Relationship Id="rId3450" Type="http://schemas.openxmlformats.org/officeDocument/2006/relationships/image" Target="media/image3443.png"/><Relationship Id="rId3451" Type="http://schemas.openxmlformats.org/officeDocument/2006/relationships/image" Target="media/image3444.png"/><Relationship Id="rId3452" Type="http://schemas.openxmlformats.org/officeDocument/2006/relationships/image" Target="media/image3445.png"/><Relationship Id="rId3453" Type="http://schemas.openxmlformats.org/officeDocument/2006/relationships/image" Target="media/image3446.png"/><Relationship Id="rId3454" Type="http://schemas.openxmlformats.org/officeDocument/2006/relationships/image" Target="media/image3447.png"/><Relationship Id="rId3455" Type="http://schemas.openxmlformats.org/officeDocument/2006/relationships/image" Target="media/image3448.png"/><Relationship Id="rId3456" Type="http://schemas.openxmlformats.org/officeDocument/2006/relationships/image" Target="media/image3449.png"/><Relationship Id="rId3457" Type="http://schemas.openxmlformats.org/officeDocument/2006/relationships/image" Target="media/image3450.png"/><Relationship Id="rId3458" Type="http://schemas.openxmlformats.org/officeDocument/2006/relationships/image" Target="media/image3451.png"/><Relationship Id="rId3459" Type="http://schemas.openxmlformats.org/officeDocument/2006/relationships/image" Target="media/image3452.png"/><Relationship Id="rId3460" Type="http://schemas.openxmlformats.org/officeDocument/2006/relationships/image" Target="media/image3453.png"/><Relationship Id="rId3461" Type="http://schemas.openxmlformats.org/officeDocument/2006/relationships/image" Target="media/image3454.png"/><Relationship Id="rId3462" Type="http://schemas.openxmlformats.org/officeDocument/2006/relationships/image" Target="media/image3455.png"/><Relationship Id="rId3463" Type="http://schemas.openxmlformats.org/officeDocument/2006/relationships/image" Target="media/image3456.png"/><Relationship Id="rId3464" Type="http://schemas.openxmlformats.org/officeDocument/2006/relationships/image" Target="media/image3457.png"/><Relationship Id="rId3465" Type="http://schemas.openxmlformats.org/officeDocument/2006/relationships/image" Target="media/image3458.png"/><Relationship Id="rId3466" Type="http://schemas.openxmlformats.org/officeDocument/2006/relationships/image" Target="media/image3459.png"/><Relationship Id="rId3467" Type="http://schemas.openxmlformats.org/officeDocument/2006/relationships/image" Target="media/image3460.png"/><Relationship Id="rId3468" Type="http://schemas.openxmlformats.org/officeDocument/2006/relationships/image" Target="media/image3461.png"/><Relationship Id="rId3469" Type="http://schemas.openxmlformats.org/officeDocument/2006/relationships/image" Target="media/image3462.png"/><Relationship Id="rId3470" Type="http://schemas.openxmlformats.org/officeDocument/2006/relationships/image" Target="media/image3463.png"/><Relationship Id="rId3471" Type="http://schemas.openxmlformats.org/officeDocument/2006/relationships/image" Target="media/image3464.png"/><Relationship Id="rId3472" Type="http://schemas.openxmlformats.org/officeDocument/2006/relationships/image" Target="media/image3465.png"/><Relationship Id="rId3473" Type="http://schemas.openxmlformats.org/officeDocument/2006/relationships/image" Target="media/image3466.png"/><Relationship Id="rId3474" Type="http://schemas.openxmlformats.org/officeDocument/2006/relationships/image" Target="media/image3467.png"/><Relationship Id="rId3475" Type="http://schemas.openxmlformats.org/officeDocument/2006/relationships/image" Target="media/image3468.png"/><Relationship Id="rId3476" Type="http://schemas.openxmlformats.org/officeDocument/2006/relationships/image" Target="media/image3469.png"/><Relationship Id="rId3477" Type="http://schemas.openxmlformats.org/officeDocument/2006/relationships/image" Target="media/image3470.png"/><Relationship Id="rId3478" Type="http://schemas.openxmlformats.org/officeDocument/2006/relationships/image" Target="media/image3471.png"/><Relationship Id="rId3479" Type="http://schemas.openxmlformats.org/officeDocument/2006/relationships/image" Target="media/image3472.png"/><Relationship Id="rId3480" Type="http://schemas.openxmlformats.org/officeDocument/2006/relationships/image" Target="media/image3473.png"/><Relationship Id="rId3481" Type="http://schemas.openxmlformats.org/officeDocument/2006/relationships/image" Target="media/image3474.png"/><Relationship Id="rId3482" Type="http://schemas.openxmlformats.org/officeDocument/2006/relationships/image" Target="media/image3475.png"/><Relationship Id="rId3483" Type="http://schemas.openxmlformats.org/officeDocument/2006/relationships/image" Target="media/image3476.png"/><Relationship Id="rId3484" Type="http://schemas.openxmlformats.org/officeDocument/2006/relationships/image" Target="media/image3477.png"/><Relationship Id="rId3485" Type="http://schemas.openxmlformats.org/officeDocument/2006/relationships/image" Target="media/image3478.png"/><Relationship Id="rId3486" Type="http://schemas.openxmlformats.org/officeDocument/2006/relationships/image" Target="media/image3479.png"/><Relationship Id="rId3487" Type="http://schemas.openxmlformats.org/officeDocument/2006/relationships/image" Target="media/image3480.png"/><Relationship Id="rId3488" Type="http://schemas.openxmlformats.org/officeDocument/2006/relationships/image" Target="media/image3481.png"/><Relationship Id="rId3489" Type="http://schemas.openxmlformats.org/officeDocument/2006/relationships/image" Target="media/image3482.png"/><Relationship Id="rId3490" Type="http://schemas.openxmlformats.org/officeDocument/2006/relationships/image" Target="media/image3483.png"/><Relationship Id="rId3491" Type="http://schemas.openxmlformats.org/officeDocument/2006/relationships/image" Target="media/image3484.png"/><Relationship Id="rId3492" Type="http://schemas.openxmlformats.org/officeDocument/2006/relationships/image" Target="media/image3485.png"/><Relationship Id="rId3493" Type="http://schemas.openxmlformats.org/officeDocument/2006/relationships/image" Target="media/image3486.png"/><Relationship Id="rId3494" Type="http://schemas.openxmlformats.org/officeDocument/2006/relationships/image" Target="media/image3487.png"/><Relationship Id="rId3495" Type="http://schemas.openxmlformats.org/officeDocument/2006/relationships/image" Target="media/image3488.png"/><Relationship Id="rId3496" Type="http://schemas.openxmlformats.org/officeDocument/2006/relationships/image" Target="media/image3489.png"/><Relationship Id="rId3497" Type="http://schemas.openxmlformats.org/officeDocument/2006/relationships/image" Target="media/image3490.png"/><Relationship Id="rId3498" Type="http://schemas.openxmlformats.org/officeDocument/2006/relationships/image" Target="media/image3491.png"/><Relationship Id="rId3499" Type="http://schemas.openxmlformats.org/officeDocument/2006/relationships/image" Target="media/image3492.png"/><Relationship Id="rId3500" Type="http://schemas.openxmlformats.org/officeDocument/2006/relationships/image" Target="media/image3493.png"/><Relationship Id="rId3501" Type="http://schemas.openxmlformats.org/officeDocument/2006/relationships/image" Target="media/image3494.png"/><Relationship Id="rId3502" Type="http://schemas.openxmlformats.org/officeDocument/2006/relationships/image" Target="media/image3495.png"/><Relationship Id="rId3503" Type="http://schemas.openxmlformats.org/officeDocument/2006/relationships/image" Target="media/image3496.png"/><Relationship Id="rId3504" Type="http://schemas.openxmlformats.org/officeDocument/2006/relationships/image" Target="media/image3497.png"/><Relationship Id="rId3505" Type="http://schemas.openxmlformats.org/officeDocument/2006/relationships/image" Target="media/image3498.png"/><Relationship Id="rId3506" Type="http://schemas.openxmlformats.org/officeDocument/2006/relationships/image" Target="media/image3499.png"/><Relationship Id="rId3507" Type="http://schemas.openxmlformats.org/officeDocument/2006/relationships/image" Target="media/image3500.png"/><Relationship Id="rId3508" Type="http://schemas.openxmlformats.org/officeDocument/2006/relationships/image" Target="media/image3501.png"/><Relationship Id="rId3509" Type="http://schemas.openxmlformats.org/officeDocument/2006/relationships/image" Target="media/image3502.png"/><Relationship Id="rId3510" Type="http://schemas.openxmlformats.org/officeDocument/2006/relationships/image" Target="media/image3503.png"/><Relationship Id="rId3511" Type="http://schemas.openxmlformats.org/officeDocument/2006/relationships/image" Target="media/image3504.png"/><Relationship Id="rId3512" Type="http://schemas.openxmlformats.org/officeDocument/2006/relationships/image" Target="media/image3505.png"/><Relationship Id="rId3513" Type="http://schemas.openxmlformats.org/officeDocument/2006/relationships/image" Target="media/image3506.png"/><Relationship Id="rId3514" Type="http://schemas.openxmlformats.org/officeDocument/2006/relationships/image" Target="media/image3507.png"/><Relationship Id="rId3515" Type="http://schemas.openxmlformats.org/officeDocument/2006/relationships/image" Target="media/image3508.png"/><Relationship Id="rId3516" Type="http://schemas.openxmlformats.org/officeDocument/2006/relationships/image" Target="media/image3509.png"/><Relationship Id="rId3517" Type="http://schemas.openxmlformats.org/officeDocument/2006/relationships/image" Target="media/image3510.png"/><Relationship Id="rId3518" Type="http://schemas.openxmlformats.org/officeDocument/2006/relationships/image" Target="media/image3511.png"/><Relationship Id="rId3519" Type="http://schemas.openxmlformats.org/officeDocument/2006/relationships/image" Target="media/image3512.png"/><Relationship Id="rId3520" Type="http://schemas.openxmlformats.org/officeDocument/2006/relationships/image" Target="media/image3513.png"/><Relationship Id="rId3521" Type="http://schemas.openxmlformats.org/officeDocument/2006/relationships/image" Target="media/image3514.png"/><Relationship Id="rId3522" Type="http://schemas.openxmlformats.org/officeDocument/2006/relationships/image" Target="media/image3515.png"/><Relationship Id="rId3523" Type="http://schemas.openxmlformats.org/officeDocument/2006/relationships/image" Target="media/image3516.png"/><Relationship Id="rId3524" Type="http://schemas.openxmlformats.org/officeDocument/2006/relationships/image" Target="media/image3517.png"/><Relationship Id="rId3525" Type="http://schemas.openxmlformats.org/officeDocument/2006/relationships/image" Target="media/image3518.png"/><Relationship Id="rId3526" Type="http://schemas.openxmlformats.org/officeDocument/2006/relationships/image" Target="media/image3519.png"/><Relationship Id="rId3527" Type="http://schemas.openxmlformats.org/officeDocument/2006/relationships/image" Target="media/image3520.png"/><Relationship Id="rId3528" Type="http://schemas.openxmlformats.org/officeDocument/2006/relationships/image" Target="media/image3521.png"/><Relationship Id="rId3529" Type="http://schemas.openxmlformats.org/officeDocument/2006/relationships/image" Target="media/image3522.png"/><Relationship Id="rId3530" Type="http://schemas.openxmlformats.org/officeDocument/2006/relationships/image" Target="media/image3523.png"/><Relationship Id="rId3531" Type="http://schemas.openxmlformats.org/officeDocument/2006/relationships/image" Target="media/image3524.png"/><Relationship Id="rId3532" Type="http://schemas.openxmlformats.org/officeDocument/2006/relationships/image" Target="media/image3525.png"/><Relationship Id="rId3533" Type="http://schemas.openxmlformats.org/officeDocument/2006/relationships/image" Target="media/image3526.png"/><Relationship Id="rId3534" Type="http://schemas.openxmlformats.org/officeDocument/2006/relationships/image" Target="media/image3527.png"/><Relationship Id="rId3535" Type="http://schemas.openxmlformats.org/officeDocument/2006/relationships/image" Target="media/image3528.png"/><Relationship Id="rId3536" Type="http://schemas.openxmlformats.org/officeDocument/2006/relationships/image" Target="media/image3529.png"/><Relationship Id="rId3537" Type="http://schemas.openxmlformats.org/officeDocument/2006/relationships/image" Target="media/image3530.png"/><Relationship Id="rId3538" Type="http://schemas.openxmlformats.org/officeDocument/2006/relationships/image" Target="media/image3531.png"/><Relationship Id="rId3539" Type="http://schemas.openxmlformats.org/officeDocument/2006/relationships/image" Target="media/image3532.png"/><Relationship Id="rId3540" Type="http://schemas.openxmlformats.org/officeDocument/2006/relationships/image" Target="media/image3533.png"/><Relationship Id="rId3541" Type="http://schemas.openxmlformats.org/officeDocument/2006/relationships/image" Target="media/image3534.png"/><Relationship Id="rId3542" Type="http://schemas.openxmlformats.org/officeDocument/2006/relationships/image" Target="media/image3535.png"/><Relationship Id="rId3543" Type="http://schemas.openxmlformats.org/officeDocument/2006/relationships/image" Target="media/image3536.png"/><Relationship Id="rId3544" Type="http://schemas.openxmlformats.org/officeDocument/2006/relationships/image" Target="media/image3537.png"/><Relationship Id="rId3545" Type="http://schemas.openxmlformats.org/officeDocument/2006/relationships/image" Target="media/image3538.png"/><Relationship Id="rId3546" Type="http://schemas.openxmlformats.org/officeDocument/2006/relationships/image" Target="media/image3539.png"/><Relationship Id="rId3547" Type="http://schemas.openxmlformats.org/officeDocument/2006/relationships/image" Target="media/image3540.png"/><Relationship Id="rId3548" Type="http://schemas.openxmlformats.org/officeDocument/2006/relationships/image" Target="media/image3541.png"/><Relationship Id="rId3549" Type="http://schemas.openxmlformats.org/officeDocument/2006/relationships/image" Target="media/image3542.png"/><Relationship Id="rId3550" Type="http://schemas.openxmlformats.org/officeDocument/2006/relationships/image" Target="media/image3543.png"/><Relationship Id="rId3551" Type="http://schemas.openxmlformats.org/officeDocument/2006/relationships/image" Target="media/image3544.png"/><Relationship Id="rId3552" Type="http://schemas.openxmlformats.org/officeDocument/2006/relationships/image" Target="media/image3545.png"/><Relationship Id="rId3553" Type="http://schemas.openxmlformats.org/officeDocument/2006/relationships/image" Target="media/image3546.png"/><Relationship Id="rId3554" Type="http://schemas.openxmlformats.org/officeDocument/2006/relationships/image" Target="media/image3547.png"/><Relationship Id="rId3555" Type="http://schemas.openxmlformats.org/officeDocument/2006/relationships/image" Target="media/image3548.png"/><Relationship Id="rId3556" Type="http://schemas.openxmlformats.org/officeDocument/2006/relationships/image" Target="media/image3549.png"/><Relationship Id="rId3557" Type="http://schemas.openxmlformats.org/officeDocument/2006/relationships/image" Target="media/image3550.png"/><Relationship Id="rId3558" Type="http://schemas.openxmlformats.org/officeDocument/2006/relationships/image" Target="media/image3551.png"/><Relationship Id="rId3559" Type="http://schemas.openxmlformats.org/officeDocument/2006/relationships/image" Target="media/image3552.png"/><Relationship Id="rId3560" Type="http://schemas.openxmlformats.org/officeDocument/2006/relationships/image" Target="media/image3553.png"/><Relationship Id="rId3561" Type="http://schemas.openxmlformats.org/officeDocument/2006/relationships/image" Target="media/image3554.png"/><Relationship Id="rId3562" Type="http://schemas.openxmlformats.org/officeDocument/2006/relationships/image" Target="media/image3555.png"/><Relationship Id="rId3563" Type="http://schemas.openxmlformats.org/officeDocument/2006/relationships/image" Target="media/image3556.png"/><Relationship Id="rId3564" Type="http://schemas.openxmlformats.org/officeDocument/2006/relationships/image" Target="media/image3557.png"/><Relationship Id="rId3565" Type="http://schemas.openxmlformats.org/officeDocument/2006/relationships/image" Target="media/image3558.png"/><Relationship Id="rId3566" Type="http://schemas.openxmlformats.org/officeDocument/2006/relationships/image" Target="media/image3559.png"/><Relationship Id="rId3567" Type="http://schemas.openxmlformats.org/officeDocument/2006/relationships/image" Target="media/image3560.png"/><Relationship Id="rId3568" Type="http://schemas.openxmlformats.org/officeDocument/2006/relationships/image" Target="media/image3561.png"/><Relationship Id="rId3569" Type="http://schemas.openxmlformats.org/officeDocument/2006/relationships/image" Target="media/image3562.png"/><Relationship Id="rId3570" Type="http://schemas.openxmlformats.org/officeDocument/2006/relationships/image" Target="media/image3563.png"/><Relationship Id="rId3571" Type="http://schemas.openxmlformats.org/officeDocument/2006/relationships/image" Target="media/image3564.png"/><Relationship Id="rId3572" Type="http://schemas.openxmlformats.org/officeDocument/2006/relationships/image" Target="media/image3565.png"/><Relationship Id="rId3573" Type="http://schemas.openxmlformats.org/officeDocument/2006/relationships/image" Target="media/image3566.png"/><Relationship Id="rId3574" Type="http://schemas.openxmlformats.org/officeDocument/2006/relationships/image" Target="media/image3567.png"/><Relationship Id="rId3575" Type="http://schemas.openxmlformats.org/officeDocument/2006/relationships/image" Target="media/image3568.png"/><Relationship Id="rId3576" Type="http://schemas.openxmlformats.org/officeDocument/2006/relationships/image" Target="media/image3569.png"/><Relationship Id="rId3577" Type="http://schemas.openxmlformats.org/officeDocument/2006/relationships/image" Target="media/image3570.png"/><Relationship Id="rId3578" Type="http://schemas.openxmlformats.org/officeDocument/2006/relationships/image" Target="media/image3571.png"/><Relationship Id="rId3579" Type="http://schemas.openxmlformats.org/officeDocument/2006/relationships/image" Target="media/image3572.png"/><Relationship Id="rId3580" Type="http://schemas.openxmlformats.org/officeDocument/2006/relationships/image" Target="media/image3573.png"/><Relationship Id="rId3581" Type="http://schemas.openxmlformats.org/officeDocument/2006/relationships/image" Target="media/image3574.png"/><Relationship Id="rId3582" Type="http://schemas.openxmlformats.org/officeDocument/2006/relationships/image" Target="media/image3575.png"/><Relationship Id="rId3583" Type="http://schemas.openxmlformats.org/officeDocument/2006/relationships/image" Target="media/image3576.png"/><Relationship Id="rId3584" Type="http://schemas.openxmlformats.org/officeDocument/2006/relationships/image" Target="media/image3577.png"/><Relationship Id="rId3585" Type="http://schemas.openxmlformats.org/officeDocument/2006/relationships/image" Target="media/image3578.png"/><Relationship Id="rId3586" Type="http://schemas.openxmlformats.org/officeDocument/2006/relationships/image" Target="media/image3579.png"/><Relationship Id="rId3587" Type="http://schemas.openxmlformats.org/officeDocument/2006/relationships/image" Target="media/image3580.png"/><Relationship Id="rId3588" Type="http://schemas.openxmlformats.org/officeDocument/2006/relationships/image" Target="media/image3581.png"/><Relationship Id="rId3589" Type="http://schemas.openxmlformats.org/officeDocument/2006/relationships/image" Target="media/image3582.png"/><Relationship Id="rId3590" Type="http://schemas.openxmlformats.org/officeDocument/2006/relationships/image" Target="media/image3583.png"/><Relationship Id="rId3591" Type="http://schemas.openxmlformats.org/officeDocument/2006/relationships/image" Target="media/image3584.png"/><Relationship Id="rId3592" Type="http://schemas.openxmlformats.org/officeDocument/2006/relationships/image" Target="media/image3585.png"/><Relationship Id="rId3593" Type="http://schemas.openxmlformats.org/officeDocument/2006/relationships/image" Target="media/image3586.png"/><Relationship Id="rId3594" Type="http://schemas.openxmlformats.org/officeDocument/2006/relationships/image" Target="media/image3587.png"/><Relationship Id="rId3595" Type="http://schemas.openxmlformats.org/officeDocument/2006/relationships/image" Target="media/image3588.png"/><Relationship Id="rId3596" Type="http://schemas.openxmlformats.org/officeDocument/2006/relationships/image" Target="media/image3589.png"/><Relationship Id="rId3597" Type="http://schemas.openxmlformats.org/officeDocument/2006/relationships/image" Target="media/image3590.png"/><Relationship Id="rId3598" Type="http://schemas.openxmlformats.org/officeDocument/2006/relationships/image" Target="media/image3591.png"/><Relationship Id="rId3599" Type="http://schemas.openxmlformats.org/officeDocument/2006/relationships/image" Target="media/image3592.png"/><Relationship Id="rId3600" Type="http://schemas.openxmlformats.org/officeDocument/2006/relationships/image" Target="media/image3593.png"/><Relationship Id="rId3601" Type="http://schemas.openxmlformats.org/officeDocument/2006/relationships/image" Target="media/image3594.png"/><Relationship Id="rId3602" Type="http://schemas.openxmlformats.org/officeDocument/2006/relationships/image" Target="media/image3595.png"/><Relationship Id="rId3603" Type="http://schemas.openxmlformats.org/officeDocument/2006/relationships/image" Target="media/image3596.png"/><Relationship Id="rId3604" Type="http://schemas.openxmlformats.org/officeDocument/2006/relationships/image" Target="media/image3597.png"/><Relationship Id="rId3605" Type="http://schemas.openxmlformats.org/officeDocument/2006/relationships/image" Target="media/image3598.png"/><Relationship Id="rId3606" Type="http://schemas.openxmlformats.org/officeDocument/2006/relationships/image" Target="media/image3599.png"/><Relationship Id="rId3607" Type="http://schemas.openxmlformats.org/officeDocument/2006/relationships/image" Target="media/image3600.png"/><Relationship Id="rId3608" Type="http://schemas.openxmlformats.org/officeDocument/2006/relationships/image" Target="media/image3601.png"/><Relationship Id="rId3609" Type="http://schemas.openxmlformats.org/officeDocument/2006/relationships/image" Target="media/image3602.png"/><Relationship Id="rId3610" Type="http://schemas.openxmlformats.org/officeDocument/2006/relationships/image" Target="media/image3603.png"/><Relationship Id="rId3611" Type="http://schemas.openxmlformats.org/officeDocument/2006/relationships/image" Target="media/image3604.png"/><Relationship Id="rId3612" Type="http://schemas.openxmlformats.org/officeDocument/2006/relationships/image" Target="media/image3605.png"/><Relationship Id="rId3613" Type="http://schemas.openxmlformats.org/officeDocument/2006/relationships/image" Target="media/image3606.png"/><Relationship Id="rId3614" Type="http://schemas.openxmlformats.org/officeDocument/2006/relationships/image" Target="media/image3607.png"/><Relationship Id="rId3615" Type="http://schemas.openxmlformats.org/officeDocument/2006/relationships/image" Target="media/image3608.png"/><Relationship Id="rId3616" Type="http://schemas.openxmlformats.org/officeDocument/2006/relationships/image" Target="media/image3609.png"/><Relationship Id="rId3617" Type="http://schemas.openxmlformats.org/officeDocument/2006/relationships/image" Target="media/image3610.png"/><Relationship Id="rId3618" Type="http://schemas.openxmlformats.org/officeDocument/2006/relationships/image" Target="media/image3611.png"/><Relationship Id="rId3619" Type="http://schemas.openxmlformats.org/officeDocument/2006/relationships/image" Target="media/image3612.png"/><Relationship Id="rId3620" Type="http://schemas.openxmlformats.org/officeDocument/2006/relationships/image" Target="media/image3613.png"/><Relationship Id="rId3621" Type="http://schemas.openxmlformats.org/officeDocument/2006/relationships/image" Target="media/image3614.png"/><Relationship Id="rId3622" Type="http://schemas.openxmlformats.org/officeDocument/2006/relationships/image" Target="media/image3615.png"/><Relationship Id="rId3623" Type="http://schemas.openxmlformats.org/officeDocument/2006/relationships/image" Target="media/image3616.png"/><Relationship Id="rId3624" Type="http://schemas.openxmlformats.org/officeDocument/2006/relationships/image" Target="media/image3617.png"/><Relationship Id="rId3625" Type="http://schemas.openxmlformats.org/officeDocument/2006/relationships/image" Target="media/image3618.png"/><Relationship Id="rId3626" Type="http://schemas.openxmlformats.org/officeDocument/2006/relationships/image" Target="media/image3619.png"/><Relationship Id="rId3627" Type="http://schemas.openxmlformats.org/officeDocument/2006/relationships/image" Target="media/image3620.png"/><Relationship Id="rId3628" Type="http://schemas.openxmlformats.org/officeDocument/2006/relationships/image" Target="media/image3621.png"/><Relationship Id="rId3629" Type="http://schemas.openxmlformats.org/officeDocument/2006/relationships/image" Target="media/image3622.png"/><Relationship Id="rId3630" Type="http://schemas.openxmlformats.org/officeDocument/2006/relationships/image" Target="media/image3623.png"/><Relationship Id="rId3631" Type="http://schemas.openxmlformats.org/officeDocument/2006/relationships/image" Target="media/image3624.png"/><Relationship Id="rId3632" Type="http://schemas.openxmlformats.org/officeDocument/2006/relationships/image" Target="media/image3625.png"/><Relationship Id="rId3633" Type="http://schemas.openxmlformats.org/officeDocument/2006/relationships/image" Target="media/image3626.png"/><Relationship Id="rId3634" Type="http://schemas.openxmlformats.org/officeDocument/2006/relationships/image" Target="media/image3627.png"/><Relationship Id="rId3635" Type="http://schemas.openxmlformats.org/officeDocument/2006/relationships/image" Target="media/image3628.png"/><Relationship Id="rId3636" Type="http://schemas.openxmlformats.org/officeDocument/2006/relationships/image" Target="media/image3629.png"/><Relationship Id="rId3637" Type="http://schemas.openxmlformats.org/officeDocument/2006/relationships/image" Target="media/image3630.png"/><Relationship Id="rId3638" Type="http://schemas.openxmlformats.org/officeDocument/2006/relationships/image" Target="media/image3631.png"/><Relationship Id="rId3639" Type="http://schemas.openxmlformats.org/officeDocument/2006/relationships/image" Target="media/image3632.png"/><Relationship Id="rId3640" Type="http://schemas.openxmlformats.org/officeDocument/2006/relationships/image" Target="media/image3633.png"/><Relationship Id="rId3641" Type="http://schemas.openxmlformats.org/officeDocument/2006/relationships/image" Target="media/image3634.png"/><Relationship Id="rId3642" Type="http://schemas.openxmlformats.org/officeDocument/2006/relationships/image" Target="media/image3635.png"/><Relationship Id="rId3643" Type="http://schemas.openxmlformats.org/officeDocument/2006/relationships/image" Target="media/image3636.png"/><Relationship Id="rId3644" Type="http://schemas.openxmlformats.org/officeDocument/2006/relationships/image" Target="media/image3637.png"/><Relationship Id="rId3645" Type="http://schemas.openxmlformats.org/officeDocument/2006/relationships/image" Target="media/image3638.png"/><Relationship Id="rId3646" Type="http://schemas.openxmlformats.org/officeDocument/2006/relationships/image" Target="media/image3639.png"/><Relationship Id="rId3647" Type="http://schemas.openxmlformats.org/officeDocument/2006/relationships/image" Target="media/image3640.png"/><Relationship Id="rId3648" Type="http://schemas.openxmlformats.org/officeDocument/2006/relationships/image" Target="media/image3641.png"/><Relationship Id="rId3649" Type="http://schemas.openxmlformats.org/officeDocument/2006/relationships/image" Target="media/image3642.png"/><Relationship Id="rId3650" Type="http://schemas.openxmlformats.org/officeDocument/2006/relationships/image" Target="media/image3643.png"/><Relationship Id="rId3651" Type="http://schemas.openxmlformats.org/officeDocument/2006/relationships/image" Target="media/image3644.png"/><Relationship Id="rId3652" Type="http://schemas.openxmlformats.org/officeDocument/2006/relationships/image" Target="media/image3645.png"/><Relationship Id="rId3653" Type="http://schemas.openxmlformats.org/officeDocument/2006/relationships/image" Target="media/image3646.png"/><Relationship Id="rId3654" Type="http://schemas.openxmlformats.org/officeDocument/2006/relationships/image" Target="media/image3647.png"/><Relationship Id="rId3655" Type="http://schemas.openxmlformats.org/officeDocument/2006/relationships/image" Target="media/image3648.png"/><Relationship Id="rId3656" Type="http://schemas.openxmlformats.org/officeDocument/2006/relationships/image" Target="media/image3649.png"/><Relationship Id="rId3657" Type="http://schemas.openxmlformats.org/officeDocument/2006/relationships/image" Target="media/image3650.png"/><Relationship Id="rId3658" Type="http://schemas.openxmlformats.org/officeDocument/2006/relationships/image" Target="media/image3651.png"/><Relationship Id="rId3659" Type="http://schemas.openxmlformats.org/officeDocument/2006/relationships/image" Target="media/image3652.png"/><Relationship Id="rId3660" Type="http://schemas.openxmlformats.org/officeDocument/2006/relationships/image" Target="media/image3653.png"/><Relationship Id="rId3661" Type="http://schemas.openxmlformats.org/officeDocument/2006/relationships/image" Target="media/image3654.png"/><Relationship Id="rId3662" Type="http://schemas.openxmlformats.org/officeDocument/2006/relationships/image" Target="media/image3655.png"/><Relationship Id="rId3663" Type="http://schemas.openxmlformats.org/officeDocument/2006/relationships/image" Target="media/image3656.png"/><Relationship Id="rId3664" Type="http://schemas.openxmlformats.org/officeDocument/2006/relationships/image" Target="media/image3657.png"/><Relationship Id="rId3665" Type="http://schemas.openxmlformats.org/officeDocument/2006/relationships/image" Target="media/image3658.png"/><Relationship Id="rId3666" Type="http://schemas.openxmlformats.org/officeDocument/2006/relationships/image" Target="media/image3659.png"/><Relationship Id="rId3667" Type="http://schemas.openxmlformats.org/officeDocument/2006/relationships/image" Target="media/image3660.png"/><Relationship Id="rId3668" Type="http://schemas.openxmlformats.org/officeDocument/2006/relationships/image" Target="media/image3661.png"/><Relationship Id="rId3669" Type="http://schemas.openxmlformats.org/officeDocument/2006/relationships/image" Target="media/image3662.png"/><Relationship Id="rId3670" Type="http://schemas.openxmlformats.org/officeDocument/2006/relationships/image" Target="media/image3663.png"/><Relationship Id="rId3671" Type="http://schemas.openxmlformats.org/officeDocument/2006/relationships/image" Target="media/image3664.png"/><Relationship Id="rId3672" Type="http://schemas.openxmlformats.org/officeDocument/2006/relationships/image" Target="media/image3665.png"/><Relationship Id="rId3673" Type="http://schemas.openxmlformats.org/officeDocument/2006/relationships/image" Target="media/image3666.png"/><Relationship Id="rId3674" Type="http://schemas.openxmlformats.org/officeDocument/2006/relationships/image" Target="media/image3667.png"/><Relationship Id="rId3675" Type="http://schemas.openxmlformats.org/officeDocument/2006/relationships/image" Target="media/image3668.png"/><Relationship Id="rId3676" Type="http://schemas.openxmlformats.org/officeDocument/2006/relationships/image" Target="media/image3669.png"/><Relationship Id="rId3677" Type="http://schemas.openxmlformats.org/officeDocument/2006/relationships/image" Target="media/image3670.png"/><Relationship Id="rId3678" Type="http://schemas.openxmlformats.org/officeDocument/2006/relationships/image" Target="media/image3671.png"/><Relationship Id="rId3679" Type="http://schemas.openxmlformats.org/officeDocument/2006/relationships/image" Target="media/image3672.png"/><Relationship Id="rId3680" Type="http://schemas.openxmlformats.org/officeDocument/2006/relationships/image" Target="media/image3673.png"/><Relationship Id="rId3681" Type="http://schemas.openxmlformats.org/officeDocument/2006/relationships/image" Target="media/image3674.png"/><Relationship Id="rId3682" Type="http://schemas.openxmlformats.org/officeDocument/2006/relationships/image" Target="media/image3675.png"/><Relationship Id="rId3683" Type="http://schemas.openxmlformats.org/officeDocument/2006/relationships/image" Target="media/image3676.png"/><Relationship Id="rId3684" Type="http://schemas.openxmlformats.org/officeDocument/2006/relationships/image" Target="media/image3677.png"/><Relationship Id="rId3685" Type="http://schemas.openxmlformats.org/officeDocument/2006/relationships/image" Target="media/image3678.png"/><Relationship Id="rId3686" Type="http://schemas.openxmlformats.org/officeDocument/2006/relationships/image" Target="media/image3679.png"/><Relationship Id="rId3687" Type="http://schemas.openxmlformats.org/officeDocument/2006/relationships/image" Target="media/image3680.png"/><Relationship Id="rId3688" Type="http://schemas.openxmlformats.org/officeDocument/2006/relationships/image" Target="media/image3681.png"/><Relationship Id="rId3689" Type="http://schemas.openxmlformats.org/officeDocument/2006/relationships/image" Target="media/image3682.png"/><Relationship Id="rId3690" Type="http://schemas.openxmlformats.org/officeDocument/2006/relationships/image" Target="media/image3683.png"/><Relationship Id="rId3691" Type="http://schemas.openxmlformats.org/officeDocument/2006/relationships/image" Target="media/image3684.png"/><Relationship Id="rId3692" Type="http://schemas.openxmlformats.org/officeDocument/2006/relationships/image" Target="media/image3685.png"/><Relationship Id="rId3693" Type="http://schemas.openxmlformats.org/officeDocument/2006/relationships/image" Target="media/image3686.png"/><Relationship Id="rId3694" Type="http://schemas.openxmlformats.org/officeDocument/2006/relationships/image" Target="media/image3687.png"/><Relationship Id="rId3695" Type="http://schemas.openxmlformats.org/officeDocument/2006/relationships/image" Target="media/image3688.png"/><Relationship Id="rId3696" Type="http://schemas.openxmlformats.org/officeDocument/2006/relationships/image" Target="media/image3689.png"/><Relationship Id="rId3697" Type="http://schemas.openxmlformats.org/officeDocument/2006/relationships/image" Target="media/image3690.png"/><Relationship Id="rId3698" Type="http://schemas.openxmlformats.org/officeDocument/2006/relationships/image" Target="media/image3691.png"/><Relationship Id="rId3699" Type="http://schemas.openxmlformats.org/officeDocument/2006/relationships/image" Target="media/image3692.png"/><Relationship Id="rId3700" Type="http://schemas.openxmlformats.org/officeDocument/2006/relationships/image" Target="media/image3693.png"/><Relationship Id="rId3701" Type="http://schemas.openxmlformats.org/officeDocument/2006/relationships/image" Target="media/image3694.png"/><Relationship Id="rId3702" Type="http://schemas.openxmlformats.org/officeDocument/2006/relationships/image" Target="media/image3695.png"/><Relationship Id="rId3703" Type="http://schemas.openxmlformats.org/officeDocument/2006/relationships/image" Target="media/image3696.png"/><Relationship Id="rId3704" Type="http://schemas.openxmlformats.org/officeDocument/2006/relationships/image" Target="media/image3697.png"/><Relationship Id="rId3705" Type="http://schemas.openxmlformats.org/officeDocument/2006/relationships/image" Target="media/image3698.png"/><Relationship Id="rId3706" Type="http://schemas.openxmlformats.org/officeDocument/2006/relationships/image" Target="media/image3699.png"/><Relationship Id="rId3707" Type="http://schemas.openxmlformats.org/officeDocument/2006/relationships/image" Target="media/image3700.png"/><Relationship Id="rId3708" Type="http://schemas.openxmlformats.org/officeDocument/2006/relationships/image" Target="media/image3701.png"/><Relationship Id="rId3709" Type="http://schemas.openxmlformats.org/officeDocument/2006/relationships/image" Target="media/image3702.png"/><Relationship Id="rId3710" Type="http://schemas.openxmlformats.org/officeDocument/2006/relationships/image" Target="media/image3703.png"/><Relationship Id="rId3711" Type="http://schemas.openxmlformats.org/officeDocument/2006/relationships/image" Target="media/image3704.png"/><Relationship Id="rId3712" Type="http://schemas.openxmlformats.org/officeDocument/2006/relationships/image" Target="media/image3705.png"/><Relationship Id="rId3713" Type="http://schemas.openxmlformats.org/officeDocument/2006/relationships/image" Target="media/image3706.png"/><Relationship Id="rId3714" Type="http://schemas.openxmlformats.org/officeDocument/2006/relationships/image" Target="media/image3707.png"/><Relationship Id="rId3715" Type="http://schemas.openxmlformats.org/officeDocument/2006/relationships/image" Target="media/image3708.png"/><Relationship Id="rId3716" Type="http://schemas.openxmlformats.org/officeDocument/2006/relationships/image" Target="media/image3709.png"/><Relationship Id="rId3717" Type="http://schemas.openxmlformats.org/officeDocument/2006/relationships/image" Target="media/image3710.png"/><Relationship Id="rId3718" Type="http://schemas.openxmlformats.org/officeDocument/2006/relationships/image" Target="media/image3711.png"/><Relationship Id="rId3719" Type="http://schemas.openxmlformats.org/officeDocument/2006/relationships/image" Target="media/image3712.png"/><Relationship Id="rId3720" Type="http://schemas.openxmlformats.org/officeDocument/2006/relationships/image" Target="media/image3713.png"/><Relationship Id="rId3721" Type="http://schemas.openxmlformats.org/officeDocument/2006/relationships/image" Target="media/image3714.png"/><Relationship Id="rId3722" Type="http://schemas.openxmlformats.org/officeDocument/2006/relationships/image" Target="media/image3715.png"/><Relationship Id="rId3723" Type="http://schemas.openxmlformats.org/officeDocument/2006/relationships/image" Target="media/image3716.png"/><Relationship Id="rId3724" Type="http://schemas.openxmlformats.org/officeDocument/2006/relationships/image" Target="media/image3717.png"/><Relationship Id="rId3725" Type="http://schemas.openxmlformats.org/officeDocument/2006/relationships/image" Target="media/image3718.png"/><Relationship Id="rId3726" Type="http://schemas.openxmlformats.org/officeDocument/2006/relationships/image" Target="media/image3719.png"/><Relationship Id="rId3727" Type="http://schemas.openxmlformats.org/officeDocument/2006/relationships/image" Target="media/image3720.png"/><Relationship Id="rId3728" Type="http://schemas.openxmlformats.org/officeDocument/2006/relationships/image" Target="media/image3721.png"/><Relationship Id="rId3729" Type="http://schemas.openxmlformats.org/officeDocument/2006/relationships/image" Target="media/image3722.png"/><Relationship Id="rId3730" Type="http://schemas.openxmlformats.org/officeDocument/2006/relationships/image" Target="media/image3723.png"/><Relationship Id="rId3731" Type="http://schemas.openxmlformats.org/officeDocument/2006/relationships/image" Target="media/image3724.png"/><Relationship Id="rId3732" Type="http://schemas.openxmlformats.org/officeDocument/2006/relationships/image" Target="media/image3725.png"/><Relationship Id="rId3733" Type="http://schemas.openxmlformats.org/officeDocument/2006/relationships/image" Target="media/image3726.png"/><Relationship Id="rId3734" Type="http://schemas.openxmlformats.org/officeDocument/2006/relationships/image" Target="media/image3727.png"/><Relationship Id="rId3735" Type="http://schemas.openxmlformats.org/officeDocument/2006/relationships/image" Target="media/image3728.png"/><Relationship Id="rId3736" Type="http://schemas.openxmlformats.org/officeDocument/2006/relationships/image" Target="media/image3729.png"/><Relationship Id="rId3737" Type="http://schemas.openxmlformats.org/officeDocument/2006/relationships/image" Target="media/image3730.png"/><Relationship Id="rId3738" Type="http://schemas.openxmlformats.org/officeDocument/2006/relationships/image" Target="media/image3731.png"/><Relationship Id="rId3739" Type="http://schemas.openxmlformats.org/officeDocument/2006/relationships/image" Target="media/image3732.png"/><Relationship Id="rId3740" Type="http://schemas.openxmlformats.org/officeDocument/2006/relationships/image" Target="media/image3733.png"/><Relationship Id="rId3741" Type="http://schemas.openxmlformats.org/officeDocument/2006/relationships/image" Target="media/image3734.png"/><Relationship Id="rId3742" Type="http://schemas.openxmlformats.org/officeDocument/2006/relationships/image" Target="media/image3735.png"/><Relationship Id="rId3743" Type="http://schemas.openxmlformats.org/officeDocument/2006/relationships/image" Target="media/image3736.png"/><Relationship Id="rId3744" Type="http://schemas.openxmlformats.org/officeDocument/2006/relationships/image" Target="media/image3737.png"/><Relationship Id="rId3745" Type="http://schemas.openxmlformats.org/officeDocument/2006/relationships/image" Target="media/image3738.png"/><Relationship Id="rId3746" Type="http://schemas.openxmlformats.org/officeDocument/2006/relationships/image" Target="media/image3739.png"/><Relationship Id="rId3747" Type="http://schemas.openxmlformats.org/officeDocument/2006/relationships/image" Target="media/image3740.png"/><Relationship Id="rId3748" Type="http://schemas.openxmlformats.org/officeDocument/2006/relationships/image" Target="media/image3741.png"/><Relationship Id="rId3749" Type="http://schemas.openxmlformats.org/officeDocument/2006/relationships/image" Target="media/image3742.png"/><Relationship Id="rId3750" Type="http://schemas.openxmlformats.org/officeDocument/2006/relationships/image" Target="media/image3743.png"/><Relationship Id="rId3751" Type="http://schemas.openxmlformats.org/officeDocument/2006/relationships/image" Target="media/image3744.png"/><Relationship Id="rId3752" Type="http://schemas.openxmlformats.org/officeDocument/2006/relationships/image" Target="media/image3745.png"/><Relationship Id="rId3753" Type="http://schemas.openxmlformats.org/officeDocument/2006/relationships/image" Target="media/image3746.png"/><Relationship Id="rId3754" Type="http://schemas.openxmlformats.org/officeDocument/2006/relationships/image" Target="media/image3747.png"/><Relationship Id="rId3755" Type="http://schemas.openxmlformats.org/officeDocument/2006/relationships/image" Target="media/image3748.png"/><Relationship Id="rId3756" Type="http://schemas.openxmlformats.org/officeDocument/2006/relationships/image" Target="media/image3749.png"/><Relationship Id="rId3757" Type="http://schemas.openxmlformats.org/officeDocument/2006/relationships/image" Target="media/image3750.png"/><Relationship Id="rId3758" Type="http://schemas.openxmlformats.org/officeDocument/2006/relationships/image" Target="media/image3751.png"/><Relationship Id="rId3759" Type="http://schemas.openxmlformats.org/officeDocument/2006/relationships/image" Target="media/image3752.png"/><Relationship Id="rId3760" Type="http://schemas.openxmlformats.org/officeDocument/2006/relationships/image" Target="media/image3753.png"/><Relationship Id="rId3761" Type="http://schemas.openxmlformats.org/officeDocument/2006/relationships/image" Target="media/image3754.png"/><Relationship Id="rId3762" Type="http://schemas.openxmlformats.org/officeDocument/2006/relationships/image" Target="media/image3755.png"/><Relationship Id="rId3763" Type="http://schemas.openxmlformats.org/officeDocument/2006/relationships/image" Target="media/image3756.png"/><Relationship Id="rId3764" Type="http://schemas.openxmlformats.org/officeDocument/2006/relationships/image" Target="media/image3757.png"/><Relationship Id="rId3765" Type="http://schemas.openxmlformats.org/officeDocument/2006/relationships/image" Target="media/image3758.png"/><Relationship Id="rId3766" Type="http://schemas.openxmlformats.org/officeDocument/2006/relationships/image" Target="media/image3759.png"/><Relationship Id="rId3767" Type="http://schemas.openxmlformats.org/officeDocument/2006/relationships/image" Target="media/image3760.png"/><Relationship Id="rId3768" Type="http://schemas.openxmlformats.org/officeDocument/2006/relationships/image" Target="media/image3761.png"/><Relationship Id="rId3769" Type="http://schemas.openxmlformats.org/officeDocument/2006/relationships/image" Target="media/image3762.png"/><Relationship Id="rId3770" Type="http://schemas.openxmlformats.org/officeDocument/2006/relationships/image" Target="media/image3763.png"/><Relationship Id="rId3771" Type="http://schemas.openxmlformats.org/officeDocument/2006/relationships/image" Target="media/image3764.png"/><Relationship Id="rId3772" Type="http://schemas.openxmlformats.org/officeDocument/2006/relationships/image" Target="media/image3765.png"/><Relationship Id="rId3773" Type="http://schemas.openxmlformats.org/officeDocument/2006/relationships/image" Target="media/image3766.png"/><Relationship Id="rId3774" Type="http://schemas.openxmlformats.org/officeDocument/2006/relationships/image" Target="media/image3767.png"/><Relationship Id="rId3775" Type="http://schemas.openxmlformats.org/officeDocument/2006/relationships/image" Target="media/image3768.png"/><Relationship Id="rId3776" Type="http://schemas.openxmlformats.org/officeDocument/2006/relationships/image" Target="media/image3769.png"/><Relationship Id="rId3777" Type="http://schemas.openxmlformats.org/officeDocument/2006/relationships/image" Target="media/image3770.png"/><Relationship Id="rId3778" Type="http://schemas.openxmlformats.org/officeDocument/2006/relationships/image" Target="media/image3771.png"/><Relationship Id="rId3779" Type="http://schemas.openxmlformats.org/officeDocument/2006/relationships/image" Target="media/image3772.png"/><Relationship Id="rId3780" Type="http://schemas.openxmlformats.org/officeDocument/2006/relationships/image" Target="media/image3773.png"/><Relationship Id="rId3781" Type="http://schemas.openxmlformats.org/officeDocument/2006/relationships/image" Target="media/image3774.png"/><Relationship Id="rId3782" Type="http://schemas.openxmlformats.org/officeDocument/2006/relationships/image" Target="media/image3775.png"/><Relationship Id="rId3783" Type="http://schemas.openxmlformats.org/officeDocument/2006/relationships/image" Target="media/image3776.png"/><Relationship Id="rId3784" Type="http://schemas.openxmlformats.org/officeDocument/2006/relationships/image" Target="media/image3777.png"/><Relationship Id="rId3785" Type="http://schemas.openxmlformats.org/officeDocument/2006/relationships/image" Target="media/image3778.png"/><Relationship Id="rId3786" Type="http://schemas.openxmlformats.org/officeDocument/2006/relationships/image" Target="media/image3779.png"/><Relationship Id="rId3787" Type="http://schemas.openxmlformats.org/officeDocument/2006/relationships/image" Target="media/image3780.png"/><Relationship Id="rId3788" Type="http://schemas.openxmlformats.org/officeDocument/2006/relationships/image" Target="media/image3781.png"/><Relationship Id="rId3789" Type="http://schemas.openxmlformats.org/officeDocument/2006/relationships/image" Target="media/image3782.png"/><Relationship Id="rId3790" Type="http://schemas.openxmlformats.org/officeDocument/2006/relationships/image" Target="media/image3783.png"/><Relationship Id="rId3791" Type="http://schemas.openxmlformats.org/officeDocument/2006/relationships/image" Target="media/image3784.png"/><Relationship Id="rId3792" Type="http://schemas.openxmlformats.org/officeDocument/2006/relationships/image" Target="media/image3785.png"/><Relationship Id="rId3793" Type="http://schemas.openxmlformats.org/officeDocument/2006/relationships/image" Target="media/image3786.png"/><Relationship Id="rId3794" Type="http://schemas.openxmlformats.org/officeDocument/2006/relationships/image" Target="media/image3787.png"/><Relationship Id="rId3795" Type="http://schemas.openxmlformats.org/officeDocument/2006/relationships/image" Target="media/image3788.png"/><Relationship Id="rId3796" Type="http://schemas.openxmlformats.org/officeDocument/2006/relationships/image" Target="media/image3789.png"/><Relationship Id="rId3797" Type="http://schemas.openxmlformats.org/officeDocument/2006/relationships/image" Target="media/image3790.png"/><Relationship Id="rId3798" Type="http://schemas.openxmlformats.org/officeDocument/2006/relationships/image" Target="media/image3791.png"/><Relationship Id="rId3799" Type="http://schemas.openxmlformats.org/officeDocument/2006/relationships/image" Target="media/image3792.png"/><Relationship Id="rId3800" Type="http://schemas.openxmlformats.org/officeDocument/2006/relationships/image" Target="media/image3793.png"/><Relationship Id="rId3801" Type="http://schemas.openxmlformats.org/officeDocument/2006/relationships/image" Target="media/image3794.png"/><Relationship Id="rId3802" Type="http://schemas.openxmlformats.org/officeDocument/2006/relationships/image" Target="media/image3795.png"/><Relationship Id="rId3803" Type="http://schemas.openxmlformats.org/officeDocument/2006/relationships/image" Target="media/image3796.png"/><Relationship Id="rId3804" Type="http://schemas.openxmlformats.org/officeDocument/2006/relationships/image" Target="media/image3797.png"/><Relationship Id="rId3805" Type="http://schemas.openxmlformats.org/officeDocument/2006/relationships/image" Target="media/image3798.png"/><Relationship Id="rId3806" Type="http://schemas.openxmlformats.org/officeDocument/2006/relationships/image" Target="media/image3799.png"/><Relationship Id="rId3807" Type="http://schemas.openxmlformats.org/officeDocument/2006/relationships/image" Target="media/image3800.png"/><Relationship Id="rId3808" Type="http://schemas.openxmlformats.org/officeDocument/2006/relationships/image" Target="media/image3801.png"/><Relationship Id="rId3809" Type="http://schemas.openxmlformats.org/officeDocument/2006/relationships/image" Target="media/image3802.png"/><Relationship Id="rId3810" Type="http://schemas.openxmlformats.org/officeDocument/2006/relationships/image" Target="media/image3803.png"/><Relationship Id="rId3811" Type="http://schemas.openxmlformats.org/officeDocument/2006/relationships/image" Target="media/image3804.png"/><Relationship Id="rId3812" Type="http://schemas.openxmlformats.org/officeDocument/2006/relationships/image" Target="media/image3805.png"/><Relationship Id="rId3813" Type="http://schemas.openxmlformats.org/officeDocument/2006/relationships/image" Target="media/image3806.png"/><Relationship Id="rId3814" Type="http://schemas.openxmlformats.org/officeDocument/2006/relationships/image" Target="media/image3807.png"/><Relationship Id="rId3815" Type="http://schemas.openxmlformats.org/officeDocument/2006/relationships/image" Target="media/image3808.png"/><Relationship Id="rId3816" Type="http://schemas.openxmlformats.org/officeDocument/2006/relationships/image" Target="media/image3809.png"/><Relationship Id="rId3817" Type="http://schemas.openxmlformats.org/officeDocument/2006/relationships/image" Target="media/image3810.png"/><Relationship Id="rId3818" Type="http://schemas.openxmlformats.org/officeDocument/2006/relationships/image" Target="media/image3811.png"/><Relationship Id="rId3819" Type="http://schemas.openxmlformats.org/officeDocument/2006/relationships/image" Target="media/image3812.png"/><Relationship Id="rId3820" Type="http://schemas.openxmlformats.org/officeDocument/2006/relationships/image" Target="media/image3813.png"/><Relationship Id="rId3821" Type="http://schemas.openxmlformats.org/officeDocument/2006/relationships/image" Target="media/image3814.png"/><Relationship Id="rId3822" Type="http://schemas.openxmlformats.org/officeDocument/2006/relationships/image" Target="media/image3815.png"/><Relationship Id="rId3823" Type="http://schemas.openxmlformats.org/officeDocument/2006/relationships/image" Target="media/image3816.png"/><Relationship Id="rId3824" Type="http://schemas.openxmlformats.org/officeDocument/2006/relationships/image" Target="media/image3817.png"/><Relationship Id="rId3825" Type="http://schemas.openxmlformats.org/officeDocument/2006/relationships/image" Target="media/image3818.png"/><Relationship Id="rId3826" Type="http://schemas.openxmlformats.org/officeDocument/2006/relationships/image" Target="media/image3819.png"/><Relationship Id="rId3827" Type="http://schemas.openxmlformats.org/officeDocument/2006/relationships/image" Target="media/image3820.png"/><Relationship Id="rId3828" Type="http://schemas.openxmlformats.org/officeDocument/2006/relationships/image" Target="media/image3821.png"/><Relationship Id="rId3829" Type="http://schemas.openxmlformats.org/officeDocument/2006/relationships/image" Target="media/image3822.png"/><Relationship Id="rId3830" Type="http://schemas.openxmlformats.org/officeDocument/2006/relationships/image" Target="media/image3823.png"/><Relationship Id="rId3831" Type="http://schemas.openxmlformats.org/officeDocument/2006/relationships/image" Target="media/image3824.png"/><Relationship Id="rId3832" Type="http://schemas.openxmlformats.org/officeDocument/2006/relationships/image" Target="media/image3825.png"/><Relationship Id="rId3833" Type="http://schemas.openxmlformats.org/officeDocument/2006/relationships/image" Target="media/image3826.png"/><Relationship Id="rId3834" Type="http://schemas.openxmlformats.org/officeDocument/2006/relationships/image" Target="media/image3827.png"/><Relationship Id="rId3835" Type="http://schemas.openxmlformats.org/officeDocument/2006/relationships/image" Target="media/image3828.png"/><Relationship Id="rId3836" Type="http://schemas.openxmlformats.org/officeDocument/2006/relationships/image" Target="media/image3829.png"/><Relationship Id="rId3837" Type="http://schemas.openxmlformats.org/officeDocument/2006/relationships/image" Target="media/image3830.png"/><Relationship Id="rId3838" Type="http://schemas.openxmlformats.org/officeDocument/2006/relationships/image" Target="media/image3831.png"/><Relationship Id="rId3839" Type="http://schemas.openxmlformats.org/officeDocument/2006/relationships/image" Target="media/image3832.png"/><Relationship Id="rId3840" Type="http://schemas.openxmlformats.org/officeDocument/2006/relationships/image" Target="media/image3833.png"/><Relationship Id="rId3841" Type="http://schemas.openxmlformats.org/officeDocument/2006/relationships/image" Target="media/image3834.png"/><Relationship Id="rId3842" Type="http://schemas.openxmlformats.org/officeDocument/2006/relationships/image" Target="media/image3835.png"/><Relationship Id="rId3843" Type="http://schemas.openxmlformats.org/officeDocument/2006/relationships/image" Target="media/image3836.png"/><Relationship Id="rId3844" Type="http://schemas.openxmlformats.org/officeDocument/2006/relationships/image" Target="media/image3837.png"/><Relationship Id="rId3845" Type="http://schemas.openxmlformats.org/officeDocument/2006/relationships/image" Target="media/image3838.png"/><Relationship Id="rId3846" Type="http://schemas.openxmlformats.org/officeDocument/2006/relationships/image" Target="media/image3839.png"/><Relationship Id="rId3847" Type="http://schemas.openxmlformats.org/officeDocument/2006/relationships/image" Target="media/image3840.png"/><Relationship Id="rId3848" Type="http://schemas.openxmlformats.org/officeDocument/2006/relationships/image" Target="media/image3841.png"/><Relationship Id="rId3849" Type="http://schemas.openxmlformats.org/officeDocument/2006/relationships/image" Target="media/image3842.png"/><Relationship Id="rId3850" Type="http://schemas.openxmlformats.org/officeDocument/2006/relationships/image" Target="media/image3843.png"/><Relationship Id="rId3851" Type="http://schemas.openxmlformats.org/officeDocument/2006/relationships/image" Target="media/image3844.png"/><Relationship Id="rId3852" Type="http://schemas.openxmlformats.org/officeDocument/2006/relationships/image" Target="media/image3845.png"/><Relationship Id="rId3853" Type="http://schemas.openxmlformats.org/officeDocument/2006/relationships/image" Target="media/image3846.png"/><Relationship Id="rId3854" Type="http://schemas.openxmlformats.org/officeDocument/2006/relationships/image" Target="media/image3847.png"/><Relationship Id="rId3855" Type="http://schemas.openxmlformats.org/officeDocument/2006/relationships/image" Target="media/image3848.png"/><Relationship Id="rId3856" Type="http://schemas.openxmlformats.org/officeDocument/2006/relationships/image" Target="media/image3849.png"/><Relationship Id="rId3857" Type="http://schemas.openxmlformats.org/officeDocument/2006/relationships/image" Target="media/image3850.png"/><Relationship Id="rId3858" Type="http://schemas.openxmlformats.org/officeDocument/2006/relationships/image" Target="media/image3851.png"/><Relationship Id="rId3859" Type="http://schemas.openxmlformats.org/officeDocument/2006/relationships/image" Target="media/image3852.png"/><Relationship Id="rId3860" Type="http://schemas.openxmlformats.org/officeDocument/2006/relationships/image" Target="media/image3853.png"/><Relationship Id="rId3861" Type="http://schemas.openxmlformats.org/officeDocument/2006/relationships/image" Target="media/image3854.png"/><Relationship Id="rId3862" Type="http://schemas.openxmlformats.org/officeDocument/2006/relationships/image" Target="media/image3855.png"/><Relationship Id="rId3863" Type="http://schemas.openxmlformats.org/officeDocument/2006/relationships/image" Target="media/image3856.png"/><Relationship Id="rId3864" Type="http://schemas.openxmlformats.org/officeDocument/2006/relationships/image" Target="media/image3857.png"/><Relationship Id="rId3865" Type="http://schemas.openxmlformats.org/officeDocument/2006/relationships/image" Target="media/image3858.png"/><Relationship Id="rId3866" Type="http://schemas.openxmlformats.org/officeDocument/2006/relationships/image" Target="media/image3859.png"/><Relationship Id="rId3867" Type="http://schemas.openxmlformats.org/officeDocument/2006/relationships/image" Target="media/image3860.png"/><Relationship Id="rId3868" Type="http://schemas.openxmlformats.org/officeDocument/2006/relationships/image" Target="media/image3861.png"/><Relationship Id="rId3869" Type="http://schemas.openxmlformats.org/officeDocument/2006/relationships/image" Target="media/image3862.png"/><Relationship Id="rId3870" Type="http://schemas.openxmlformats.org/officeDocument/2006/relationships/image" Target="media/image3863.png"/><Relationship Id="rId3871" Type="http://schemas.openxmlformats.org/officeDocument/2006/relationships/image" Target="media/image3864.png"/><Relationship Id="rId3872" Type="http://schemas.openxmlformats.org/officeDocument/2006/relationships/image" Target="media/image3865.png"/><Relationship Id="rId3873" Type="http://schemas.openxmlformats.org/officeDocument/2006/relationships/image" Target="media/image3866.png"/><Relationship Id="rId3874" Type="http://schemas.openxmlformats.org/officeDocument/2006/relationships/image" Target="media/image3867.png"/><Relationship Id="rId3875" Type="http://schemas.openxmlformats.org/officeDocument/2006/relationships/image" Target="media/image3868.png"/><Relationship Id="rId3876" Type="http://schemas.openxmlformats.org/officeDocument/2006/relationships/image" Target="media/image3869.png"/><Relationship Id="rId3877" Type="http://schemas.openxmlformats.org/officeDocument/2006/relationships/image" Target="media/image3870.png"/><Relationship Id="rId3878" Type="http://schemas.openxmlformats.org/officeDocument/2006/relationships/image" Target="media/image3871.png"/><Relationship Id="rId3879" Type="http://schemas.openxmlformats.org/officeDocument/2006/relationships/image" Target="media/image3872.png"/><Relationship Id="rId3880" Type="http://schemas.openxmlformats.org/officeDocument/2006/relationships/image" Target="media/image3873.png"/><Relationship Id="rId3881" Type="http://schemas.openxmlformats.org/officeDocument/2006/relationships/image" Target="media/image3874.png"/><Relationship Id="rId3882" Type="http://schemas.openxmlformats.org/officeDocument/2006/relationships/image" Target="media/image3875.png"/><Relationship Id="rId3883" Type="http://schemas.openxmlformats.org/officeDocument/2006/relationships/image" Target="media/image3876.png"/><Relationship Id="rId3884" Type="http://schemas.openxmlformats.org/officeDocument/2006/relationships/image" Target="media/image3877.png"/><Relationship Id="rId3885" Type="http://schemas.openxmlformats.org/officeDocument/2006/relationships/image" Target="media/image3878.png"/><Relationship Id="rId3886" Type="http://schemas.openxmlformats.org/officeDocument/2006/relationships/image" Target="media/image3879.png"/><Relationship Id="rId3887" Type="http://schemas.openxmlformats.org/officeDocument/2006/relationships/image" Target="media/image3880.png"/><Relationship Id="rId3888" Type="http://schemas.openxmlformats.org/officeDocument/2006/relationships/image" Target="media/image3881.png"/><Relationship Id="rId3889" Type="http://schemas.openxmlformats.org/officeDocument/2006/relationships/image" Target="media/image3882.png"/><Relationship Id="rId3890" Type="http://schemas.openxmlformats.org/officeDocument/2006/relationships/image" Target="media/image3883.png"/><Relationship Id="rId3891" Type="http://schemas.openxmlformats.org/officeDocument/2006/relationships/image" Target="media/image3884.png"/><Relationship Id="rId3892" Type="http://schemas.openxmlformats.org/officeDocument/2006/relationships/image" Target="media/image3885.png"/><Relationship Id="rId3893" Type="http://schemas.openxmlformats.org/officeDocument/2006/relationships/image" Target="media/image3886.png"/><Relationship Id="rId3894" Type="http://schemas.openxmlformats.org/officeDocument/2006/relationships/image" Target="media/image3887.png"/><Relationship Id="rId3895" Type="http://schemas.openxmlformats.org/officeDocument/2006/relationships/image" Target="media/image3888.png"/><Relationship Id="rId3896" Type="http://schemas.openxmlformats.org/officeDocument/2006/relationships/image" Target="media/image3889.png"/><Relationship Id="rId3897" Type="http://schemas.openxmlformats.org/officeDocument/2006/relationships/image" Target="media/image3890.png"/><Relationship Id="rId3898" Type="http://schemas.openxmlformats.org/officeDocument/2006/relationships/image" Target="media/image3891.png"/><Relationship Id="rId3899" Type="http://schemas.openxmlformats.org/officeDocument/2006/relationships/image" Target="media/image3892.png"/><Relationship Id="rId3900" Type="http://schemas.openxmlformats.org/officeDocument/2006/relationships/image" Target="media/image3893.png"/><Relationship Id="rId3901" Type="http://schemas.openxmlformats.org/officeDocument/2006/relationships/image" Target="media/image3894.png"/><Relationship Id="rId3902" Type="http://schemas.openxmlformats.org/officeDocument/2006/relationships/image" Target="media/image3895.png"/><Relationship Id="rId3903" Type="http://schemas.openxmlformats.org/officeDocument/2006/relationships/image" Target="media/image3896.png"/><Relationship Id="rId3904" Type="http://schemas.openxmlformats.org/officeDocument/2006/relationships/image" Target="media/image3897.png"/><Relationship Id="rId3905" Type="http://schemas.openxmlformats.org/officeDocument/2006/relationships/image" Target="media/image3898.png"/><Relationship Id="rId3906" Type="http://schemas.openxmlformats.org/officeDocument/2006/relationships/image" Target="media/image3899.png"/><Relationship Id="rId3907" Type="http://schemas.openxmlformats.org/officeDocument/2006/relationships/image" Target="media/image3900.png"/><Relationship Id="rId3908" Type="http://schemas.openxmlformats.org/officeDocument/2006/relationships/image" Target="media/image3901.png"/><Relationship Id="rId3909" Type="http://schemas.openxmlformats.org/officeDocument/2006/relationships/image" Target="media/image3902.png"/><Relationship Id="rId3910" Type="http://schemas.openxmlformats.org/officeDocument/2006/relationships/image" Target="media/image3903.png"/><Relationship Id="rId3911" Type="http://schemas.openxmlformats.org/officeDocument/2006/relationships/image" Target="media/image3904.png"/><Relationship Id="rId3912" Type="http://schemas.openxmlformats.org/officeDocument/2006/relationships/image" Target="media/image3905.png"/><Relationship Id="rId3913" Type="http://schemas.openxmlformats.org/officeDocument/2006/relationships/image" Target="media/image3906.png"/><Relationship Id="rId3914" Type="http://schemas.openxmlformats.org/officeDocument/2006/relationships/image" Target="media/image3907.png"/><Relationship Id="rId3915" Type="http://schemas.openxmlformats.org/officeDocument/2006/relationships/image" Target="media/image3908.png"/><Relationship Id="rId3916" Type="http://schemas.openxmlformats.org/officeDocument/2006/relationships/image" Target="media/image3909.png"/><Relationship Id="rId3917" Type="http://schemas.openxmlformats.org/officeDocument/2006/relationships/image" Target="media/image3910.png"/><Relationship Id="rId3918" Type="http://schemas.openxmlformats.org/officeDocument/2006/relationships/image" Target="media/image3911.png"/><Relationship Id="rId3919" Type="http://schemas.openxmlformats.org/officeDocument/2006/relationships/image" Target="media/image3912.png"/><Relationship Id="rId3920" Type="http://schemas.openxmlformats.org/officeDocument/2006/relationships/image" Target="media/image3913.png"/><Relationship Id="rId3921" Type="http://schemas.openxmlformats.org/officeDocument/2006/relationships/image" Target="media/image3914.png"/><Relationship Id="rId3922" Type="http://schemas.openxmlformats.org/officeDocument/2006/relationships/image" Target="media/image3915.png"/><Relationship Id="rId3923" Type="http://schemas.openxmlformats.org/officeDocument/2006/relationships/image" Target="media/image3916.png"/><Relationship Id="rId3924" Type="http://schemas.openxmlformats.org/officeDocument/2006/relationships/image" Target="media/image3917.png"/><Relationship Id="rId3925" Type="http://schemas.openxmlformats.org/officeDocument/2006/relationships/image" Target="media/image3918.png"/><Relationship Id="rId3926" Type="http://schemas.openxmlformats.org/officeDocument/2006/relationships/image" Target="media/image3919.png"/><Relationship Id="rId3927" Type="http://schemas.openxmlformats.org/officeDocument/2006/relationships/image" Target="media/image3920.png"/><Relationship Id="rId3928" Type="http://schemas.openxmlformats.org/officeDocument/2006/relationships/image" Target="media/image3921.png"/><Relationship Id="rId3929" Type="http://schemas.openxmlformats.org/officeDocument/2006/relationships/image" Target="media/image3922.png"/><Relationship Id="rId3930" Type="http://schemas.openxmlformats.org/officeDocument/2006/relationships/image" Target="media/image3923.png"/><Relationship Id="rId3931" Type="http://schemas.openxmlformats.org/officeDocument/2006/relationships/image" Target="media/image3924.png"/><Relationship Id="rId3932" Type="http://schemas.openxmlformats.org/officeDocument/2006/relationships/image" Target="media/image3925.png"/><Relationship Id="rId3933" Type="http://schemas.openxmlformats.org/officeDocument/2006/relationships/image" Target="media/image3926.png"/><Relationship Id="rId3934" Type="http://schemas.openxmlformats.org/officeDocument/2006/relationships/image" Target="media/image3927.png"/><Relationship Id="rId3935" Type="http://schemas.openxmlformats.org/officeDocument/2006/relationships/image" Target="media/image3928.png"/><Relationship Id="rId3936" Type="http://schemas.openxmlformats.org/officeDocument/2006/relationships/image" Target="media/image3929.png"/><Relationship Id="rId3937" Type="http://schemas.openxmlformats.org/officeDocument/2006/relationships/image" Target="media/image3930.png"/><Relationship Id="rId3938" Type="http://schemas.openxmlformats.org/officeDocument/2006/relationships/image" Target="media/image3931.png"/><Relationship Id="rId3939" Type="http://schemas.openxmlformats.org/officeDocument/2006/relationships/image" Target="media/image3932.png"/><Relationship Id="rId3940" Type="http://schemas.openxmlformats.org/officeDocument/2006/relationships/image" Target="media/image3933.png"/><Relationship Id="rId3941" Type="http://schemas.openxmlformats.org/officeDocument/2006/relationships/image" Target="media/image3934.png"/><Relationship Id="rId3942" Type="http://schemas.openxmlformats.org/officeDocument/2006/relationships/image" Target="media/image3935.png"/><Relationship Id="rId3943" Type="http://schemas.openxmlformats.org/officeDocument/2006/relationships/image" Target="media/image3936.png"/><Relationship Id="rId3944" Type="http://schemas.openxmlformats.org/officeDocument/2006/relationships/image" Target="media/image3937.png"/><Relationship Id="rId3945" Type="http://schemas.openxmlformats.org/officeDocument/2006/relationships/image" Target="media/image3938.png"/><Relationship Id="rId3946" Type="http://schemas.openxmlformats.org/officeDocument/2006/relationships/image" Target="media/image3939.png"/><Relationship Id="rId3947" Type="http://schemas.openxmlformats.org/officeDocument/2006/relationships/image" Target="media/image3940.png"/><Relationship Id="rId3948" Type="http://schemas.openxmlformats.org/officeDocument/2006/relationships/image" Target="media/image3941.png"/><Relationship Id="rId3949" Type="http://schemas.openxmlformats.org/officeDocument/2006/relationships/image" Target="media/image3942.png"/><Relationship Id="rId3950" Type="http://schemas.openxmlformats.org/officeDocument/2006/relationships/image" Target="media/image3943.png"/><Relationship Id="rId3951" Type="http://schemas.openxmlformats.org/officeDocument/2006/relationships/image" Target="media/image3944.png"/><Relationship Id="rId3952" Type="http://schemas.openxmlformats.org/officeDocument/2006/relationships/image" Target="media/image3945.png"/><Relationship Id="rId3953" Type="http://schemas.openxmlformats.org/officeDocument/2006/relationships/image" Target="media/image3946.png"/><Relationship Id="rId3954" Type="http://schemas.openxmlformats.org/officeDocument/2006/relationships/image" Target="media/image3947.png"/><Relationship Id="rId3955" Type="http://schemas.openxmlformats.org/officeDocument/2006/relationships/image" Target="media/image3948.png"/><Relationship Id="rId3956" Type="http://schemas.openxmlformats.org/officeDocument/2006/relationships/image" Target="media/image3949.png"/><Relationship Id="rId3957" Type="http://schemas.openxmlformats.org/officeDocument/2006/relationships/image" Target="media/image3950.png"/><Relationship Id="rId3958" Type="http://schemas.openxmlformats.org/officeDocument/2006/relationships/image" Target="media/image3951.png"/><Relationship Id="rId3959" Type="http://schemas.openxmlformats.org/officeDocument/2006/relationships/image" Target="media/image3952.png"/><Relationship Id="rId3960" Type="http://schemas.openxmlformats.org/officeDocument/2006/relationships/image" Target="media/image3953.png"/><Relationship Id="rId3961" Type="http://schemas.openxmlformats.org/officeDocument/2006/relationships/image" Target="media/image3954.png"/><Relationship Id="rId3962" Type="http://schemas.openxmlformats.org/officeDocument/2006/relationships/image" Target="media/image3955.png"/><Relationship Id="rId3963" Type="http://schemas.openxmlformats.org/officeDocument/2006/relationships/image" Target="media/image3956.png"/><Relationship Id="rId3964" Type="http://schemas.openxmlformats.org/officeDocument/2006/relationships/image" Target="media/image3957.png"/><Relationship Id="rId3965" Type="http://schemas.openxmlformats.org/officeDocument/2006/relationships/image" Target="media/image3958.png"/><Relationship Id="rId3966" Type="http://schemas.openxmlformats.org/officeDocument/2006/relationships/image" Target="media/image3959.png"/><Relationship Id="rId3967" Type="http://schemas.openxmlformats.org/officeDocument/2006/relationships/image" Target="media/image3960.png"/><Relationship Id="rId3968" Type="http://schemas.openxmlformats.org/officeDocument/2006/relationships/image" Target="media/image3961.png"/><Relationship Id="rId3969" Type="http://schemas.openxmlformats.org/officeDocument/2006/relationships/image" Target="media/image3962.png"/><Relationship Id="rId3970" Type="http://schemas.openxmlformats.org/officeDocument/2006/relationships/image" Target="media/image3963.png"/><Relationship Id="rId3971" Type="http://schemas.openxmlformats.org/officeDocument/2006/relationships/image" Target="media/image3964.png"/><Relationship Id="rId3972" Type="http://schemas.openxmlformats.org/officeDocument/2006/relationships/image" Target="media/image3965.png"/><Relationship Id="rId3973" Type="http://schemas.openxmlformats.org/officeDocument/2006/relationships/image" Target="media/image3966.png"/><Relationship Id="rId3974" Type="http://schemas.openxmlformats.org/officeDocument/2006/relationships/image" Target="media/image3967.png"/><Relationship Id="rId3975" Type="http://schemas.openxmlformats.org/officeDocument/2006/relationships/image" Target="media/image3968.png"/><Relationship Id="rId3976" Type="http://schemas.openxmlformats.org/officeDocument/2006/relationships/image" Target="media/image3969.png"/><Relationship Id="rId3977" Type="http://schemas.openxmlformats.org/officeDocument/2006/relationships/image" Target="media/image3970.png"/><Relationship Id="rId3978" Type="http://schemas.openxmlformats.org/officeDocument/2006/relationships/image" Target="media/image3971.png"/><Relationship Id="rId3979" Type="http://schemas.openxmlformats.org/officeDocument/2006/relationships/image" Target="media/image3972.png"/><Relationship Id="rId3980" Type="http://schemas.openxmlformats.org/officeDocument/2006/relationships/image" Target="media/image3973.png"/><Relationship Id="rId3981" Type="http://schemas.openxmlformats.org/officeDocument/2006/relationships/image" Target="media/image3974.png"/><Relationship Id="rId3982" Type="http://schemas.openxmlformats.org/officeDocument/2006/relationships/image" Target="media/image3975.png"/><Relationship Id="rId3983" Type="http://schemas.openxmlformats.org/officeDocument/2006/relationships/image" Target="media/image3976.png"/><Relationship Id="rId3984" Type="http://schemas.openxmlformats.org/officeDocument/2006/relationships/image" Target="media/image3977.png"/><Relationship Id="rId3985" Type="http://schemas.openxmlformats.org/officeDocument/2006/relationships/image" Target="media/image3978.png"/><Relationship Id="rId3986" Type="http://schemas.openxmlformats.org/officeDocument/2006/relationships/image" Target="media/image3979.png"/><Relationship Id="rId3987" Type="http://schemas.openxmlformats.org/officeDocument/2006/relationships/image" Target="media/image3980.png"/><Relationship Id="rId3988" Type="http://schemas.openxmlformats.org/officeDocument/2006/relationships/image" Target="media/image3981.png"/><Relationship Id="rId3989" Type="http://schemas.openxmlformats.org/officeDocument/2006/relationships/image" Target="media/image3982.png"/><Relationship Id="rId3990" Type="http://schemas.openxmlformats.org/officeDocument/2006/relationships/image" Target="media/image3983.png"/><Relationship Id="rId3991" Type="http://schemas.openxmlformats.org/officeDocument/2006/relationships/image" Target="media/image3984.png"/><Relationship Id="rId3992" Type="http://schemas.openxmlformats.org/officeDocument/2006/relationships/image" Target="media/image3985.png"/><Relationship Id="rId3993" Type="http://schemas.openxmlformats.org/officeDocument/2006/relationships/image" Target="media/image3986.png"/><Relationship Id="rId3994" Type="http://schemas.openxmlformats.org/officeDocument/2006/relationships/image" Target="media/image3987.png"/><Relationship Id="rId3995" Type="http://schemas.openxmlformats.org/officeDocument/2006/relationships/image" Target="media/image3988.png"/><Relationship Id="rId3996" Type="http://schemas.openxmlformats.org/officeDocument/2006/relationships/image" Target="media/image3989.png"/><Relationship Id="rId3997" Type="http://schemas.openxmlformats.org/officeDocument/2006/relationships/image" Target="media/image3990.png"/><Relationship Id="rId3998" Type="http://schemas.openxmlformats.org/officeDocument/2006/relationships/image" Target="media/image3991.png"/><Relationship Id="rId3999" Type="http://schemas.openxmlformats.org/officeDocument/2006/relationships/image" Target="media/image3992.png"/><Relationship Id="rId4000" Type="http://schemas.openxmlformats.org/officeDocument/2006/relationships/image" Target="media/image3993.png"/><Relationship Id="rId4001" Type="http://schemas.openxmlformats.org/officeDocument/2006/relationships/image" Target="media/image3994.png"/><Relationship Id="rId4002" Type="http://schemas.openxmlformats.org/officeDocument/2006/relationships/image" Target="media/image3995.png"/><Relationship Id="rId4003" Type="http://schemas.openxmlformats.org/officeDocument/2006/relationships/image" Target="media/image3996.png"/><Relationship Id="rId4004" Type="http://schemas.openxmlformats.org/officeDocument/2006/relationships/image" Target="media/image3997.png"/><Relationship Id="rId4005" Type="http://schemas.openxmlformats.org/officeDocument/2006/relationships/image" Target="media/image3998.png"/><Relationship Id="rId4006" Type="http://schemas.openxmlformats.org/officeDocument/2006/relationships/image" Target="media/image3999.png"/><Relationship Id="rId4007" Type="http://schemas.openxmlformats.org/officeDocument/2006/relationships/image" Target="media/image4000.png"/><Relationship Id="rId4008" Type="http://schemas.openxmlformats.org/officeDocument/2006/relationships/image" Target="media/image4001.png"/><Relationship Id="rId4009" Type="http://schemas.openxmlformats.org/officeDocument/2006/relationships/image" Target="media/image4002.png"/><Relationship Id="rId4010" Type="http://schemas.openxmlformats.org/officeDocument/2006/relationships/image" Target="media/image4003.png"/><Relationship Id="rId4011" Type="http://schemas.openxmlformats.org/officeDocument/2006/relationships/image" Target="media/image4004.png"/><Relationship Id="rId4013" Type="http://schemas.openxmlformats.org/officeDocument/2006/relationships/image" Target="media/image4005.png"/><Relationship Id="rId4014" Type="http://schemas.openxmlformats.org/officeDocument/2006/relationships/image" Target="media/image4006.png"/><Relationship Id="rId4015" Type="http://schemas.openxmlformats.org/officeDocument/2006/relationships/image" Target="media/image4007.png"/><Relationship Id="rId4016" Type="http://schemas.openxmlformats.org/officeDocument/2006/relationships/image" Target="media/image4008.png"/><Relationship Id="rId4017" Type="http://schemas.openxmlformats.org/officeDocument/2006/relationships/image" Target="media/image4009.png"/><Relationship Id="rId4018" Type="http://schemas.openxmlformats.org/officeDocument/2006/relationships/image" Target="media/image4010.png"/><Relationship Id="rId4019" Type="http://schemas.openxmlformats.org/officeDocument/2006/relationships/image" Target="media/image4011.png"/><Relationship Id="rId4020" Type="http://schemas.openxmlformats.org/officeDocument/2006/relationships/image" Target="media/image4012.png"/><Relationship Id="rId4021" Type="http://schemas.openxmlformats.org/officeDocument/2006/relationships/image" Target="media/image4013.png"/><Relationship Id="rId4022" Type="http://schemas.openxmlformats.org/officeDocument/2006/relationships/image" Target="media/image4014.png"/><Relationship Id="rId4023" Type="http://schemas.openxmlformats.org/officeDocument/2006/relationships/image" Target="media/image4015.png"/><Relationship Id="rId4024" Type="http://schemas.openxmlformats.org/officeDocument/2006/relationships/image" Target="media/image4016.png"/><Relationship Id="rId4025" Type="http://schemas.openxmlformats.org/officeDocument/2006/relationships/image" Target="media/image4017.png"/><Relationship Id="rId4026" Type="http://schemas.openxmlformats.org/officeDocument/2006/relationships/image" Target="media/image4018.png"/><Relationship Id="rId4027" Type="http://schemas.openxmlformats.org/officeDocument/2006/relationships/image" Target="media/image4019.png"/><Relationship Id="rId4028" Type="http://schemas.openxmlformats.org/officeDocument/2006/relationships/image" Target="media/image4020.png"/><Relationship Id="rId4012" Type="http://schemas.openxmlformats.org/officeDocument/2006/relationships/hyperlink" Target="https://www.sec.gov/Archives/edgar/data/1047862/000119312521178727/d153702dex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2021-08-05T16:57:06Z</dcterms:created>
  <dcterms:modified xsi:type="dcterms:W3CDTF">2021-08-05T16:57:06Z</dcterms:modified>
</cp:coreProperties>
</file>