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7"/>
          <w:szCs w:val="17"/>
          <w:color w:val="auto"/>
        </w:rPr>
        <w:t>Washington, D.C. 20549</w:t>
      </w:r>
    </w:p>
    <w:p>
      <w:pPr>
        <w:spacing w:after="0" w:line="209" w:lineRule="exact"/>
        <w:rPr>
          <w:sz w:val="24"/>
          <w:szCs w:val="24"/>
          <w:color w:val="auto"/>
        </w:rPr>
      </w:pPr>
    </w:p>
    <w:p>
      <w:pPr>
        <w:ind w:left="5140"/>
        <w:spacing w:after="0"/>
        <w:rPr>
          <w:sz w:val="20"/>
          <w:szCs w:val="20"/>
          <w:color w:val="auto"/>
        </w:rPr>
      </w:pPr>
      <w:r>
        <w:rPr>
          <w:rFonts w:ascii="Arial" w:cs="Arial" w:eastAsia="Arial" w:hAnsi="Arial"/>
          <w:sz w:val="17"/>
          <w:szCs w:val="17"/>
          <w:color w:val="auto"/>
        </w:rPr>
        <w:t>Schedule 13G</w:t>
      </w:r>
    </w:p>
    <w:p>
      <w:pPr>
        <w:spacing w:after="0" w:line="183" w:lineRule="exact"/>
        <w:rPr>
          <w:sz w:val="24"/>
          <w:szCs w:val="24"/>
          <w:color w:val="auto"/>
        </w:rPr>
      </w:pPr>
    </w:p>
    <w:p>
      <w:pPr>
        <w:ind w:left="4140"/>
        <w:spacing w:after="0"/>
        <w:rPr>
          <w:sz w:val="20"/>
          <w:szCs w:val="20"/>
          <w:color w:val="auto"/>
        </w:rPr>
      </w:pPr>
      <w:r>
        <w:rPr>
          <w:rFonts w:ascii="Arial" w:cs="Arial" w:eastAsia="Arial" w:hAnsi="Arial"/>
          <w:sz w:val="17"/>
          <w:szCs w:val="17"/>
          <w:color w:val="auto"/>
        </w:rPr>
        <w:t>Under the Securities Exchange Act of 1934</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7"/>
          <w:szCs w:val="17"/>
          <w:color w:val="auto"/>
        </w:rPr>
        <w:t>(Amendment No.: 10)*</w:t>
      </w: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7"/>
          <w:szCs w:val="17"/>
          <w:color w:val="auto"/>
        </w:rPr>
        <w:t>Name of issuer: Consolidated Edison Inc.</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Title of Class of Securities: Common Stock</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CUSIP Number: 209115104</w:t>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Arial" w:cs="Arial" w:eastAsia="Arial" w:hAnsi="Arial"/>
          <w:sz w:val="17"/>
          <w:szCs w:val="17"/>
          <w:color w:val="auto"/>
        </w:rPr>
        <w:t xml:space="preserve">Date of Event Which Requires Filing of this Statement: </w:t>
      </w:r>
      <w:r>
        <w:rPr>
          <w:rFonts w:ascii="Arial" w:cs="Arial" w:eastAsia="Arial" w:hAnsi="Arial"/>
          <w:sz w:val="17"/>
          <w:szCs w:val="17"/>
          <w:b w:val="1"/>
          <w:bCs w:val="1"/>
          <w:color w:val="auto"/>
        </w:rPr>
        <w:t>December 30, 2022</w:t>
      </w:r>
    </w:p>
    <w:p>
      <w:pPr>
        <w:spacing w:after="0" w:line="227"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 to designate the rule pursuant to which this Schedule is filed:</w:t>
      </w:r>
    </w:p>
    <w:p>
      <w:pPr>
        <w:spacing w:after="0" w:line="183" w:lineRule="exact"/>
        <w:rPr>
          <w:sz w:val="24"/>
          <w:szCs w:val="24"/>
          <w:color w:val="auto"/>
        </w:rPr>
      </w:pPr>
    </w:p>
    <w:p>
      <w:pPr>
        <w:ind w:left="380" w:hanging="156"/>
        <w:spacing w:after="0"/>
        <w:tabs>
          <w:tab w:leader="none" w:pos="380"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   Rule 13d-1(b)</w:t>
      </w:r>
    </w:p>
    <w:p>
      <w:pPr>
        <w:spacing w:after="0" w:line="219" w:lineRule="exact"/>
        <w:rPr>
          <w:sz w:val="24"/>
          <w:szCs w:val="24"/>
          <w:color w:val="auto"/>
        </w:rPr>
      </w:pPr>
    </w:p>
    <w:p>
      <w:pPr>
        <w:ind w:left="380" w:hanging="156"/>
        <w:spacing w:after="0"/>
        <w:tabs>
          <w:tab w:leader="none" w:pos="380" w:val="left"/>
        </w:tabs>
        <w:numPr>
          <w:ilvl w:val="0"/>
          <w:numId w:val="2"/>
        </w:numPr>
        <w:rPr>
          <w:rFonts w:ascii="MS PGothic" w:cs="MS PGothic" w:eastAsia="MS PGothic" w:hAnsi="MS PGothic"/>
          <w:sz w:val="15"/>
          <w:szCs w:val="15"/>
          <w:color w:val="auto"/>
        </w:rPr>
      </w:pPr>
      <w:r>
        <w:rPr>
          <w:rFonts w:ascii="Arial" w:cs="Arial" w:eastAsia="Arial" w:hAnsi="Arial"/>
          <w:sz w:val="15"/>
          <w:szCs w:val="15"/>
          <w:color w:val="auto"/>
        </w:rPr>
        <w:t>   Rule 13d-1(c)</w:t>
      </w:r>
    </w:p>
    <w:p>
      <w:pPr>
        <w:spacing w:after="0" w:line="219" w:lineRule="exact"/>
        <w:rPr>
          <w:rFonts w:ascii="MS PGothic" w:cs="MS PGothic" w:eastAsia="MS PGothic" w:hAnsi="MS PGothic"/>
          <w:sz w:val="15"/>
          <w:szCs w:val="15"/>
          <w:color w:val="auto"/>
        </w:rPr>
      </w:pPr>
    </w:p>
    <w:p>
      <w:pPr>
        <w:ind w:left="380" w:hanging="156"/>
        <w:spacing w:after="0"/>
        <w:tabs>
          <w:tab w:leader="none" w:pos="380" w:val="left"/>
        </w:tabs>
        <w:numPr>
          <w:ilvl w:val="0"/>
          <w:numId w:val="2"/>
        </w:numPr>
        <w:rPr>
          <w:rFonts w:ascii="MS PGothic" w:cs="MS PGothic" w:eastAsia="MS PGothic" w:hAnsi="MS PGothic"/>
          <w:sz w:val="15"/>
          <w:szCs w:val="15"/>
          <w:color w:val="auto"/>
        </w:rPr>
      </w:pPr>
      <w:r>
        <w:rPr>
          <w:rFonts w:ascii="Arial" w:cs="Arial" w:eastAsia="Arial" w:hAnsi="Arial"/>
          <w:sz w:val="15"/>
          <w:szCs w:val="15"/>
          <w:color w:val="auto"/>
        </w:rPr>
        <w:t>   Rule 13d-1(d)</w:t>
      </w:r>
    </w:p>
    <w:p>
      <w:pPr>
        <w:spacing w:after="0" w:line="246" w:lineRule="exact"/>
        <w:rPr>
          <w:sz w:val="24"/>
          <w:szCs w:val="24"/>
          <w:color w:val="auto"/>
        </w:rPr>
      </w:pPr>
    </w:p>
    <w:p>
      <w:pPr>
        <w:ind w:firstLine="216"/>
        <w:spacing w:after="0" w:line="274" w:lineRule="auto"/>
        <w:rPr>
          <w:sz w:val="20"/>
          <w:szCs w:val="20"/>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5" w:lineRule="exact"/>
        <w:rPr>
          <w:sz w:val="24"/>
          <w:szCs w:val="24"/>
          <w:color w:val="auto"/>
        </w:rPr>
      </w:pPr>
    </w:p>
    <w:p>
      <w:pPr>
        <w:ind w:right="80" w:firstLine="216"/>
        <w:spacing w:after="0" w:line="342" w:lineRule="auto"/>
        <w:rPr>
          <w:sz w:val="20"/>
          <w:szCs w:val="20"/>
          <w:color w:val="auto"/>
        </w:rPr>
      </w:pPr>
      <w:r>
        <w:rPr>
          <w:rFonts w:ascii="Arial" w:cs="Arial" w:eastAsia="Arial" w:hAnsi="Arial"/>
          <w:sz w:val="15"/>
          <w:szCs w:val="15"/>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45" w:lineRule="exact"/>
        <w:rPr>
          <w:sz w:val="24"/>
          <w:szCs w:val="24"/>
          <w:color w:val="auto"/>
        </w:rPr>
      </w:pPr>
    </w:p>
    <w:p>
      <w:pPr>
        <w:spacing w:after="0"/>
        <w:rPr>
          <w:sz w:val="20"/>
          <w:szCs w:val="20"/>
          <w:color w:val="auto"/>
        </w:rPr>
      </w:pPr>
      <w:r>
        <w:rPr>
          <w:rFonts w:ascii="Arial" w:cs="Arial" w:eastAsia="Arial" w:hAnsi="Arial"/>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230" w:right="479" w:bottom="1440" w:gutter="0" w:footer="0" w:header="0"/>
        </w:sectPr>
      </w:pPr>
    </w:p>
    <w:bookmarkStart w:id="1" w:name="page2"/>
    <w:bookmarkEnd w:id="1"/>
    <w:p>
      <w:pPr>
        <w:ind w:left="5480"/>
        <w:spacing w:after="0"/>
        <w:rPr>
          <w:sz w:val="20"/>
          <w:szCs w:val="20"/>
          <w:color w:val="auto"/>
        </w:rPr>
      </w:pPr>
      <w:r>
        <w:rPr>
          <w:rFonts w:ascii="Arial" w:cs="Arial" w:eastAsia="Arial" w:hAnsi="Arial"/>
          <w:sz w:val="17"/>
          <w:szCs w:val="17"/>
          <w:color w:val="auto"/>
        </w:rPr>
        <w:t>13G</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CUSIP No.: 209115104</w:t>
      </w:r>
    </w:p>
    <w:p>
      <w:pPr>
        <w:spacing w:after="0" w:line="200" w:lineRule="exact"/>
        <w:rPr>
          <w:sz w:val="20"/>
          <w:szCs w:val="20"/>
          <w:color w:val="auto"/>
        </w:rPr>
      </w:pPr>
    </w:p>
    <w:p>
      <w:pPr>
        <w:spacing w:after="0" w:line="239" w:lineRule="exact"/>
        <w:rPr>
          <w:sz w:val="20"/>
          <w:szCs w:val="20"/>
          <w:color w:val="auto"/>
        </w:rPr>
      </w:pP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NAME OF REPORTING PERSON</w:t>
      </w:r>
    </w:p>
    <w:p>
      <w:pPr>
        <w:spacing w:after="0" w:line="20" w:lineRule="exact"/>
        <w:rPr>
          <w:rFonts w:ascii="Arial" w:cs="Arial" w:eastAsia="Arial" w:hAnsi="Arial"/>
          <w:sz w:val="17"/>
          <w:szCs w:val="17"/>
          <w:color w:val="auto"/>
        </w:rPr>
      </w:pPr>
    </w:p>
    <w:p>
      <w:pPr>
        <w:ind w:left="220" w:right="6199"/>
        <w:spacing w:after="0" w:line="505" w:lineRule="auto"/>
        <w:rPr>
          <w:rFonts w:ascii="Arial" w:cs="Arial" w:eastAsia="Arial" w:hAnsi="Arial"/>
          <w:sz w:val="17"/>
          <w:szCs w:val="17"/>
          <w:color w:val="auto"/>
        </w:rPr>
      </w:pPr>
      <w:r>
        <w:rPr>
          <w:rFonts w:ascii="Arial" w:cs="Arial" w:eastAsia="Arial" w:hAnsi="Arial"/>
          <w:sz w:val="17"/>
          <w:szCs w:val="17"/>
          <w:color w:val="auto"/>
        </w:rPr>
        <w:t>I.R.S. IDENTIFICATION NO. OF ABOVE PERSON The Vanguard Group - 23-1945930</w:t>
      </w: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hanging="212"/>
        <w:spacing w:after="0"/>
        <w:tabs>
          <w:tab w:leader="none" w:pos="220" w:val="left"/>
        </w:tabs>
        <w:numPr>
          <w:ilvl w:val="0"/>
          <w:numId w:val="4"/>
        </w:numPr>
        <w:rPr>
          <w:rFonts w:ascii="Arial" w:cs="Arial" w:eastAsia="Arial" w:hAnsi="Arial"/>
          <w:sz w:val="17"/>
          <w:szCs w:val="17"/>
          <w:color w:val="auto"/>
        </w:rPr>
      </w:pPr>
      <w:r>
        <w:rPr>
          <w:rFonts w:ascii="Arial" w:cs="Arial" w:eastAsia="Arial" w:hAnsi="Arial"/>
          <w:sz w:val="17"/>
          <w:szCs w:val="17"/>
          <w:color w:val="auto"/>
        </w:rPr>
        <w:t>SEC USE ONLY</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55" w:lineRule="exact"/>
        <w:rPr>
          <w:rFonts w:ascii="Arial" w:cs="Arial" w:eastAsia="Arial" w:hAnsi="Arial"/>
          <w:sz w:val="17"/>
          <w:szCs w:val="17"/>
          <w:color w:val="auto"/>
        </w:rPr>
      </w:pPr>
    </w:p>
    <w:p>
      <w:pPr>
        <w:ind w:left="220" w:right="6459" w:hanging="212"/>
        <w:spacing w:after="0" w:line="513" w:lineRule="auto"/>
        <w:tabs>
          <w:tab w:leader="none" w:pos="218" w:val="left"/>
        </w:tabs>
        <w:numPr>
          <w:ilvl w:val="0"/>
          <w:numId w:val="4"/>
        </w:numPr>
        <w:rPr>
          <w:rFonts w:ascii="Arial" w:cs="Arial" w:eastAsia="Arial" w:hAnsi="Arial"/>
          <w:sz w:val="17"/>
          <w:szCs w:val="17"/>
          <w:color w:val="auto"/>
        </w:rPr>
      </w:pPr>
      <w:r>
        <w:rPr>
          <w:rFonts w:ascii="Arial" w:cs="Arial" w:eastAsia="Arial" w:hAnsi="Arial"/>
          <w:sz w:val="17"/>
          <w:szCs w:val="17"/>
          <w:color w:val="auto"/>
        </w:rPr>
        <w:t>CITIZENSHIP OF PLACE OF ORGANIZATION Pennsylvania</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(For questions 5-8, report the number of shares beneficially owned by each reporting person with:)</w:t>
      </w:r>
    </w:p>
    <w:p>
      <w:pPr>
        <w:spacing w:after="0" w:line="235" w:lineRule="exact"/>
        <w:rPr>
          <w:sz w:val="20"/>
          <w:szCs w:val="20"/>
          <w:color w:val="auto"/>
        </w:rPr>
      </w:pPr>
    </w:p>
    <w:p>
      <w:pPr>
        <w:ind w:left="220" w:right="815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VOTING POWER 0</w:t>
      </w:r>
    </w:p>
    <w:p>
      <w:pPr>
        <w:spacing w:after="0" w:line="1" w:lineRule="exact"/>
        <w:rPr>
          <w:rFonts w:ascii="Arial" w:cs="Arial" w:eastAsia="Arial" w:hAnsi="Arial"/>
          <w:sz w:val="17"/>
          <w:szCs w:val="17"/>
          <w:color w:val="auto"/>
        </w:rPr>
      </w:pPr>
    </w:p>
    <w:p>
      <w:pPr>
        <w:ind w:left="220" w:right="789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VOTING POWER 647,743</w:t>
      </w:r>
    </w:p>
    <w:p>
      <w:pPr>
        <w:spacing w:after="0" w:line="1" w:lineRule="exact"/>
        <w:rPr>
          <w:rFonts w:ascii="Arial" w:cs="Arial" w:eastAsia="Arial" w:hAnsi="Arial"/>
          <w:sz w:val="17"/>
          <w:szCs w:val="17"/>
          <w:color w:val="auto"/>
        </w:rPr>
      </w:pPr>
    </w:p>
    <w:p>
      <w:pPr>
        <w:ind w:left="220" w:right="777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DISPOSITIVE POWER 41,729,295</w:t>
      </w:r>
    </w:p>
    <w:p>
      <w:pPr>
        <w:spacing w:after="0" w:line="1" w:lineRule="exact"/>
        <w:rPr>
          <w:rFonts w:ascii="Arial" w:cs="Arial" w:eastAsia="Arial" w:hAnsi="Arial"/>
          <w:sz w:val="17"/>
          <w:szCs w:val="17"/>
          <w:color w:val="auto"/>
        </w:rPr>
      </w:pPr>
    </w:p>
    <w:p>
      <w:pPr>
        <w:ind w:left="220" w:right="751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DISPOSITIVE POWER 1,620,385</w:t>
      </w:r>
    </w:p>
    <w:p>
      <w:pPr>
        <w:spacing w:after="0" w:line="1" w:lineRule="exact"/>
        <w:rPr>
          <w:rFonts w:ascii="Arial" w:cs="Arial" w:eastAsia="Arial" w:hAnsi="Arial"/>
          <w:sz w:val="17"/>
          <w:szCs w:val="17"/>
          <w:color w:val="auto"/>
        </w:rPr>
      </w:pPr>
    </w:p>
    <w:p>
      <w:pPr>
        <w:ind w:left="220" w:right="3699" w:hanging="212"/>
        <w:spacing w:after="0" w:line="513" w:lineRule="auto"/>
        <w:tabs>
          <w:tab w:leader="none" w:pos="208" w:val="left"/>
        </w:tabs>
        <w:numPr>
          <w:ilvl w:val="0"/>
          <w:numId w:val="5"/>
        </w:numPr>
        <w:rPr>
          <w:rFonts w:ascii="Arial" w:cs="Arial" w:eastAsia="Arial" w:hAnsi="Arial"/>
          <w:sz w:val="17"/>
          <w:szCs w:val="17"/>
          <w:color w:val="auto"/>
        </w:rPr>
      </w:pPr>
      <w:r>
        <w:rPr>
          <w:rFonts w:ascii="Arial" w:cs="Arial" w:eastAsia="Arial" w:hAnsi="Arial"/>
          <w:sz w:val="17"/>
          <w:szCs w:val="17"/>
          <w:color w:val="auto"/>
        </w:rPr>
        <w:t>AGGREGATE AMOUNT BENEFICIALLY OWNED BY EACH REPORTING PERSON 43,349,680</w:t>
      </w:r>
    </w:p>
    <w:p>
      <w:pPr>
        <w:spacing w:after="0" w:line="1" w:lineRule="exact"/>
        <w:rPr>
          <w:rFonts w:ascii="Arial" w:cs="Arial" w:eastAsia="Arial" w:hAnsi="Arial"/>
          <w:sz w:val="17"/>
          <w:szCs w:val="17"/>
          <w:color w:val="auto"/>
        </w:rPr>
      </w:pPr>
    </w:p>
    <w:p>
      <w:pPr>
        <w:ind w:left="220" w:right="3119" w:hanging="212"/>
        <w:spacing w:after="0" w:line="513" w:lineRule="auto"/>
        <w:tabs>
          <w:tab w:leader="none" w:pos="303" w:val="left"/>
        </w:tabs>
        <w:numPr>
          <w:ilvl w:val="0"/>
          <w:numId w:val="5"/>
        </w:numPr>
        <w:rPr>
          <w:rFonts w:ascii="Arial" w:cs="Arial" w:eastAsia="Arial" w:hAnsi="Arial"/>
          <w:sz w:val="17"/>
          <w:szCs w:val="17"/>
          <w:color w:val="auto"/>
        </w:rPr>
      </w:pPr>
      <w:r>
        <w:rPr>
          <w:rFonts w:ascii="Arial" w:cs="Arial" w:eastAsia="Arial" w:hAnsi="Arial"/>
          <w:sz w:val="17"/>
          <w:szCs w:val="17"/>
          <w:color w:val="auto"/>
        </w:rPr>
        <w:t>CHECK BOX IF THE AGGREGATE AMOUNT IN ROW (9) EXCLUDES CERTAIN SHARES N/A</w:t>
      </w:r>
    </w:p>
    <w:p>
      <w:pPr>
        <w:spacing w:after="0" w:line="1" w:lineRule="exact"/>
        <w:rPr>
          <w:rFonts w:ascii="Arial" w:cs="Arial" w:eastAsia="Arial" w:hAnsi="Arial"/>
          <w:sz w:val="17"/>
          <w:szCs w:val="17"/>
          <w:color w:val="auto"/>
        </w:rPr>
      </w:pPr>
    </w:p>
    <w:p>
      <w:pPr>
        <w:ind w:left="300" w:hanging="292"/>
        <w:spacing w:after="0"/>
        <w:tabs>
          <w:tab w:leader="none" w:pos="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PERCENT OF CLASS REPRESENTED BY AMOUNT IN ROW 9</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12.22%</w:t>
      </w:r>
    </w:p>
    <w:p>
      <w:pPr>
        <w:spacing w:after="0" w:line="223" w:lineRule="exact"/>
        <w:rPr>
          <w:sz w:val="20"/>
          <w:szCs w:val="20"/>
          <w:color w:val="auto"/>
        </w:rPr>
      </w:pPr>
    </w:p>
    <w:p>
      <w:pPr>
        <w:ind w:left="220" w:right="7459" w:hanging="212"/>
        <w:spacing w:after="0" w:line="539" w:lineRule="auto"/>
        <w:tabs>
          <w:tab w:leader="none" w:pos="3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9" w:right="1440" w:bottom="1440" w:gutter="0" w:footer="0" w:header="0"/>
        </w:sectPr>
      </w:pPr>
    </w:p>
    <w:bookmarkStart w:id="2" w:name="page3"/>
    <w:bookmarkEnd w:id="2"/>
    <w:p>
      <w:pPr>
        <w:jc w:val="center"/>
        <w:ind w:right="-1120"/>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Washington, D.C. 20549</w:t>
      </w:r>
    </w:p>
    <w:p>
      <w:pPr>
        <w:spacing w:after="0" w:line="209"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Schedule 13G</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Under the Securities Act of 1934</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1(a) - Name of Issuer: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Consolidated Edison Inc.</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1(b) - Address of Issuer's Principal Executive Offices: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4 Irving Place</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New York, NY 10003</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2(a) - Name of Person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Vanguard Group - 23-1945930</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2(b) – Address of Principal Business Office or, if none, residence: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100 Vanguard Blvd.</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Malvern, PA 19355</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2(c) – Citizenship: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Pennsylvania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2(d) - Title of Class of Securities: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Common Stock</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2(e) - CUSIP Number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209115104</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3 - Type of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5"/>
          <w:szCs w:val="15"/>
          <w:color w:val="auto"/>
        </w:rPr>
        <w:t>This statement is being filed pursuant to Rule 13d-1. An investment adviser in accordance with §240.13d-1(b)(1)(ii)(E).</w:t>
      </w: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4 - Ownership:</w:t>
      </w:r>
    </w:p>
    <w:p>
      <w:pPr>
        <w:spacing w:after="0" w:line="223" w:lineRule="exact"/>
        <w:rPr>
          <w:sz w:val="20"/>
          <w:szCs w:val="20"/>
          <w:color w:val="auto"/>
        </w:rPr>
      </w:pPr>
    </w:p>
    <w:p>
      <w:pPr>
        <w:ind w:left="320" w:hanging="227"/>
        <w:spacing w:after="0"/>
        <w:tabs>
          <w:tab w:leader="none" w:pos="320" w:val="left"/>
        </w:tabs>
        <w:numPr>
          <w:ilvl w:val="0"/>
          <w:numId w:val="7"/>
        </w:numPr>
        <w:rPr>
          <w:rFonts w:ascii="Arial" w:cs="Arial" w:eastAsia="Arial" w:hAnsi="Arial"/>
          <w:sz w:val="17"/>
          <w:szCs w:val="17"/>
          <w:color w:val="auto"/>
        </w:rPr>
      </w:pPr>
      <w:r>
        <w:rPr>
          <w:rFonts w:ascii="Arial" w:cs="Arial" w:eastAsia="Arial" w:hAnsi="Arial"/>
          <w:sz w:val="17"/>
          <w:szCs w:val="17"/>
          <w:color w:val="auto"/>
        </w:rPr>
        <w:t>Amount Beneficially Owned:</w:t>
      </w:r>
    </w:p>
    <w:p>
      <w:pPr>
        <w:spacing w:after="0" w:line="223" w:lineRule="exact"/>
        <w:rPr>
          <w:rFonts w:ascii="Arial" w:cs="Arial" w:eastAsia="Arial" w:hAnsi="Arial"/>
          <w:sz w:val="17"/>
          <w:szCs w:val="17"/>
          <w:color w:val="auto"/>
        </w:rPr>
      </w:pPr>
    </w:p>
    <w:p>
      <w:pPr>
        <w:ind w:left="340" w:hanging="247"/>
        <w:spacing w:after="0"/>
        <w:tabs>
          <w:tab w:leader="none" w:pos="340" w:val="left"/>
        </w:tabs>
        <w:numPr>
          <w:ilvl w:val="0"/>
          <w:numId w:val="7"/>
        </w:numPr>
        <w:rPr>
          <w:rFonts w:ascii="Arial" w:cs="Arial" w:eastAsia="Arial" w:hAnsi="Arial"/>
          <w:sz w:val="17"/>
          <w:szCs w:val="17"/>
          <w:color w:val="auto"/>
        </w:rPr>
      </w:pPr>
      <w:r>
        <w:rPr>
          <w:rFonts w:ascii="Arial" w:cs="Arial" w:eastAsia="Arial" w:hAnsi="Arial"/>
          <w:sz w:val="17"/>
          <w:szCs w:val="17"/>
          <w:color w:val="auto"/>
        </w:rPr>
        <w:t>Percent of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9" w:right="1440" w:bottom="1440" w:gutter="0" w:footer="0" w:header="0"/>
        </w:sectPr>
      </w:pPr>
    </w:p>
    <w:bookmarkStart w:id="3" w:name="page4"/>
    <w:bookmarkEnd w:id="3"/>
    <w:p>
      <w:pPr>
        <w:ind w:left="500" w:hanging="276"/>
        <w:spacing w:after="0"/>
        <w:tabs>
          <w:tab w:leader="none" w:pos="500" w:val="left"/>
        </w:tabs>
        <w:numPr>
          <w:ilvl w:val="0"/>
          <w:numId w:val="8"/>
        </w:numPr>
        <w:rPr>
          <w:rFonts w:ascii="Arial" w:cs="Arial" w:eastAsia="Arial" w:hAnsi="Arial"/>
          <w:sz w:val="17"/>
          <w:szCs w:val="17"/>
          <w:color w:val="auto"/>
        </w:rPr>
      </w:pPr>
      <w:r>
        <w:rPr>
          <w:rFonts w:ascii="Arial" w:cs="Arial" w:eastAsia="Arial" w:hAnsi="Arial"/>
          <w:sz w:val="17"/>
          <w:szCs w:val="17"/>
          <w:color w:val="auto"/>
        </w:rPr>
        <w:t>Number of shares as to which such person has:</w:t>
      </w:r>
    </w:p>
    <w:p>
      <w:pPr>
        <w:spacing w:after="0" w:line="223" w:lineRule="exact"/>
        <w:rPr>
          <w:rFonts w:ascii="Arial" w:cs="Arial" w:eastAsia="Arial" w:hAnsi="Arial"/>
          <w:sz w:val="17"/>
          <w:szCs w:val="17"/>
          <w:color w:val="auto"/>
        </w:rPr>
      </w:pPr>
    </w:p>
    <w:p>
      <w:pPr>
        <w:ind w:left="480" w:hanging="256"/>
        <w:spacing w:after="0"/>
        <w:tabs>
          <w:tab w:leader="none" w:pos="480" w:val="left"/>
        </w:tabs>
        <w:numPr>
          <w:ilvl w:val="0"/>
          <w:numId w:val="9"/>
        </w:numPr>
        <w:rPr>
          <w:rFonts w:ascii="Arial" w:cs="Arial" w:eastAsia="Arial" w:hAnsi="Arial"/>
          <w:sz w:val="17"/>
          <w:szCs w:val="17"/>
          <w:color w:val="auto"/>
        </w:rPr>
      </w:pPr>
      <w:r>
        <w:rPr>
          <w:rFonts w:ascii="Arial" w:cs="Arial" w:eastAsia="Arial" w:hAnsi="Arial"/>
          <w:sz w:val="17"/>
          <w:szCs w:val="17"/>
          <w:color w:val="auto"/>
        </w:rPr>
        <w:t>sole power to vote or direct to vote:</w:t>
      </w:r>
    </w:p>
    <w:p>
      <w:pPr>
        <w:spacing w:after="0" w:line="223" w:lineRule="exact"/>
        <w:rPr>
          <w:rFonts w:ascii="Arial" w:cs="Arial" w:eastAsia="Arial" w:hAnsi="Arial"/>
          <w:sz w:val="17"/>
          <w:szCs w:val="17"/>
          <w:color w:val="auto"/>
        </w:rPr>
      </w:pPr>
    </w:p>
    <w:p>
      <w:pPr>
        <w:ind w:left="520" w:hanging="296"/>
        <w:spacing w:after="0"/>
        <w:tabs>
          <w:tab w:leader="none" w:pos="5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shared power to vote or direct to vote:</w:t>
      </w:r>
    </w:p>
    <w:p>
      <w:pPr>
        <w:spacing w:after="0" w:line="223" w:lineRule="exact"/>
        <w:rPr>
          <w:rFonts w:ascii="Arial" w:cs="Arial" w:eastAsia="Arial" w:hAnsi="Arial"/>
          <w:sz w:val="17"/>
          <w:szCs w:val="17"/>
          <w:color w:val="auto"/>
        </w:rPr>
      </w:pPr>
    </w:p>
    <w:p>
      <w:pPr>
        <w:jc w:val="both"/>
        <w:ind w:left="220" w:right="6900" w:firstLine="4"/>
        <w:spacing w:after="0" w:line="582" w:lineRule="auto"/>
        <w:tabs>
          <w:tab w:leader="none" w:pos="562" w:val="left"/>
        </w:tabs>
        <w:numPr>
          <w:ilvl w:val="0"/>
          <w:numId w:val="11"/>
        </w:numPr>
        <w:rPr>
          <w:rFonts w:ascii="Arial" w:cs="Arial" w:eastAsia="Arial" w:hAnsi="Arial"/>
          <w:sz w:val="15"/>
          <w:szCs w:val="15"/>
          <w:color w:val="auto"/>
        </w:rPr>
      </w:pPr>
      <w:r>
        <w:rPr>
          <w:rFonts w:ascii="Arial" w:cs="Arial" w:eastAsia="Arial" w:hAnsi="Arial"/>
          <w:sz w:val="15"/>
          <w:szCs w:val="15"/>
          <w:color w:val="auto"/>
        </w:rPr>
        <w:t>sole power to dispose of or to direct the disposition of: (iv) shared power to dispose or to direct the disposition of:</w:t>
      </w:r>
    </w:p>
    <w:p>
      <w:pPr>
        <w:spacing w:after="0"/>
        <w:rPr>
          <w:sz w:val="20"/>
          <w:szCs w:val="20"/>
          <w:color w:val="auto"/>
        </w:rPr>
      </w:pPr>
      <w:r>
        <w:rPr>
          <w:rFonts w:ascii="Arial" w:cs="Arial" w:eastAsia="Arial" w:hAnsi="Arial"/>
          <w:sz w:val="17"/>
          <w:szCs w:val="17"/>
          <w:u w:val="single" w:color="auto"/>
          <w:color w:val="auto"/>
        </w:rPr>
        <w:t>Comments: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responses to questions 5 through 9 and 11 on the cover page(s) are incorporated by reference into this Item 4.  </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5 - Ownership of Five Percent or Less of a Class:</w:t>
      </w:r>
    </w:p>
    <w:p>
      <w:pPr>
        <w:spacing w:after="0" w:line="223" w:lineRule="exact"/>
        <w:rPr>
          <w:sz w:val="20"/>
          <w:szCs w:val="20"/>
          <w:color w:val="auto"/>
        </w:rPr>
      </w:pPr>
    </w:p>
    <w:p>
      <w:pPr>
        <w:ind w:firstLine="216"/>
        <w:spacing w:after="0" w:line="226" w:lineRule="exact"/>
        <w:rPr>
          <w:sz w:val="20"/>
          <w:szCs w:val="20"/>
          <w:color w:val="auto"/>
        </w:rPr>
      </w:pPr>
      <w:r>
        <w:rPr>
          <w:rFonts w:ascii="Arial" w:cs="Arial" w:eastAsia="Arial" w:hAnsi="Arial"/>
          <w:sz w:val="17"/>
          <w:szCs w:val="17"/>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7"/>
          <w:szCs w:val="17"/>
          <w:color w:val="auto"/>
        </w:rPr>
        <w:t>☐</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6 - Ownership of More Than Five Percent on Behalf of Another Person:</w:t>
      </w:r>
    </w:p>
    <w:p>
      <w:pPr>
        <w:spacing w:after="0" w:line="223" w:lineRule="exact"/>
        <w:rPr>
          <w:sz w:val="20"/>
          <w:szCs w:val="20"/>
          <w:color w:val="auto"/>
        </w:rPr>
      </w:pPr>
    </w:p>
    <w:p>
      <w:pPr>
        <w:ind w:right="140" w:firstLine="216"/>
        <w:spacing w:after="0" w:line="306" w:lineRule="auto"/>
        <w:rPr>
          <w:sz w:val="20"/>
          <w:szCs w:val="20"/>
          <w:color w:val="auto"/>
        </w:rPr>
      </w:pPr>
      <w:r>
        <w:rPr>
          <w:rFonts w:ascii="Arial" w:cs="Arial" w:eastAsia="Arial" w:hAnsi="Arial"/>
          <w:sz w:val="16"/>
          <w:szCs w:val="16"/>
          <w:color w:val="auto"/>
        </w:rPr>
        <w:t>The Vanguard Group, Inc.'s clients, including investment companies registered under the Investment Company Act of 1940 and other managed accounts, have the right to receive or the power to direct the receipt of dividends from, or the proceeds from the sale of, the securities reported herein.</w:t>
      </w:r>
    </w:p>
    <w:p>
      <w:pPr>
        <w:spacing w:after="0" w:line="152"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 one other person's interest in the securities reported herein is more than 5%.</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7 - Identification and Classification of the Subsidiary Which Acquired The Security Being Reported on by the Parent Holding Company:</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8 - Identification and Classification of Members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9 - Notice of Dissolution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10 - Certification:</w:t>
      </w:r>
    </w:p>
    <w:p>
      <w:pPr>
        <w:spacing w:after="0" w:line="223" w:lineRule="exact"/>
        <w:rPr>
          <w:sz w:val="20"/>
          <w:szCs w:val="20"/>
          <w:color w:val="auto"/>
        </w:rPr>
      </w:pPr>
    </w:p>
    <w:p>
      <w:pPr>
        <w:ind w:right="140" w:firstLine="216"/>
        <w:spacing w:after="0" w:line="257"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in connection with or as a participant in any transaction having that purpose or effect, other than activities solely in connection with a nomination under §240.14a-11.</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Signature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color w:val="auto"/>
        </w:rPr>
        <w:t>Date: February 9, 2023</w:t>
      </w:r>
    </w:p>
    <w:p>
      <w:pPr>
        <w:spacing w:after="0" w:line="226"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 /s/ Ashley Grim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2607310</wp:posOffset>
            </wp:positionH>
            <wp:positionV relativeFrom="paragraph">
              <wp:posOffset>-10160</wp:posOffset>
            </wp:positionV>
            <wp:extent cx="7581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58190" cy="8890"/>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Name: Ashley Grim</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Title: Head of Global Fund Administration</w:t>
      </w:r>
    </w:p>
    <w:sectPr>
      <w:pgSz w:w="11900" w:h="16838" w:orient="portrait"/>
      <w:cols w:equalWidth="0" w:num="1">
        <w:col w:w="11200"/>
      </w:cols>
      <w:pgMar w:left="320" w:top="689"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Letter"/>
      <w:start w:val="9"/>
    </w:lvl>
  </w:abstractNum>
  <w:abstractNum w:abstractNumId="9">
    <w:nsid w:val="216231B"/>
    <w:multiLevelType w:val="hybridMultilevel"/>
    <w:lvl w:ilvl="0">
      <w:lvlJc w:val="left"/>
      <w:lvlText w:val="(%1)"/>
      <w:numFmt w:val="lowerLetter"/>
      <w:start w:val="35"/>
    </w:lvl>
  </w:abstractNum>
  <w:abstractNum w:abstractNumId="10">
    <w:nsid w:val="1F16E9E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2023-02-09T10:00:48Z</dcterms:created>
  <dcterms:modified xsi:type="dcterms:W3CDTF">2023-02-09T10:00:48Z</dcterms:modified>
</cp:coreProperties>
</file>